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38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32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26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SERES THERAPEUTICS,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80" w:hanging="57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38" w:lineRule="exact"/>
        <w:rPr>
          <w:rFonts w:ascii="MS PGothic" w:cs="MS PGothic" w:eastAsia="MS PGothic" w:hAnsi="MS PGothic"/>
          <w:sz w:val="18"/>
          <w:szCs w:val="18"/>
          <w:color w:val="auto"/>
        </w:rPr>
      </w:pPr>
    </w:p>
    <w:p>
      <w:pPr>
        <w:ind w:left="1000" w:hanging="42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00" w:hanging="42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00" w:hanging="429"/>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00" w:hanging="42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00" w:hanging="42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80" w:hanging="576"/>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right="80" w:hanging="576"/>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2" w:lineRule="exact"/>
        <w:rPr>
          <w:rFonts w:ascii="MS PGothic" w:cs="MS PGothic" w:eastAsia="MS PGothic" w:hAnsi="MS PGothic"/>
          <w:sz w:val="17"/>
          <w:szCs w:val="17"/>
          <w:color w:val="auto"/>
        </w:rPr>
      </w:pPr>
    </w:p>
    <w:p>
      <w:pPr>
        <w:ind w:left="1000" w:hanging="42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641350</wp:posOffset>
            </wp:positionH>
            <wp:positionV relativeFrom="paragraph">
              <wp:posOffset>-2848610</wp:posOffset>
            </wp:positionV>
            <wp:extent cx="6363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641350</wp:posOffset>
            </wp:positionH>
            <wp:positionV relativeFrom="paragraph">
              <wp:posOffset>-2402840</wp:posOffset>
            </wp:positionV>
            <wp:extent cx="6363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641350</wp:posOffset>
            </wp:positionH>
            <wp:positionV relativeFrom="paragraph">
              <wp:posOffset>-1819910</wp:posOffset>
            </wp:positionV>
            <wp:extent cx="636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641350</wp:posOffset>
            </wp:positionH>
            <wp:positionV relativeFrom="paragraph">
              <wp:posOffset>-1373505</wp:posOffset>
            </wp:positionV>
            <wp:extent cx="6363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641350</wp:posOffset>
            </wp:positionH>
            <wp:positionV relativeFrom="paragraph">
              <wp:posOffset>-927735</wp:posOffset>
            </wp:positionV>
            <wp:extent cx="6363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641350</wp:posOffset>
            </wp:positionH>
            <wp:positionV relativeFrom="paragraph">
              <wp:posOffset>306705</wp:posOffset>
            </wp:positionV>
            <wp:extent cx="6363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ectPr>
          <w:pgSz w:w="11900" w:h="16838" w:orient="portrait"/>
          <w:cols w:equalWidth="0" w:num="1">
            <w:col w:w="10820"/>
          </w:cols>
          <w:pgMar w:left="440" w:top="341" w:right="639" w:bottom="653" w:gutter="0" w:footer="0" w:header="0"/>
        </w:sectPr>
      </w:pPr>
    </w:p>
    <w:bookmarkStart w:id="1" w:name="page2"/>
    <w:bookmarkEnd w:id="1"/>
    <w:p>
      <w:pPr>
        <w:ind w:left="429" w:hanging="429"/>
        <w:spacing w:after="0"/>
        <w:tabs>
          <w:tab w:leader="none" w:pos="42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29" w:hanging="429"/>
        <w:spacing w:after="0"/>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29" w:hanging="429"/>
        <w:spacing w:after="0"/>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-584835</wp:posOffset>
            </wp:positionV>
            <wp:extent cx="6363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6363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363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409575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452120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25"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835025</wp:posOffset>
            </wp:positionV>
            <wp:extent cx="6997700" cy="4913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491363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Seres Therapeutics, Inc.</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65"/>
          <w:szCs w:val="65"/>
          <w:color w:val="auto"/>
        </w:rPr>
        <w:t>PROXY</w:t>
      </w:r>
    </w:p>
    <w:p>
      <w:pPr>
        <w:ind w:left="60"/>
        <w:spacing w:after="0"/>
        <w:rPr>
          <w:sz w:val="20"/>
          <w:szCs w:val="20"/>
          <w:color w:val="auto"/>
        </w:rPr>
      </w:pPr>
      <w:r>
        <w:rPr>
          <w:rFonts w:ascii="Arial" w:cs="Arial" w:eastAsia="Arial" w:hAnsi="Arial"/>
          <w:sz w:val="65"/>
          <w:szCs w:val="65"/>
          <w:color w:val="auto"/>
        </w:rPr>
        <w:t>STATEMENT</w:t>
      </w:r>
    </w:p>
    <w:p>
      <w:pPr>
        <w:spacing w:after="0" w:line="132" w:lineRule="exact"/>
        <w:rPr>
          <w:sz w:val="20"/>
          <w:szCs w:val="20"/>
          <w:color w:val="auto"/>
        </w:rPr>
      </w:pPr>
    </w:p>
    <w:p>
      <w:pPr>
        <w:spacing w:after="0"/>
        <w:rPr>
          <w:sz w:val="20"/>
          <w:szCs w:val="20"/>
          <w:color w:val="auto"/>
        </w:rPr>
      </w:pPr>
      <w:r>
        <w:rPr>
          <w:rFonts w:ascii="Arial" w:cs="Arial" w:eastAsia="Arial" w:hAnsi="Arial"/>
          <w:sz w:val="54"/>
          <w:szCs w:val="54"/>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June 13, 2019</w:t>
      </w:r>
    </w:p>
    <w:p>
      <w:pPr>
        <w:ind w:left="220"/>
        <w:spacing w:after="0"/>
        <w:rPr>
          <w:sz w:val="20"/>
          <w:szCs w:val="20"/>
          <w:color w:val="auto"/>
        </w:rPr>
      </w:pPr>
      <w:r>
        <w:rPr>
          <w:rFonts w:ascii="Arial" w:cs="Arial" w:eastAsia="Arial" w:hAnsi="Arial"/>
          <w:sz w:val="14"/>
          <w:szCs w:val="14"/>
          <w:color w:val="auto"/>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18415</wp:posOffset>
            </wp:positionV>
            <wp:extent cx="6997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619"/>
          </w:cols>
          <w:pgMar w:left="840" w:top="144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6997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April 30,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0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You are cordially invited to attend the 2019 Annual Meeting of Stockholders of Seres Therapeutics, Inc. at 8:00 a.m. Eastern time, on Thursday, June 13, 2019, at our principal executive offices located at 200 Sidney Street, Cambridge Massachusetts 02139.</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If you would like to attend the Annual Meeting, you must call 1-617-945-9626 no later than 5:00 p.m. Eastern time on June 10, 2019 to have your name placed on the attendance list. Please see the section called “Who Can Attend the 2019 Annual Meeting of Stockholders?” on page 3 of the proxy statement for more information about how to attend the meeting in person.</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in person, even if you have previously submitted your proxy.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1551940" cy="1346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94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Eric D. Shaff</w:t>
      </w: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27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397510</wp:posOffset>
            </wp:positionV>
            <wp:extent cx="699770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Notice of Annual Meeting of Stockholders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Proxy Statement</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Proposals</w:t>
        </w:r>
      </w:hyperlink>
    </w:p>
    <w:p>
      <w:pPr>
        <w:ind w:left="580"/>
        <w:spacing w:after="0" w:line="234"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Recommendations of the Board</w:t>
        </w:r>
      </w:hyperlink>
    </w:p>
    <w:p>
      <w:pPr>
        <w:spacing w:after="0" w:line="1" w:lineRule="exact"/>
        <w:rPr>
          <w:sz w:val="20"/>
          <w:szCs w:val="20"/>
          <w:color w:val="auto"/>
        </w:rPr>
      </w:pPr>
    </w:p>
    <w:p>
      <w:pPr>
        <w:ind w:left="5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Information About This Proxy Statement</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Questions and Answers About the 2019 Annual Meeting of Stockholders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Proposals to be Voted On</w:t>
        </w:r>
      </w:hyperlink>
    </w:p>
    <w:p>
      <w:pPr>
        <w:spacing w:after="0" w:line="13" w:lineRule="exact"/>
        <w:rPr>
          <w:sz w:val="20"/>
          <w:szCs w:val="20"/>
          <w:color w:val="auto"/>
        </w:rPr>
      </w:pPr>
    </w:p>
    <w:p>
      <w:pPr>
        <w:ind w:left="580"/>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 xml:space="preserve">Proposal 1: </w:t>
        </w:r>
        <w:r>
          <w:rPr>
            <w:rFonts w:ascii="Arial" w:cs="Arial" w:eastAsia="Arial" w:hAnsi="Arial"/>
            <w:sz w:val="18"/>
            <w:szCs w:val="18"/>
            <w:u w:val="single" w:color="auto"/>
            <w:color w:val="0000EE"/>
          </w:rPr>
          <w:t>Election of Directors</w:t>
        </w:r>
      </w:hyperlink>
    </w:p>
    <w:p>
      <w:pPr>
        <w:ind w:left="580"/>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 xml:space="preserve">Proposal 2:  </w:t>
        </w:r>
        <w:r>
          <w:rPr>
            <w:rFonts w:ascii="Arial" w:cs="Arial" w:eastAsia="Arial" w:hAnsi="Arial"/>
            <w:sz w:val="18"/>
            <w:szCs w:val="18"/>
            <w:u w:val="single" w:color="auto"/>
            <w:color w:val="0000EE"/>
          </w:rPr>
          <w:t>Ratification of Appointment of Independent Registered Public Accounting Firm</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Report of the Audit Committee of the Board of Directors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Independent Registered Public Accounting Firm Fees and Other Matters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Executive Officers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Corporate Governance</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General</w:t>
        </w:r>
      </w:hyperlink>
    </w:p>
    <w:p>
      <w:pPr>
        <w:ind w:left="580"/>
        <w:spacing w:after="0" w:line="234"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Board Composition</w:t>
        </w:r>
      </w:hyperlink>
    </w:p>
    <w:p>
      <w:pPr>
        <w:ind w:left="580"/>
        <w:spacing w:after="0" w:line="235"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Independence</w:t>
        </w:r>
      </w:hyperlink>
    </w:p>
    <w:p>
      <w:pPr>
        <w:ind w:left="580"/>
        <w:spacing w:after="0" w:line="235"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Director Candidates</w:t>
        </w:r>
      </w:hyperlink>
    </w:p>
    <w:p>
      <w:pPr>
        <w:ind w:left="580"/>
        <w:spacing w:after="0" w:line="235"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Communications from Stockholders</w:t>
        </w:r>
      </w:hyperlink>
    </w:p>
    <w:p>
      <w:pPr>
        <w:ind w:left="58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Board Role in Risk Oversight</w:t>
        </w:r>
      </w:hyperlink>
    </w:p>
    <w:p>
      <w:pPr>
        <w:ind w:left="58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Annual Board Evaluation</w:t>
        </w:r>
      </w:hyperlink>
    </w:p>
    <w:p>
      <w:pPr>
        <w:ind w:left="58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Code of Ethics</w:t>
        </w:r>
      </w:hyperlink>
    </w:p>
    <w:p>
      <w:pPr>
        <w:ind w:left="5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Attendance by Members of the Board of Directors at Meetings</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Committees of the Board</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Audit Committee</w:t>
        </w:r>
      </w:hyperlink>
    </w:p>
    <w:p>
      <w:pPr>
        <w:ind w:left="580"/>
        <w:spacing w:after="0" w:line="234"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Compensation Committee</w:t>
        </w:r>
      </w:hyperlink>
    </w:p>
    <w:p>
      <w:pPr>
        <w:spacing w:after="0" w:line="1" w:lineRule="exact"/>
        <w:rPr>
          <w:sz w:val="20"/>
          <w:szCs w:val="20"/>
          <w:color w:val="auto"/>
        </w:rPr>
      </w:pPr>
    </w:p>
    <w:p>
      <w:pPr>
        <w:ind w:left="5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Nominating and Corporate Governance Committee</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Executive and Director Compensation</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Executive Compensation</w:t>
        </w:r>
      </w:hyperlink>
    </w:p>
    <w:p>
      <w:pPr>
        <w:ind w:left="580"/>
        <w:spacing w:after="0" w:line="234"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2018 Summary Compensation Table</w:t>
        </w:r>
      </w:hyperlink>
    </w:p>
    <w:p>
      <w:pPr>
        <w:ind w:left="58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Narrative Disclosure to Summary Compensation Table</w:t>
        </w:r>
      </w:hyperlink>
    </w:p>
    <w:p>
      <w:pPr>
        <w:ind w:left="58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Outstanding Equity Awards at 2018 Fiscal Year End</w:t>
        </w:r>
      </w:hyperlink>
    </w:p>
    <w:p>
      <w:pPr>
        <w:ind w:left="580"/>
        <w:spacing w:after="0" w:line="235"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Employment and Separation Agreements</w:t>
        </w:r>
      </w:hyperlink>
    </w:p>
    <w:p>
      <w:pPr>
        <w:ind w:left="58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Director Compensation</w:t>
        </w:r>
      </w:hyperlink>
    </w:p>
    <w:p>
      <w:pPr>
        <w:ind w:left="580"/>
        <w:spacing w:after="0" w:line="235"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2018 Director Compensation Table</w:t>
        </w:r>
      </w:hyperlink>
    </w:p>
    <w:p>
      <w:pPr>
        <w:ind w:left="5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Equity Compensation Plan Information</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Security Ownership of Certain Beneficial Owners and Management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13</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14</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16</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19</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19</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21</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21</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24</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24</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25</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26</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29</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30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31</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31</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33</w:t>
      </w:r>
    </w:p>
    <w:p>
      <w:pPr>
        <w:sectPr>
          <w:pgSz w:w="11900" w:h="16838" w:orient="portrait"/>
          <w:cols w:equalWidth="0" w:num="2">
            <w:col w:w="10120" w:space="720"/>
            <w:col w:w="140"/>
          </w:cols>
          <w:pgMar w:left="440" w:top="1049"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7"/>
        </w:trPr>
        <w:tc>
          <w:tcPr>
            <w:tcW w:w="18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Certain Relationships</w:t>
              </w:r>
            </w:hyperlink>
          </w:p>
        </w:tc>
        <w:tc>
          <w:tcPr>
            <w:tcW w:w="3420" w:type="dxa"/>
            <w:vAlign w:val="bottom"/>
            <w:gridSpan w:val="5"/>
          </w:tcPr>
          <w:p>
            <w:pPr>
              <w:spacing w:after="0"/>
              <w:rPr>
                <w:sz w:val="19"/>
                <w:szCs w:val="19"/>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99"/>
        </w:trPr>
        <w:tc>
          <w:tcPr>
            <w:tcW w:w="49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Section 16(a) Beneficial Ownership Reporting Compliance</w:t>
              </w:r>
            </w:hyperlink>
          </w:p>
        </w:tc>
        <w:tc>
          <w:tcPr>
            <w:tcW w:w="30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99"/>
        </w:trPr>
        <w:tc>
          <w:tcPr>
            <w:tcW w:w="528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Compensation Committee Interlocks and Insider Participation</w:t>
              </w:r>
            </w:hyperlink>
          </w:p>
        </w:tc>
        <w:tc>
          <w:tcPr>
            <w:tcW w:w="57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99"/>
        </w:trPr>
        <w:tc>
          <w:tcPr>
            <w:tcW w:w="212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Stockholders’ Proposals</w:t>
              </w:r>
            </w:hyperlink>
          </w:p>
        </w:tc>
        <w:tc>
          <w:tcPr>
            <w:tcW w:w="3160" w:type="dxa"/>
            <w:vAlign w:val="bottom"/>
            <w:gridSpan w:val="3"/>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99"/>
        </w:trPr>
        <w:tc>
          <w:tcPr>
            <w:tcW w:w="118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Other Matters</w:t>
              </w:r>
            </w:hyperlink>
          </w:p>
        </w:tc>
        <w:tc>
          <w:tcPr>
            <w:tcW w:w="4100" w:type="dxa"/>
            <w:vAlign w:val="bottom"/>
            <w:gridSpan w:val="6"/>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99"/>
        </w:trPr>
        <w:tc>
          <w:tcPr>
            <w:tcW w:w="190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47">
              <w:r>
                <w:rPr>
                  <w:rFonts w:ascii="Arial" w:cs="Arial" w:eastAsia="Arial" w:hAnsi="Arial"/>
                  <w:sz w:val="18"/>
                  <w:szCs w:val="18"/>
                  <w:b w:val="1"/>
                  <w:bCs w:val="1"/>
                  <w:color w:val="0000EE"/>
                  <w:w w:val="99"/>
                </w:rPr>
                <w:t>Solicitation of Proxies</w:t>
              </w:r>
            </w:hyperlink>
          </w:p>
        </w:tc>
        <w:tc>
          <w:tcPr>
            <w:tcW w:w="3380" w:type="dxa"/>
            <w:vAlign w:val="bottom"/>
            <w:gridSpan w:val="4"/>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99"/>
        </w:trPr>
        <w:tc>
          <w:tcPr>
            <w:tcW w:w="5280" w:type="dxa"/>
            <w:vAlign w:val="bottom"/>
            <w:gridSpan w:val="7"/>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Seres’ Annual Report on Form 10-K</w:t>
              </w:r>
            </w:hyperlink>
          </w:p>
        </w:tc>
        <w:tc>
          <w:tcPr>
            <w:tcW w:w="57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1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80"/>
          </w:cols>
          <w:pgMar w:left="440" w:top="102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397510</wp:posOffset>
            </wp:positionV>
            <wp:extent cx="699770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Notice of Annual Meeting of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Thursday, June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Thursday, June 13, 2019, at the Company’s principal executive offices located at 200 Sidney Street, Cambridge, Massachusetts 02139, for the following purposes:</w:t>
      </w:r>
    </w:p>
    <w:p>
      <w:pPr>
        <w:spacing w:after="0" w:line="68"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To elect Dennis A. Ausiello, M.D., Willard H. Dere, M.D., Roger J. Pomerantz, M.D. and Eric D. Shaff as Class I Directors to serve until the 2022 Annual Meeting of Stockholders, and until their respective successors shall have been duly elected and qualified;</w:t>
      </w:r>
    </w:p>
    <w:p>
      <w:pPr>
        <w:spacing w:after="0" w:line="21" w:lineRule="exact"/>
        <w:rPr>
          <w:sz w:val="20"/>
          <w:szCs w:val="20"/>
          <w:color w:val="auto"/>
        </w:rPr>
      </w:pPr>
    </w:p>
    <w:p>
      <w:pPr>
        <w:ind w:left="340" w:right="420"/>
        <w:spacing w:after="0" w:line="246"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10287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340" w:right="4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10287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Holders of record of our Common Stock as of the close of business on April 29, 2019 are entitled to notice of and to vote at the Annual Meeting, or any continuation, postponement or adjournment of the Annual Meeting. A complete list of these stockholders will be open to the examination of any stockholder at the Company’s principal executive offices located at 200 Sidney Street, Cambridge, Massachusetts 02139 for a period of ten days prior to the Annual Meeting and on the day of the Annual Meeting. The Annual Meeting may be continued or adjourned from time to time without notice other than by announcement at the Annual Meeting.</w:t>
      </w:r>
    </w:p>
    <w:p>
      <w:pPr>
        <w:spacing w:after="0" w:line="3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in person,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1920875"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w:t>
      </w: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April 30, 2019</w:t>
      </w:r>
    </w:p>
    <w:p>
      <w:pPr>
        <w:sectPr>
          <w:pgSz w:w="11900" w:h="16838" w:orient="portrait"/>
          <w:cols w:equalWidth="0" w:num="1">
            <w:col w:w="11020"/>
          </w:cols>
          <w:pgMar w:left="440" w:top="832"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of proxies to be voted at our Annual Meeting of Stockholders to be held on Thursday, June 13, 2019 (the “Annual Meeting”), at our principal executive offices located at 200 Sidney Street, Cambridge, Massachusetts 02139, at 8:00 a.m. Eastern time, and at any continuation, postponement, or adjournment of the Annual Meeting. Holders of record of shares of our Common Stock (“Common Stock”), as of the close of business on April 29, 2019 (the “Record Date”), will be entitled to notice of and to vote at the Annual Meeting and any continuation, postponement, or adjournment of the Annual Meeting. As of the Record Date, there were 41,094,832 shares of Common Stock outstanding and entitled to vote at the Annual Meeting. Each share of Common Stock is entitled to one vote on any matter presented to stockholders at the Annual Meeting.</w:t>
      </w:r>
    </w:p>
    <w:p>
      <w:pPr>
        <w:spacing w:after="0" w:line="6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This proxy statement and our Annual Report to Stockholders for the year ended December 31, 2018 (the “2018 Annual Report”) will be released on or about April 30, 2019 to our stockholders on the Record Date.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82" w:lineRule="exact"/>
        <w:rPr>
          <w:sz w:val="20"/>
          <w:szCs w:val="20"/>
          <w:color w:val="auto"/>
        </w:rPr>
      </w:pPr>
    </w:p>
    <w:p>
      <w:pPr>
        <w:ind w:right="4080"/>
        <w:spacing w:after="0" w:line="302"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THURSDAY, JUNE 13, 2019</w:t>
      </w:r>
    </w:p>
    <w:p>
      <w:pPr>
        <w:spacing w:after="0" w:line="21" w:lineRule="exact"/>
        <w:rPr>
          <w:sz w:val="20"/>
          <w:szCs w:val="20"/>
          <w:color w:val="auto"/>
        </w:rPr>
      </w:pPr>
    </w:p>
    <w:p>
      <w:pPr>
        <w:ind w:right="1600"/>
        <w:spacing w:after="0" w:line="434" w:lineRule="auto"/>
        <w:rPr>
          <w:sz w:val="20"/>
          <w:szCs w:val="20"/>
          <w:color w:val="auto"/>
        </w:rPr>
      </w:pPr>
      <w:r>
        <w:rPr>
          <w:rFonts w:ascii="Arial" w:cs="Arial" w:eastAsia="Arial" w:hAnsi="Arial"/>
          <w:sz w:val="17"/>
          <w:szCs w:val="17"/>
          <w:b w:val="1"/>
          <w:bCs w:val="1"/>
          <w:color w:val="auto"/>
        </w:rPr>
        <w:t xml:space="preserve">This Proxy Statement and our 2018 Annual Report to Stockholders are available at http://www.proxyvote.com/ </w:t>
      </w:r>
      <w:r>
        <w:rPr>
          <w:rFonts w:ascii="Arial" w:cs="Arial" w:eastAsia="Arial" w:hAnsi="Arial"/>
          <w:sz w:val="17"/>
          <w:szCs w:val="17"/>
          <w:color w:val="auto"/>
        </w:rPr>
        <w:t>Stockholders may receive directions to attend the meeting in person by calling 1-617-945-9626.</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77" w:lineRule="exact"/>
        <w:rPr>
          <w:sz w:val="20"/>
          <w:szCs w:val="20"/>
          <w:color w:val="auto"/>
        </w:rPr>
      </w:pPr>
    </w:p>
    <w:p>
      <w:pPr>
        <w:jc w:val="both"/>
        <w:ind w:left="640" w:right="500"/>
        <w:spacing w:after="0"/>
        <w:rPr>
          <w:sz w:val="20"/>
          <w:szCs w:val="20"/>
          <w:color w:val="auto"/>
        </w:rPr>
      </w:pPr>
      <w:r>
        <w:rPr>
          <w:rFonts w:ascii="Arial" w:cs="Arial" w:eastAsia="Arial" w:hAnsi="Arial"/>
          <w:sz w:val="18"/>
          <w:szCs w:val="18"/>
          <w:color w:val="auto"/>
        </w:rPr>
        <w:t>To elect Dennis A. Ausiello, M.D., Willard H. Dere, M.D., Roger J. Pomerantz, M.D. and Eric D. Shaff as Class I Directors to serve until the 2022 Annual Meeting of Stockholders, and until their respective successors shall have been duly elected and qualified;</w:t>
      </w:r>
    </w:p>
    <w:p>
      <w:pPr>
        <w:spacing w:after="0" w:line="27" w:lineRule="exact"/>
        <w:rPr>
          <w:sz w:val="20"/>
          <w:szCs w:val="20"/>
          <w:color w:val="auto"/>
        </w:rPr>
      </w:pPr>
    </w:p>
    <w:p>
      <w:pPr>
        <w:ind w:left="640" w:right="480"/>
        <w:spacing w:after="0" w:line="246"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-267970</wp:posOffset>
            </wp:positionV>
            <wp:extent cx="10287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640" w:right="76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-267970</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of Directors (the “Board”) recommends that you vote your shares of Common Stock as indicated below. If you return a properly completed proxy card, or vote your shares by telephone or Internet, your shares will be voted on your behalf as you direct. If not otherwise specified, shares of</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980"/>
          </w:cols>
          <w:pgMar w:left="440" w:top="832"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represented by proxies will be voted, and the Board of Directors recommends that you vote:</w:t>
      </w:r>
    </w:p>
    <w:p>
      <w:pPr>
        <w:spacing w:after="0" w:line="117" w:lineRule="exact"/>
        <w:rPr>
          <w:sz w:val="20"/>
          <w:szCs w:val="20"/>
          <w:color w:val="auto"/>
        </w:rPr>
      </w:pPr>
    </w:p>
    <w:p>
      <w:pPr>
        <w:ind w:left="640" w:right="560"/>
        <w:spacing w:after="0" w:line="246" w:lineRule="auto"/>
        <w:rPr>
          <w:sz w:val="20"/>
          <w:szCs w:val="20"/>
          <w:color w:val="auto"/>
        </w:rPr>
      </w:pPr>
      <w:r>
        <w:rPr>
          <w:rFonts w:ascii="Arial" w:cs="Arial" w:eastAsia="Arial" w:hAnsi="Arial"/>
          <w:sz w:val="18"/>
          <w:szCs w:val="18"/>
          <w:color w:val="auto"/>
        </w:rPr>
        <w:t>FOR the election of Dennis A. Ausiello, M.D., Willard H. Dere, M.D., Roger J. Pomerantz, M.D. and Eric D. Shaff as Class I Directors; and</w:t>
      </w:r>
    </w:p>
    <w:p>
      <w:pPr>
        <w:spacing w:after="0" w:line="21" w:lineRule="exact"/>
        <w:rPr>
          <w:sz w:val="20"/>
          <w:szCs w:val="20"/>
          <w:color w:val="auto"/>
        </w:rPr>
      </w:pPr>
    </w:p>
    <w:p>
      <w:pPr>
        <w:ind w:left="640" w:right="360"/>
        <w:spacing w:after="0" w:line="246" w:lineRule="auto"/>
        <w:rPr>
          <w:sz w:val="20"/>
          <w:szCs w:val="20"/>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-267970</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our Board is soliciting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to vote your shares of Common Stock at the Annual Meeting. This proxy statement includes information that we are required to provide to you under the rules of the Securities and Exchange Commission (“SEC”) and that is designed to assist you in voting your shares.</w:t>
      </w:r>
    </w:p>
    <w:p>
      <w:pPr>
        <w:spacing w:after="0" w:line="66"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our 2018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our stockholders electronically via the Internet. On or about April 30, 2019, we mailed to our stockholders a Notice of Internet Availability of Proxy Materials (the “Internet Notice”) containing instructions on how to access this proxy statement and our 2018 Annual Report and vote online. If you received an Internet Notice by mail, you will not receive a printed copy of the proxy materials unless you specifically request them. Instead, the Internet Notice instructs you on how to access and review all of the important information contained in the proxy statement and 2018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w:t>
      </w:r>
      <w:r>
        <w:rPr>
          <w:rFonts w:ascii="Arial" w:cs="Arial" w:eastAsia="Arial" w:hAnsi="Arial"/>
          <w:sz w:val="18"/>
          <w:szCs w:val="18"/>
          <w:b w:val="1"/>
          <w:bCs w:val="1"/>
          <w:color w:val="auto"/>
        </w:rPr>
        <w:t xml:space="preserve"> </w:t>
      </w:r>
      <w:r>
        <w:rPr>
          <w:rFonts w:ascii="Arial" w:cs="Arial" w:eastAsia="Arial" w:hAnsi="Arial"/>
          <w:sz w:val="18"/>
          <w:szCs w:val="18"/>
          <w:color w:val="auto"/>
        </w:rPr>
        <w:t>vote are contained on the proxy card included in the materials.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Internet Notice or set of proxy materials to one address shared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1-866-540-7095 or in writing at Broadridge, Householding Department, 51 Mercedes Way, Edgewood, New York 11717.</w:t>
      </w:r>
    </w:p>
    <w:p>
      <w:pPr>
        <w:spacing w:after="0" w:line="5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Internet Notices or proxy materials for your household, please contact Broadridge at the above phone number or address.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960"/>
          </w:cols>
          <w:pgMar w:left="440" w:top="287"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Questions and Answers about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Record Date for the Annual Meeting is April 29, 2019.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41,094,832 shares of Common Stock outstanding and entitled to vote at the Annual Meeting.</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in person at the Annual Meeting, unless you obtain a legal proxy from your bank or brokerage firm.</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proxy, of the holders of a majority in voting power of the Common Stock issued and outstanding and entitled to vote on the Record Date will constitute a quorum.</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CAN ATTEND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You may attend the Annual Meeting only if you are a Seres stockholder who is entitled to vote at the Annual Meeting, or if you hold a valid proxy for the Annual Meeting. If you would like to attend the Annual Meeting, you must call 1-617-945-9626 no later than 5:00 p.m. Eastern time on June 10, 2019 to have your name placed on the attendance list. In order to be admitted into the Annual Meeting, your name must appear on the attendance list and you must present government-issued photo identification (such as a driver’s license). If your bank or broker holds your shares in street name,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a majority in voting power of the stockholders present in person or represented by proxy, may adjourn the Annual Meeting until a quorum is present or represented.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20"/>
          </w:cols>
          <w:pgMar w:left="440" w:top="832" w:right="4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QUESTIONS AND ANSWERS ABOUT THE 2019 ANNUAL MEETING OF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recommend that stockholders vote by proxy even if they plan to attend the Annual Meeting and vote in person. If you are a stockholder of record, there are three ways to vote by proxy:</w:t>
      </w:r>
    </w:p>
    <w:p>
      <w:pPr>
        <w:spacing w:after="0" w:line="21" w:lineRule="exact"/>
        <w:rPr>
          <w:sz w:val="20"/>
          <w:szCs w:val="20"/>
          <w:color w:val="auto"/>
        </w:rPr>
      </w:pPr>
    </w:p>
    <w:p>
      <w:pPr>
        <w:ind w:left="440" w:hanging="220"/>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Telephone—You can vote by telephone by calling 1-800-690-6903 and following the instructions on the proxy card;</w:t>
      </w:r>
    </w:p>
    <w:p>
      <w:pPr>
        <w:spacing w:after="0" w:line="49" w:lineRule="exact"/>
        <w:rPr>
          <w:rFonts w:ascii="Arial" w:cs="Arial" w:eastAsia="Arial" w:hAnsi="Arial"/>
          <w:sz w:val="18"/>
          <w:szCs w:val="18"/>
          <w:color w:val="auto"/>
        </w:rPr>
      </w:pPr>
    </w:p>
    <w:p>
      <w:pPr>
        <w:ind w:left="440" w:right="140" w:hanging="220"/>
        <w:spacing w:after="0" w:line="246"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Internet—You can vote over the Internet at www.proxyvote.com by following the instructions on the Internet Notice or proxy card; or</w:t>
      </w:r>
    </w:p>
    <w:p>
      <w:pPr>
        <w:spacing w:after="0" w:line="21" w:lineRule="exact"/>
        <w:rPr>
          <w:rFonts w:ascii="Arial" w:cs="Arial" w:eastAsia="Arial" w:hAnsi="Arial"/>
          <w:sz w:val="18"/>
          <w:szCs w:val="18"/>
          <w:color w:val="auto"/>
        </w:rPr>
      </w:pPr>
    </w:p>
    <w:p>
      <w:pPr>
        <w:ind w:left="440" w:hanging="220"/>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w:t>
      </w:r>
    </w:p>
    <w:p>
      <w:pPr>
        <w:spacing w:after="0" w:line="77"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12, 2019.</w:t>
      </w:r>
    </w:p>
    <w:p>
      <w:pPr>
        <w:spacing w:after="0" w:line="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in person at the Annual Meeting, you should contact your bank or broker to obtain a legal proxy and bring it to the Annual Meeting in order to vote.</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440" w:hanging="220"/>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49" w:lineRule="exact"/>
        <w:rPr>
          <w:rFonts w:ascii="Arial" w:cs="Arial" w:eastAsia="Arial" w:hAnsi="Arial"/>
          <w:sz w:val="18"/>
          <w:szCs w:val="18"/>
          <w:color w:val="auto"/>
        </w:rPr>
      </w:pPr>
    </w:p>
    <w:p>
      <w:pPr>
        <w:ind w:left="440" w:hanging="220"/>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49" w:lineRule="exact"/>
        <w:rPr>
          <w:rFonts w:ascii="Arial" w:cs="Arial" w:eastAsia="Arial" w:hAnsi="Arial"/>
          <w:sz w:val="18"/>
          <w:szCs w:val="18"/>
          <w:color w:val="auto"/>
        </w:rPr>
      </w:pPr>
    </w:p>
    <w:p>
      <w:pPr>
        <w:ind w:left="440" w:hanging="220"/>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Seres prior to or at the Annual Meeting; or</w:t>
      </w:r>
    </w:p>
    <w:p>
      <w:pPr>
        <w:spacing w:after="0" w:line="49" w:lineRule="exact"/>
        <w:rPr>
          <w:rFonts w:ascii="Arial" w:cs="Arial" w:eastAsia="Arial" w:hAnsi="Arial"/>
          <w:sz w:val="18"/>
          <w:szCs w:val="18"/>
          <w:color w:val="auto"/>
        </w:rPr>
      </w:pPr>
    </w:p>
    <w:p>
      <w:pPr>
        <w:ind w:left="440" w:hanging="220"/>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 unless you give written notice of revocation to the Secretary before your proxy is voted or you vote in person at the Annual Meeting.</w:t>
      </w:r>
    </w:p>
    <w:p>
      <w:pPr>
        <w:spacing w:after="0" w:line="5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20"/>
          </w:cols>
          <w:pgMar w:left="440" w:top="287" w:right="439" w:bottom="1440" w:gutter="0" w:footer="0" w:header="0"/>
        </w:sectPr>
      </w:pPr>
    </w:p>
    <w:bookmarkStart w:id="11" w:name="page12"/>
    <w:bookmarkEnd w:id="11"/>
    <w:p>
      <w:pPr>
        <w:ind w:right="5440"/>
        <w:spacing w:after="0" w:line="48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QUESTIONS AND ANSWERS ABOUT THE 2019 ANNUAL MEETING OF STOCKHOLDERS </w:t>
      </w:r>
      <w:r>
        <w:rPr>
          <w:rFonts w:ascii="Arial" w:cs="Arial" w:eastAsia="Arial" w:hAnsi="Arial"/>
          <w:sz w:val="12"/>
          <w:szCs w:val="12"/>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right="10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our Board of Directors. Our Board of Directors’ recommendations are indicated on page 2 of this proxy statement, as well as with the description of each proposal in this proxy statement.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ind w:right="400"/>
        <w:spacing w:after="0" w:line="247" w:lineRule="auto"/>
        <w:rPr>
          <w:sz w:val="20"/>
          <w:szCs w:val="20"/>
          <w:color w:val="auto"/>
        </w:rPr>
      </w:pPr>
      <w:r>
        <w:rPr>
          <w:rFonts w:ascii="Arial" w:cs="Arial" w:eastAsia="Arial" w:hAnsi="Arial"/>
          <w:sz w:val="14"/>
          <w:szCs w:val="14"/>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shd w:val="clear" w:color="auto" w:fill="D8D8D8"/>
          </w:tcPr>
          <w:p>
            <w:pPr>
              <w:spacing w:after="0"/>
              <w:rPr>
                <w:sz w:val="14"/>
                <w:szCs w:val="14"/>
                <w:color w:val="auto"/>
              </w:rPr>
            </w:pPr>
          </w:p>
        </w:tc>
        <w:tc>
          <w:tcPr>
            <w:tcW w:w="3900" w:type="dxa"/>
            <w:vAlign w:val="bottom"/>
            <w:shd w:val="clear" w:color="auto" w:fill="D8D8D8"/>
          </w:tcPr>
          <w:p>
            <w:pPr>
              <w:spacing w:after="0"/>
              <w:rPr>
                <w:sz w:val="14"/>
                <w:szCs w:val="14"/>
                <w:color w:val="auto"/>
              </w:rPr>
            </w:pPr>
          </w:p>
        </w:tc>
        <w:tc>
          <w:tcPr>
            <w:tcW w:w="4940" w:type="dxa"/>
            <w:vAlign w:val="bottom"/>
            <w:shd w:val="clear" w:color="auto" w:fill="D8D8D8"/>
          </w:tcPr>
          <w:p>
            <w:pPr>
              <w:ind w:left="1400"/>
              <w:spacing w:after="0"/>
              <w:rPr>
                <w:sz w:val="20"/>
                <w:szCs w:val="20"/>
                <w:color w:val="auto"/>
              </w:rPr>
            </w:pPr>
            <w:r>
              <w:rPr>
                <w:rFonts w:ascii="Arial" w:cs="Arial" w:eastAsia="Arial" w:hAnsi="Arial"/>
                <w:sz w:val="14"/>
                <w:szCs w:val="14"/>
                <w:b w:val="1"/>
                <w:bCs w:val="1"/>
                <w:color w:val="auto"/>
              </w:rPr>
              <w:t>Effect of Votes Withheld / Abstentions</w:t>
            </w:r>
          </w:p>
        </w:tc>
      </w:tr>
      <w:tr>
        <w:trPr>
          <w:trHeight w:val="196"/>
        </w:trPr>
        <w:tc>
          <w:tcPr>
            <w:tcW w:w="218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Proposal</w:t>
            </w:r>
          </w:p>
        </w:tc>
        <w:tc>
          <w:tcPr>
            <w:tcW w:w="3900" w:type="dxa"/>
            <w:vAlign w:val="bottom"/>
            <w:tcBorders>
              <w:bottom w:val="single" w:sz="8" w:color="auto"/>
            </w:tcBorders>
            <w:shd w:val="clear" w:color="auto" w:fill="D8D8D8"/>
          </w:tcPr>
          <w:p>
            <w:pPr>
              <w:ind w:left="1560"/>
              <w:spacing w:after="0"/>
              <w:rPr>
                <w:sz w:val="20"/>
                <w:szCs w:val="20"/>
                <w:color w:val="auto"/>
              </w:rPr>
            </w:pPr>
            <w:r>
              <w:rPr>
                <w:rFonts w:ascii="Arial" w:cs="Arial" w:eastAsia="Arial" w:hAnsi="Arial"/>
                <w:sz w:val="14"/>
                <w:szCs w:val="14"/>
                <w:b w:val="1"/>
                <w:bCs w:val="1"/>
                <w:color w:val="auto"/>
              </w:rPr>
              <w:t>Votes required</w:t>
            </w:r>
          </w:p>
        </w:tc>
        <w:tc>
          <w:tcPr>
            <w:tcW w:w="4940" w:type="dxa"/>
            <w:vAlign w:val="bottom"/>
            <w:tcBorders>
              <w:bottom w:val="single" w:sz="8" w:color="auto"/>
            </w:tcBorders>
            <w:shd w:val="clear" w:color="auto" w:fill="D8D8D8"/>
          </w:tcPr>
          <w:p>
            <w:pPr>
              <w:ind w:left="1400"/>
              <w:spacing w:after="0"/>
              <w:rPr>
                <w:sz w:val="20"/>
                <w:szCs w:val="20"/>
                <w:color w:val="auto"/>
              </w:rPr>
            </w:pPr>
            <w:r>
              <w:rPr>
                <w:rFonts w:ascii="Arial" w:cs="Arial" w:eastAsia="Arial" w:hAnsi="Arial"/>
                <w:sz w:val="14"/>
                <w:szCs w:val="14"/>
                <w:b w:val="1"/>
                <w:bCs w:val="1"/>
                <w:color w:val="auto"/>
              </w:rPr>
              <w:t>and Broker Non-Votes</w:t>
            </w:r>
          </w:p>
        </w:tc>
      </w:tr>
    </w:tbl>
    <w:p>
      <w:pPr>
        <w:spacing w:after="0" w:line="1" w:lineRule="exact"/>
        <w:rPr>
          <w:sz w:val="20"/>
          <w:szCs w:val="20"/>
          <w:color w:val="auto"/>
        </w:rPr>
      </w:pPr>
    </w:p>
    <w:p>
      <w:pPr>
        <w:sectPr>
          <w:pgSz w:w="11900" w:h="16838" w:orient="portrait"/>
          <w:cols w:equalWidth="0" w:num="1">
            <w:col w:w="11040"/>
          </w:cols>
          <w:pgMar w:left="440" w:top="287" w:right="419" w:bottom="1440" w:gutter="0" w:footer="0" w:header="0"/>
        </w:sectPr>
      </w:pPr>
    </w:p>
    <w:tbl>
      <w:tblPr>
        <w:tblLayout w:type="fixed"/>
        <w:tblInd w:w="60" w:type="dxa"/>
        <w:tblCellMar>
          <w:top w:w="0" w:type="dxa"/>
          <w:left w:w="0" w:type="dxa"/>
          <w:bottom w:w="0" w:type="dxa"/>
          <w:right w:w="0" w:type="dxa"/>
        </w:tblCellMar>
      </w:tblPr>
      <w:tr>
        <w:trPr>
          <w:trHeight w:val="161"/>
        </w:trPr>
        <w:tc>
          <w:tcPr>
            <w:tcW w:w="2880" w:type="dxa"/>
            <w:vAlign w:val="bottom"/>
            <w:gridSpan w:val="2"/>
          </w:tcPr>
          <w:p>
            <w:pPr>
              <w:spacing w:after="0"/>
              <w:rPr>
                <w:sz w:val="20"/>
                <w:szCs w:val="20"/>
                <w:color w:val="auto"/>
              </w:rPr>
            </w:pPr>
            <w:r>
              <w:rPr>
                <w:rFonts w:ascii="Arial" w:cs="Arial" w:eastAsia="Arial" w:hAnsi="Arial"/>
                <w:sz w:val="14"/>
                <w:szCs w:val="14"/>
                <w:color w:val="auto"/>
              </w:rPr>
              <w:t>Proposal 1: Election of Directors</w:t>
            </w:r>
          </w:p>
        </w:tc>
        <w:tc>
          <w:tcPr>
            <w:tcW w:w="4320" w:type="dxa"/>
            <w:vAlign w:val="bottom"/>
          </w:tcPr>
          <w:p>
            <w:pPr>
              <w:ind w:left="820"/>
              <w:spacing w:after="0"/>
              <w:rPr>
                <w:sz w:val="20"/>
                <w:szCs w:val="20"/>
                <w:color w:val="auto"/>
              </w:rPr>
            </w:pPr>
            <w:r>
              <w:rPr>
                <w:rFonts w:ascii="Arial" w:cs="Arial" w:eastAsia="Arial" w:hAnsi="Arial"/>
                <w:sz w:val="14"/>
                <w:szCs w:val="14"/>
                <w:color w:val="auto"/>
              </w:rPr>
              <w:t>The plurality of the votes cast. This means that the four</w:t>
            </w:r>
          </w:p>
        </w:tc>
      </w:tr>
      <w:tr>
        <w:trPr>
          <w:trHeight w:val="160"/>
        </w:trPr>
        <w:tc>
          <w:tcPr>
            <w:tcW w:w="680" w:type="dxa"/>
            <w:vAlign w:val="bottom"/>
            <w:tcBorders>
              <w:top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4320" w:type="dxa"/>
            <w:vAlign w:val="bottom"/>
          </w:tcPr>
          <w:p>
            <w:pPr>
              <w:ind w:left="820"/>
              <w:spacing w:after="0"/>
              <w:rPr>
                <w:sz w:val="20"/>
                <w:szCs w:val="20"/>
                <w:color w:val="auto"/>
              </w:rPr>
            </w:pPr>
            <w:r>
              <w:rPr>
                <w:rFonts w:ascii="Arial" w:cs="Arial" w:eastAsia="Arial" w:hAnsi="Arial"/>
                <w:sz w:val="14"/>
                <w:szCs w:val="14"/>
                <w:color w:val="auto"/>
              </w:rPr>
              <w:t>nominees receiving the highest number of affirmative</w:t>
            </w:r>
          </w:p>
        </w:tc>
      </w:tr>
      <w:tr>
        <w:trPr>
          <w:trHeight w:val="172"/>
        </w:trPr>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320" w:type="dxa"/>
            <w:vAlign w:val="bottom"/>
          </w:tcPr>
          <w:p>
            <w:pPr>
              <w:ind w:left="820"/>
              <w:spacing w:after="0"/>
              <w:rPr>
                <w:sz w:val="20"/>
                <w:szCs w:val="20"/>
                <w:color w:val="auto"/>
              </w:rPr>
            </w:pPr>
            <w:r>
              <w:rPr>
                <w:rFonts w:ascii="Arial" w:cs="Arial" w:eastAsia="Arial" w:hAnsi="Arial"/>
                <w:sz w:val="14"/>
                <w:szCs w:val="14"/>
                <w:color w:val="auto"/>
              </w:rPr>
              <w:t>“FOR” votes will be elected as Class I Directors.</w:t>
            </w:r>
          </w:p>
        </w:tc>
      </w:tr>
    </w:tbl>
    <w:p>
      <w:pPr>
        <w:spacing w:after="0" w:line="20" w:lineRule="exact"/>
        <w:rPr>
          <w:sz w:val="20"/>
          <w:szCs w:val="20"/>
          <w:color w:val="auto"/>
        </w:rPr>
      </w:pPr>
      <w:r>
        <w:rPr>
          <w:sz w:val="20"/>
          <w:szCs w:val="20"/>
          <w:color w:val="auto"/>
        </w:rPr>
        <w:br w:type="column"/>
      </w:r>
    </w:p>
    <w:p>
      <w:pPr>
        <w:ind w:right="420"/>
        <w:spacing w:after="0" w:line="258" w:lineRule="auto"/>
        <w:rPr>
          <w:sz w:val="20"/>
          <w:szCs w:val="20"/>
          <w:color w:val="auto"/>
        </w:rPr>
      </w:pPr>
      <w:r>
        <w:rPr>
          <w:rFonts w:ascii="Arial" w:cs="Arial" w:eastAsia="Arial" w:hAnsi="Arial"/>
          <w:sz w:val="14"/>
          <w:szCs w:val="14"/>
          <w:color w:val="auto"/>
        </w:rPr>
        <w:t>Votes withheld and broker non-votes will have no effect.</w:t>
      </w:r>
    </w:p>
    <w:p>
      <w:pPr>
        <w:spacing w:after="0" w:line="189" w:lineRule="exact"/>
        <w:rPr>
          <w:sz w:val="20"/>
          <w:szCs w:val="20"/>
          <w:color w:val="auto"/>
        </w:rPr>
      </w:pPr>
    </w:p>
    <w:p>
      <w:pPr>
        <w:sectPr>
          <w:pgSz w:w="11900" w:h="16838" w:orient="portrait"/>
          <w:cols w:equalWidth="0" w:num="2">
            <w:col w:w="7260" w:space="240"/>
            <w:col w:w="3540"/>
          </w:cols>
          <w:pgMar w:left="440" w:top="287" w:right="419" w:bottom="1440" w:gutter="0" w:footer="0" w:header="0"/>
          <w:type w:val="continuous"/>
        </w:sectPr>
      </w:pPr>
    </w:p>
    <w:tbl>
      <w:tblPr>
        <w:tblLayout w:type="fixed"/>
        <w:tblInd w:w="30" w:type="dxa"/>
        <w:tblCellMar>
          <w:top w:w="0" w:type="dxa"/>
          <w:left w:w="0" w:type="dxa"/>
          <w:bottom w:w="0" w:type="dxa"/>
          <w:right w:w="0" w:type="dxa"/>
        </w:tblCellMar>
      </w:tblPr>
      <w:tr>
        <w:trPr>
          <w:trHeight w:val="162"/>
        </w:trPr>
        <w:tc>
          <w:tcPr>
            <w:tcW w:w="3640" w:type="dxa"/>
            <w:vAlign w:val="bottom"/>
            <w:tcBorders>
              <w:left w:val="single" w:sz="8" w:color="D8D8D8"/>
            </w:tcBorders>
            <w:gridSpan w:val="2"/>
            <w:shd w:val="clear" w:color="auto" w:fill="D8D8D8"/>
          </w:tcPr>
          <w:p>
            <w:pPr>
              <w:ind w:left="40"/>
              <w:spacing w:after="0"/>
              <w:rPr>
                <w:sz w:val="20"/>
                <w:szCs w:val="20"/>
                <w:color w:val="auto"/>
              </w:rPr>
            </w:pPr>
            <w:r>
              <w:rPr>
                <w:rFonts w:ascii="Arial" w:cs="Arial" w:eastAsia="Arial" w:hAnsi="Arial"/>
                <w:sz w:val="14"/>
                <w:szCs w:val="14"/>
                <w:color w:val="auto"/>
              </w:rPr>
              <w:t>Proposal 2: Ratification of Appointment of Independent</w:t>
            </w:r>
          </w:p>
        </w:tc>
        <w:tc>
          <w:tcPr>
            <w:tcW w:w="3760" w:type="dxa"/>
            <w:vAlign w:val="bottom"/>
            <w:shd w:val="clear" w:color="auto" w:fill="D8D8D8"/>
          </w:tcPr>
          <w:p>
            <w:pPr>
              <w:ind w:left="100"/>
              <w:spacing w:after="0"/>
              <w:rPr>
                <w:sz w:val="20"/>
                <w:szCs w:val="20"/>
                <w:color w:val="auto"/>
              </w:rPr>
            </w:pPr>
            <w:r>
              <w:rPr>
                <w:rFonts w:ascii="Arial" w:cs="Arial" w:eastAsia="Arial" w:hAnsi="Arial"/>
                <w:sz w:val="14"/>
                <w:szCs w:val="14"/>
                <w:color w:val="auto"/>
              </w:rPr>
              <w:t>The affirmative vote of the holders of a majority in voting</w:t>
            </w:r>
          </w:p>
        </w:tc>
        <w:tc>
          <w:tcPr>
            <w:tcW w:w="36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Abstentions will have no effect. We do not expect any</w:t>
            </w:r>
          </w:p>
        </w:tc>
        <w:tc>
          <w:tcPr>
            <w:tcW w:w="0" w:type="dxa"/>
            <w:vAlign w:val="bottom"/>
          </w:tcPr>
          <w:p>
            <w:pPr>
              <w:spacing w:after="0"/>
              <w:rPr>
                <w:sz w:val="1"/>
                <w:szCs w:val="1"/>
                <w:color w:val="auto"/>
              </w:rPr>
            </w:pPr>
          </w:p>
        </w:tc>
      </w:tr>
      <w:tr>
        <w:trPr>
          <w:trHeight w:val="20"/>
        </w:trPr>
        <w:tc>
          <w:tcPr>
            <w:tcW w:w="720" w:type="dxa"/>
            <w:vAlign w:val="bottom"/>
            <w:tcBorders>
              <w:left w:val="single" w:sz="8" w:color="D8D8D8"/>
            </w:tcBorders>
            <w:shd w:val="clear" w:color="auto" w:fill="000000"/>
          </w:tcPr>
          <w:p>
            <w:pPr>
              <w:spacing w:after="0" w:line="20" w:lineRule="exact"/>
              <w:rPr>
                <w:sz w:val="1"/>
                <w:szCs w:val="1"/>
                <w:color w:val="auto"/>
              </w:rPr>
            </w:pPr>
          </w:p>
        </w:tc>
        <w:tc>
          <w:tcPr>
            <w:tcW w:w="2920" w:type="dxa"/>
            <w:vAlign w:val="bottom"/>
            <w:shd w:val="clear" w:color="auto" w:fill="D8D8D8"/>
          </w:tcPr>
          <w:p>
            <w:pPr>
              <w:spacing w:after="0" w:line="20" w:lineRule="exact"/>
              <w:rPr>
                <w:sz w:val="1"/>
                <w:szCs w:val="1"/>
                <w:color w:val="auto"/>
              </w:rPr>
            </w:pPr>
          </w:p>
        </w:tc>
        <w:tc>
          <w:tcPr>
            <w:tcW w:w="3760" w:type="dxa"/>
            <w:vAlign w:val="bottom"/>
            <w:vMerge w:val="restart"/>
            <w:shd w:val="clear" w:color="auto" w:fill="D8D8D8"/>
          </w:tcPr>
          <w:p>
            <w:pPr>
              <w:ind w:left="100"/>
              <w:spacing w:after="0"/>
              <w:rPr>
                <w:sz w:val="20"/>
                <w:szCs w:val="20"/>
                <w:color w:val="auto"/>
              </w:rPr>
            </w:pPr>
            <w:r>
              <w:rPr>
                <w:rFonts w:ascii="Arial" w:cs="Arial" w:eastAsia="Arial" w:hAnsi="Arial"/>
                <w:sz w:val="14"/>
                <w:szCs w:val="14"/>
                <w:color w:val="auto"/>
              </w:rPr>
              <w:t>power of the votes cast affirmatively or negatively.</w:t>
            </w:r>
          </w:p>
        </w:tc>
        <w:tc>
          <w:tcPr>
            <w:tcW w:w="362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broker non-votes on this proposal.</w:t>
            </w:r>
          </w:p>
        </w:tc>
        <w:tc>
          <w:tcPr>
            <w:tcW w:w="0" w:type="dxa"/>
            <w:vAlign w:val="bottom"/>
          </w:tcPr>
          <w:p>
            <w:pPr>
              <w:spacing w:after="0" w:line="20" w:lineRule="exact"/>
              <w:rPr>
                <w:sz w:val="1"/>
                <w:szCs w:val="1"/>
                <w:color w:val="auto"/>
              </w:rPr>
            </w:pPr>
          </w:p>
        </w:tc>
      </w:tr>
      <w:tr>
        <w:trPr>
          <w:trHeight w:val="169"/>
        </w:trPr>
        <w:tc>
          <w:tcPr>
            <w:tcW w:w="3640" w:type="dxa"/>
            <w:vAlign w:val="bottom"/>
            <w:tcBorders>
              <w:left w:val="single" w:sz="8" w:color="D8D8D8"/>
            </w:tcBorders>
            <w:gridSpan w:val="2"/>
            <w:shd w:val="clear" w:color="auto" w:fill="D8D8D8"/>
          </w:tcPr>
          <w:p>
            <w:pPr>
              <w:ind w:left="40"/>
              <w:spacing w:after="0"/>
              <w:rPr>
                <w:sz w:val="20"/>
                <w:szCs w:val="20"/>
                <w:color w:val="auto"/>
              </w:rPr>
            </w:pPr>
            <w:r>
              <w:rPr>
                <w:rFonts w:ascii="Arial" w:cs="Arial" w:eastAsia="Arial" w:hAnsi="Arial"/>
                <w:sz w:val="14"/>
                <w:szCs w:val="14"/>
                <w:color w:val="auto"/>
              </w:rPr>
              <w:t>Registered Public Accounting Firm</w:t>
            </w:r>
          </w:p>
        </w:tc>
        <w:tc>
          <w:tcPr>
            <w:tcW w:w="3760" w:type="dxa"/>
            <w:vAlign w:val="bottom"/>
            <w:vMerge w:val="continue"/>
            <w:shd w:val="clear" w:color="auto" w:fill="D8D8D8"/>
          </w:tcPr>
          <w:p>
            <w:pPr>
              <w:spacing w:after="0"/>
              <w:rPr>
                <w:sz w:val="14"/>
                <w:szCs w:val="14"/>
                <w:color w:val="auto"/>
              </w:rPr>
            </w:pPr>
          </w:p>
        </w:tc>
        <w:tc>
          <w:tcPr>
            <w:tcW w:w="362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20" w:type="dxa"/>
            <w:vAlign w:val="bottom"/>
            <w:tcBorders>
              <w:left w:val="single" w:sz="8" w:color="D8D8D8"/>
            </w:tcBorders>
            <w:shd w:val="clear" w:color="auto" w:fill="D8D8D8"/>
          </w:tcPr>
          <w:p>
            <w:pPr>
              <w:spacing w:after="0"/>
              <w:rPr>
                <w:sz w:val="3"/>
                <w:szCs w:val="3"/>
                <w:color w:val="auto"/>
              </w:rPr>
            </w:pPr>
          </w:p>
        </w:tc>
        <w:tc>
          <w:tcPr>
            <w:tcW w:w="2920" w:type="dxa"/>
            <w:vAlign w:val="bottom"/>
            <w:shd w:val="clear" w:color="auto" w:fill="D8D8D8"/>
          </w:tcPr>
          <w:p>
            <w:pPr>
              <w:spacing w:after="0"/>
              <w:rPr>
                <w:sz w:val="3"/>
                <w:szCs w:val="3"/>
                <w:color w:val="auto"/>
              </w:rPr>
            </w:pPr>
          </w:p>
        </w:tc>
        <w:tc>
          <w:tcPr>
            <w:tcW w:w="3760" w:type="dxa"/>
            <w:vAlign w:val="bottom"/>
            <w:shd w:val="clear" w:color="auto" w:fill="D8D8D8"/>
          </w:tcPr>
          <w:p>
            <w:pPr>
              <w:spacing w:after="0"/>
              <w:rPr>
                <w:sz w:val="3"/>
                <w:szCs w:val="3"/>
                <w:color w:val="auto"/>
              </w:rPr>
            </w:pPr>
          </w:p>
        </w:tc>
        <w:tc>
          <w:tcPr>
            <w:tcW w:w="3620" w:type="dxa"/>
            <w:vAlign w:val="bottom"/>
            <w:shd w:val="clear" w:color="auto" w:fill="D8D8D8"/>
          </w:tcPr>
          <w:p>
            <w:pPr>
              <w:spacing w:after="0"/>
              <w:rPr>
                <w:sz w:val="3"/>
                <w:szCs w:val="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PricewaterhouseCoopers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PricewaterhouseCoopers LLP.</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WHERE CAN I FIND THE VOTING RESULTS OF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040"/>
          </w:cols>
          <w:pgMar w:left="440" w:top="287" w:right="4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PROPOSALS TO BE VOTED ON—PROPOSAL 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At the Annual Meeting, four (4) Class I Directors are to be elected to hold office until the Annual Meeting of Stockholders to be held in 2022 and until such director’s successor is elected and qualified.</w:t>
      </w:r>
    </w:p>
    <w:p>
      <w:pPr>
        <w:spacing w:after="0" w:line="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currently have ten (10) directors on our Board, including four (4) Class I Directors. Our current Class I Directors are Dennis A. Ausiello, M.D., who has served on our Board since April 2015, Willard H. Dere, M.D., who has served on our Board since July 2017, Roger J. Pomerantz, M.D., who has served on our Board since November 2013, and Eric D. Shaff, who has served on our Board since January 2019. The Board has nominated four director candidates for election as Class I Directors at the Annual Meeting: Dennis A. Ausiello, M.D., Willard H. Dere, M.D., Roger J. Pomerantz, M.D. and Eric D. Shaff. Proxies cannot be voted for a greater number of persons than the number of nominees named in this proposal.</w:t>
      </w:r>
    </w:p>
    <w:p>
      <w:pPr>
        <w:spacing w:after="0" w:line="57"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four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will expire at the 2019 Annual Meeting of Stockholders and whose new term will expire at the 2022 Annual Meeting of Stockholders, Class II, whose term expires at the 2020 Annual Meeting of Stockholders and whose subsequent term will expire at the 2023 Annual Meeting of Stockholders and Class III, whose term expires at the 2021 Annual Meeting of Stockholders and whose subsequent term will expire at the 2024 Annual Meeting of Stockholders. The current Class I Directors are Dennis A. Ausiello, M.D., Willard H. Dere, M.D., Roger J. Pomerantz, M.D. and Eric D. Shaff; the current Class II Directors are Richard N. Kender, Lorence H. Kim, M.D. and Meryl S. Zausner; and the current Class III Directors are Noubar B. Afeyan, Ph.D., Grégory Behar and Kurt C. Graves.</w:t>
      </w:r>
    </w:p>
    <w:p>
      <w:pPr>
        <w:spacing w:after="0" w:line="5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7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020"/>
          </w:cols>
          <w:pgMar w:left="440" w:top="855" w:right="4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1—ELECTION OF DIRECTORS</w:t>
      </w:r>
    </w:p>
    <w:p>
      <w:pPr>
        <w:spacing w:after="0" w:line="13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will be cast for a substitute nominee designated by our Board of Directors or our Board of Directors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four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88265</wp:posOffset>
            </wp:positionV>
            <wp:extent cx="21463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 Director nominees.</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NOMINEES FOR CLASS I DIRECTORS (TERMS TO EXPIRE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current members of the Board of Directors who are also nominees for election to the Board of Directors as Class I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222885"/>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Served as 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auto"/>
            </w:tcBorders>
          </w:tcPr>
          <w:p>
            <w:pPr>
              <w:jc w:val="center"/>
              <w:ind w:left="512"/>
              <w:spacing w:after="0"/>
              <w:rPr>
                <w:sz w:val="20"/>
                <w:szCs w:val="20"/>
                <w:color w:val="auto"/>
              </w:rPr>
            </w:pPr>
            <w:r>
              <w:rPr>
                <w:rFonts w:ascii="Arial" w:cs="Arial" w:eastAsia="Arial" w:hAnsi="Arial"/>
                <w:sz w:val="14"/>
                <w:szCs w:val="14"/>
                <w:b w:val="1"/>
                <w:bCs w:val="1"/>
                <w:color w:val="auto"/>
                <w:w w:val="98"/>
              </w:rPr>
              <w:t>Age</w:t>
            </w:r>
          </w:p>
        </w:tc>
        <w:tc>
          <w:tcPr>
            <w:tcW w:w="166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rPr>
              <w:t>Director Since</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2560" w:type="dxa"/>
            <w:vAlign w:val="bottom"/>
            <w:gridSpan w:val="2"/>
          </w:tcPr>
          <w:p>
            <w:pPr>
              <w:spacing w:after="0"/>
              <w:rPr>
                <w:sz w:val="20"/>
                <w:szCs w:val="20"/>
                <w:color w:val="auto"/>
              </w:rPr>
            </w:pPr>
            <w:r>
              <w:rPr>
                <w:rFonts w:ascii="Arial" w:cs="Arial" w:eastAsia="Arial" w:hAnsi="Arial"/>
                <w:sz w:val="14"/>
                <w:szCs w:val="14"/>
                <w:color w:val="auto"/>
              </w:rPr>
              <w:t>Dennis A. Ausiello, M.D.</w:t>
            </w:r>
          </w:p>
        </w:tc>
        <w:tc>
          <w:tcPr>
            <w:tcW w:w="1680" w:type="dxa"/>
            <w:vAlign w:val="bottom"/>
          </w:tcPr>
          <w:p>
            <w:pPr>
              <w:jc w:val="center"/>
              <w:ind w:left="532"/>
              <w:spacing w:after="0"/>
              <w:rPr>
                <w:sz w:val="20"/>
                <w:szCs w:val="20"/>
                <w:color w:val="auto"/>
              </w:rPr>
            </w:pPr>
            <w:r>
              <w:rPr>
                <w:rFonts w:ascii="Arial" w:cs="Arial" w:eastAsia="Arial" w:hAnsi="Arial"/>
                <w:sz w:val="14"/>
                <w:szCs w:val="14"/>
                <w:color w:val="auto"/>
              </w:rPr>
              <w:t>73</w:t>
            </w:r>
          </w:p>
        </w:tc>
        <w:tc>
          <w:tcPr>
            <w:tcW w:w="1660" w:type="dxa"/>
            <w:vAlign w:val="bottom"/>
          </w:tcPr>
          <w:p>
            <w:pPr>
              <w:jc w:val="center"/>
              <w:ind w:left="92"/>
              <w:spacing w:after="0"/>
              <w:rPr>
                <w:sz w:val="20"/>
                <w:szCs w:val="20"/>
                <w:color w:val="auto"/>
              </w:rPr>
            </w:pPr>
            <w:r>
              <w:rPr>
                <w:rFonts w:ascii="Arial" w:cs="Arial" w:eastAsia="Arial" w:hAnsi="Arial"/>
                <w:sz w:val="14"/>
                <w:szCs w:val="14"/>
                <w:color w:val="auto"/>
                <w:w w:val="96"/>
              </w:rPr>
              <w:t>2015</w:t>
            </w:r>
          </w:p>
        </w:tc>
        <w:tc>
          <w:tcPr>
            <w:tcW w:w="514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203"/>
        </w:trPr>
        <w:tc>
          <w:tcPr>
            <w:tcW w:w="20" w:type="dxa"/>
            <w:vAlign w:val="bottom"/>
          </w:tcPr>
          <w:p>
            <w:pPr>
              <w:spacing w:after="0"/>
              <w:rPr>
                <w:sz w:val="17"/>
                <w:szCs w:val="17"/>
                <w:color w:val="auto"/>
              </w:rPr>
            </w:pPr>
          </w:p>
        </w:tc>
        <w:tc>
          <w:tcPr>
            <w:tcW w:w="2540" w:type="dxa"/>
            <w:vAlign w:val="bottom"/>
            <w:shd w:val="clear" w:color="auto" w:fill="D8D8D8"/>
          </w:tcPr>
          <w:p>
            <w:pPr>
              <w:spacing w:after="0"/>
              <w:rPr>
                <w:sz w:val="20"/>
                <w:szCs w:val="20"/>
                <w:color w:val="auto"/>
              </w:rPr>
            </w:pPr>
            <w:r>
              <w:rPr>
                <w:rFonts w:ascii="Arial" w:cs="Arial" w:eastAsia="Arial" w:hAnsi="Arial"/>
                <w:sz w:val="14"/>
                <w:szCs w:val="14"/>
                <w:color w:val="auto"/>
              </w:rPr>
              <w:t>Willard H. Dere, M.D.</w:t>
            </w:r>
          </w:p>
        </w:tc>
        <w:tc>
          <w:tcPr>
            <w:tcW w:w="1680" w:type="dxa"/>
            <w:vAlign w:val="bottom"/>
            <w:shd w:val="clear" w:color="auto" w:fill="D8D8D8"/>
          </w:tcPr>
          <w:p>
            <w:pPr>
              <w:jc w:val="center"/>
              <w:ind w:left="532"/>
              <w:spacing w:after="0"/>
              <w:rPr>
                <w:sz w:val="20"/>
                <w:szCs w:val="20"/>
                <w:color w:val="auto"/>
              </w:rPr>
            </w:pPr>
            <w:r>
              <w:rPr>
                <w:rFonts w:ascii="Arial" w:cs="Arial" w:eastAsia="Arial" w:hAnsi="Arial"/>
                <w:sz w:val="14"/>
                <w:szCs w:val="14"/>
                <w:color w:val="auto"/>
              </w:rPr>
              <w:t>65</w:t>
            </w:r>
          </w:p>
        </w:tc>
        <w:tc>
          <w:tcPr>
            <w:tcW w:w="166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w w:val="96"/>
              </w:rPr>
              <w:t>2017</w:t>
            </w:r>
          </w:p>
        </w:tc>
        <w:tc>
          <w:tcPr>
            <w:tcW w:w="5140" w:type="dxa"/>
            <w:vAlign w:val="bottom"/>
            <w:shd w:val="clear" w:color="auto" w:fill="D8D8D8"/>
          </w:tcPr>
          <w:p>
            <w:pPr>
              <w:ind w:left="260"/>
              <w:spacing w:after="0"/>
              <w:rPr>
                <w:sz w:val="20"/>
                <w:szCs w:val="20"/>
                <w:color w:val="auto"/>
              </w:rPr>
            </w:pPr>
            <w:r>
              <w:rPr>
                <w:rFonts w:ascii="Arial" w:cs="Arial" w:eastAsia="Arial" w:hAnsi="Arial"/>
                <w:sz w:val="14"/>
                <w:szCs w:val="14"/>
                <w:color w:val="auto"/>
              </w:rPr>
              <w:t>Director</w:t>
            </w:r>
          </w:p>
        </w:tc>
      </w:tr>
      <w:tr>
        <w:trPr>
          <w:trHeight w:val="202"/>
        </w:trPr>
        <w:tc>
          <w:tcPr>
            <w:tcW w:w="2560" w:type="dxa"/>
            <w:vAlign w:val="bottom"/>
            <w:gridSpan w:val="2"/>
          </w:tcPr>
          <w:p>
            <w:pPr>
              <w:spacing w:after="0"/>
              <w:rPr>
                <w:sz w:val="20"/>
                <w:szCs w:val="20"/>
                <w:color w:val="auto"/>
              </w:rPr>
            </w:pPr>
            <w:r>
              <w:rPr>
                <w:rFonts w:ascii="Arial" w:cs="Arial" w:eastAsia="Arial" w:hAnsi="Arial"/>
                <w:sz w:val="14"/>
                <w:szCs w:val="14"/>
                <w:color w:val="auto"/>
              </w:rPr>
              <w:t>Roger J. Pomerantz, M.D.</w:t>
            </w:r>
          </w:p>
        </w:tc>
        <w:tc>
          <w:tcPr>
            <w:tcW w:w="1680" w:type="dxa"/>
            <w:vAlign w:val="bottom"/>
          </w:tcPr>
          <w:p>
            <w:pPr>
              <w:jc w:val="center"/>
              <w:ind w:left="532"/>
              <w:spacing w:after="0"/>
              <w:rPr>
                <w:sz w:val="20"/>
                <w:szCs w:val="20"/>
                <w:color w:val="auto"/>
              </w:rPr>
            </w:pPr>
            <w:r>
              <w:rPr>
                <w:rFonts w:ascii="Arial" w:cs="Arial" w:eastAsia="Arial" w:hAnsi="Arial"/>
                <w:sz w:val="14"/>
                <w:szCs w:val="14"/>
                <w:color w:val="auto"/>
              </w:rPr>
              <w:t>62</w:t>
            </w:r>
          </w:p>
        </w:tc>
        <w:tc>
          <w:tcPr>
            <w:tcW w:w="1660" w:type="dxa"/>
            <w:vAlign w:val="bottom"/>
          </w:tcPr>
          <w:p>
            <w:pPr>
              <w:jc w:val="center"/>
              <w:ind w:left="92"/>
              <w:spacing w:after="0"/>
              <w:rPr>
                <w:sz w:val="20"/>
                <w:szCs w:val="20"/>
                <w:color w:val="auto"/>
              </w:rPr>
            </w:pPr>
            <w:r>
              <w:rPr>
                <w:rFonts w:ascii="Arial" w:cs="Arial" w:eastAsia="Arial" w:hAnsi="Arial"/>
                <w:sz w:val="14"/>
                <w:szCs w:val="14"/>
                <w:color w:val="auto"/>
                <w:w w:val="96"/>
              </w:rPr>
              <w:t>2013</w:t>
            </w:r>
          </w:p>
        </w:tc>
        <w:tc>
          <w:tcPr>
            <w:tcW w:w="5140" w:type="dxa"/>
            <w:vAlign w:val="bottom"/>
          </w:tcPr>
          <w:p>
            <w:pPr>
              <w:ind w:left="260"/>
              <w:spacing w:after="0"/>
              <w:rPr>
                <w:sz w:val="20"/>
                <w:szCs w:val="20"/>
                <w:color w:val="auto"/>
              </w:rPr>
            </w:pPr>
            <w:r>
              <w:rPr>
                <w:rFonts w:ascii="Arial" w:cs="Arial" w:eastAsia="Arial" w:hAnsi="Arial"/>
                <w:sz w:val="14"/>
                <w:szCs w:val="14"/>
                <w:color w:val="auto"/>
              </w:rPr>
              <w:t>Chairman of the Board</w:t>
            </w:r>
          </w:p>
        </w:tc>
      </w:tr>
      <w:tr>
        <w:trPr>
          <w:trHeight w:val="203"/>
        </w:trPr>
        <w:tc>
          <w:tcPr>
            <w:tcW w:w="20" w:type="dxa"/>
            <w:vAlign w:val="bottom"/>
          </w:tcPr>
          <w:p>
            <w:pPr>
              <w:spacing w:after="0"/>
              <w:rPr>
                <w:sz w:val="17"/>
                <w:szCs w:val="17"/>
                <w:color w:val="auto"/>
              </w:rPr>
            </w:pPr>
          </w:p>
        </w:tc>
        <w:tc>
          <w:tcPr>
            <w:tcW w:w="2540" w:type="dxa"/>
            <w:vAlign w:val="bottom"/>
            <w:shd w:val="clear" w:color="auto" w:fill="D8D8D8"/>
          </w:tcPr>
          <w:p>
            <w:pPr>
              <w:spacing w:after="0"/>
              <w:rPr>
                <w:sz w:val="20"/>
                <w:szCs w:val="20"/>
                <w:color w:val="auto"/>
              </w:rPr>
            </w:pPr>
            <w:r>
              <w:rPr>
                <w:rFonts w:ascii="Arial" w:cs="Arial" w:eastAsia="Arial" w:hAnsi="Arial"/>
                <w:sz w:val="14"/>
                <w:szCs w:val="14"/>
                <w:color w:val="auto"/>
              </w:rPr>
              <w:t>Eric D. Shaff</w:t>
            </w:r>
          </w:p>
        </w:tc>
        <w:tc>
          <w:tcPr>
            <w:tcW w:w="1680" w:type="dxa"/>
            <w:vAlign w:val="bottom"/>
            <w:shd w:val="clear" w:color="auto" w:fill="D8D8D8"/>
          </w:tcPr>
          <w:p>
            <w:pPr>
              <w:jc w:val="center"/>
              <w:ind w:left="532"/>
              <w:spacing w:after="0"/>
              <w:rPr>
                <w:sz w:val="20"/>
                <w:szCs w:val="20"/>
                <w:color w:val="auto"/>
              </w:rPr>
            </w:pPr>
            <w:r>
              <w:rPr>
                <w:rFonts w:ascii="Arial" w:cs="Arial" w:eastAsia="Arial" w:hAnsi="Arial"/>
                <w:sz w:val="14"/>
                <w:szCs w:val="14"/>
                <w:color w:val="auto"/>
              </w:rPr>
              <w:t>43</w:t>
            </w:r>
          </w:p>
        </w:tc>
        <w:tc>
          <w:tcPr>
            <w:tcW w:w="166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w w:val="96"/>
              </w:rPr>
              <w:t>2019</w:t>
            </w:r>
          </w:p>
        </w:tc>
        <w:tc>
          <w:tcPr>
            <w:tcW w:w="5140" w:type="dxa"/>
            <w:vAlign w:val="bottom"/>
            <w:shd w:val="clear" w:color="auto" w:fill="D8D8D8"/>
          </w:tcPr>
          <w:p>
            <w:pPr>
              <w:ind w:left="260"/>
              <w:spacing w:after="0"/>
              <w:rPr>
                <w:sz w:val="20"/>
                <w:szCs w:val="20"/>
                <w:color w:val="auto"/>
              </w:rPr>
            </w:pPr>
            <w:r>
              <w:rPr>
                <w:rFonts w:ascii="Arial" w:cs="Arial" w:eastAsia="Arial" w:hAnsi="Arial"/>
                <w:sz w:val="14"/>
                <w:szCs w:val="14"/>
                <w:color w:val="auto"/>
              </w:rPr>
              <w:t>President, Chief Executive Officer and Director</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 Nominee for election at the 2019</w:t>
      </w:r>
    </w:p>
    <w:p>
      <w:pPr>
        <w:spacing w:after="0"/>
        <w:rPr>
          <w:sz w:val="20"/>
          <w:szCs w:val="20"/>
          <w:color w:val="auto"/>
        </w:rPr>
      </w:pPr>
      <w:r>
        <w:rPr>
          <w:rFonts w:ascii="Arial" w:cs="Arial" w:eastAsia="Arial" w:hAnsi="Arial"/>
          <w:sz w:val="18"/>
          <w:szCs w:val="18"/>
          <w:color w:val="auto"/>
        </w:rPr>
        <w:t>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DENNIS A. AUSIELLO, M.D.</w:t>
      </w:r>
      <w:r>
        <w:rPr>
          <w:sz w:val="20"/>
          <w:szCs w:val="20"/>
          <w:color w:val="auto"/>
        </w:rPr>
        <w:tab/>
      </w:r>
      <w:r>
        <w:rPr>
          <w:rFonts w:ascii="Arial" w:cs="Arial" w:eastAsia="Arial" w:hAnsi="Arial"/>
          <w:sz w:val="12"/>
          <w:szCs w:val="12"/>
          <w:i w:val="1"/>
          <w:iCs w:val="1"/>
          <w:color w:val="auto"/>
        </w:rPr>
        <w:t>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-99695</wp:posOffset>
            </wp:positionV>
            <wp:extent cx="11176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5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Dennis A. Ausiello, M.D. has served as a member of our Board of Directors since April 2015. Dr. Ausiello serves as the Director of the Center for Assessment Technology and 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serves on the boards of directors of Pfizer Inc. and Alnylam Pharmaceuticals, Inc. Dr. Ausiello received his undergraduate degree from Harvard College and an M.D. from the University of Pennsylvania. We believe that Dr. Ausiello is qualified to serve on our Board of Directors because of his extensive experience as a physician and as a director of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6997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WILLARD H. DERE, M.D.</w:t>
      </w:r>
      <w:r>
        <w:rPr>
          <w:sz w:val="20"/>
          <w:szCs w:val="20"/>
          <w:color w:val="auto"/>
        </w:rPr>
        <w:tab/>
      </w:r>
      <w:r>
        <w:rPr>
          <w:rFonts w:ascii="Arial" w:cs="Arial" w:eastAsia="Arial" w:hAnsi="Arial"/>
          <w:sz w:val="12"/>
          <w:szCs w:val="12"/>
          <w:i w:val="1"/>
          <w:iCs w:val="1"/>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-99695</wp:posOffset>
            </wp:positionV>
            <wp:extent cx="11176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5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Willard H. Dere, M.D. has served on our Board of Directors since July 2017. Since November 2014, Dr. Dere has been Professor of Internal Medicine, B. Lue and Hope S. Bettilyon Presidential Endowed Chair in Internal Medicine for Diabetes Research, Executive Director of Personalized Health, and Co-Principal Investigator of the Center for Clinical and Translational Science at the University of Utah</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40"/>
          </w:cols>
          <w:pgMar w:left="440" w:top="287" w:right="41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1—ELECTION OF DIRECTORS</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Health Sciences Center.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currently serves on the boards of directors of BioMarin Pharmaceutical, Inc., Radius Health, Inc. and Mersana Therapeutics, Inc., and previously served on the board of Ocera Therapeutics, Inc. Dr. Dere received his undergraduate and medical degrees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63"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ROGER J. POMERANTZ, M.D.</w:t>
      </w:r>
      <w:r>
        <w:rPr>
          <w:sz w:val="20"/>
          <w:szCs w:val="20"/>
          <w:color w:val="auto"/>
        </w:rPr>
        <w:tab/>
      </w:r>
      <w:r>
        <w:rPr>
          <w:rFonts w:ascii="Arial" w:cs="Arial" w:eastAsia="Arial" w:hAnsi="Arial"/>
          <w:sz w:val="20"/>
          <w:szCs w:val="20"/>
          <w:i w:val="1"/>
          <w:iCs w:val="1"/>
          <w:color w:val="auto"/>
          <w:vertAlign w:val="subscript"/>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-88265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wp:posOffset>
            </wp:positionV>
            <wp:extent cx="111760"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5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Roger J. Pomerantz, M.D., has served as Chairman of our Board of Directors since November 2013. Dr. Pomerantz also served as our President and Chief Executive Officer from June 2014 to January 2019. Since April of 2019, Dr. Pomerantz has served as the Chief Executive Officer of ContraFect Corporation (“ContraFect”) a biotechnology company. Since July 2014, Dr. Pomerantz has been a Partner at Flagship Pioneering, which conceives, creates, resources and develops first-in-category life sciences companies. From January 2011 to September 2013, Dr. Pomerantz was Worldwide Head of Licensing and Acquisitions and Senior Vice President at Merck &amp; Co., Inc. (“Merck”), a pharmaceutical company, where he oversaw licensing and acquisitions for Merck Research Laboratories, the research and development division of Merck. From February 2010 to February 2013, Dr. Pomerantz served as Global Head of Infectious Diseases and Senior Vice President at Merck, where he oversaw pharmaceutical development and discovery of antibiotics, antivirals, antifungals and antiparasitic agents. Prior to Merck, Dr. Pomerantz was Global Head of Infectious Diseases for the pharmaceutical division of Johnson &amp; Johnson, Inc. (“Johnson &amp; Johnson”), a multinational medical device, consumer goods and pharmaceutical corporation, where he was responsible for anti-infective agents worldwide. He joined Johnson &amp; Johnson in August 2005 as President of Tibotec Pharmaceuticals, Inc., now Janssen Therapeutics and a subsidiary of Johnson &amp; Johnson, a pharmaceutical company focused on the treatment of infectious diseases. Dr. Pomerantz has been part of the development of ten approved infectious disease drugs for diseases including HIV, HCV and tuberculosis. He serves on the board of directors of ContraFect, Rubius Therapeutics, Inc. and Intec Therapeutics, Inc.</w:t>
      </w:r>
    </w:p>
    <w:p>
      <w:pPr>
        <w:spacing w:after="0" w:line="11"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Dr. Pomerantz received his B.A. in Biochemistry from The Johns Hopkins University and his M.D. from The Johns Hopkins School of Medicine. We believe Dr. Pomerantz’s extensive academic and clinical experience, as well as his knowledge of our Company and the pharmaceutical industry, qualifies him to serve on our Board of Directors.</w:t>
      </w:r>
    </w:p>
    <w:p>
      <w:pPr>
        <w:spacing w:after="0" w:line="262"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ERIC D. SHAFF</w:t>
      </w:r>
      <w:r>
        <w:rPr>
          <w:sz w:val="20"/>
          <w:szCs w:val="20"/>
          <w:color w:val="auto"/>
        </w:rPr>
        <w:tab/>
      </w:r>
      <w:r>
        <w:rPr>
          <w:rFonts w:ascii="Arial" w:cs="Arial" w:eastAsia="Arial" w:hAnsi="Arial"/>
          <w:sz w:val="20"/>
          <w:szCs w:val="20"/>
          <w:i w:val="1"/>
          <w:iCs w:val="1"/>
          <w:color w:val="auto"/>
          <w:vertAlign w:val="subscript"/>
        </w:rPr>
        <w:t>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-88265</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wp:posOffset>
            </wp:positionV>
            <wp:extent cx="111760"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7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Eric D. Shaff has served as our Chief Executive Officer and a member of our board of directors since January 2019. Previously, he served as our Chief Operating and Financial Officer and Executive Vice President from January 2018 until January 2019 and as our Chief Financial Officer from November 2014 until January 2019. Mr. Shaff has also served on the board of directors of Sigilon Therapeutics, Inc. From January 2012 to November 2014, Mr. Shaff was Vice President of Corporate Finance for Momenta Pharmaceuticals (“Momenta”),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a biotechnology company, most recently as Vice President of Finance/Controller for the Personalized Genetic Health division.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00"/>
          </w:cols>
          <w:pgMar w:left="440" w:top="287" w:right="45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1—ELECTION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CONTINUING MEMBERS OF THE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II DIRECTORS (TERMS TO EXPIRE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997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 Directors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shd w:val="clear" w:color="auto" w:fill="D8D8D8"/>
          </w:tcPr>
          <w:p>
            <w:pPr>
              <w:spacing w:after="0"/>
              <w:rPr>
                <w:sz w:val="14"/>
                <w:szCs w:val="14"/>
                <w:color w:val="auto"/>
              </w:rPr>
            </w:pPr>
          </w:p>
        </w:tc>
        <w:tc>
          <w:tcPr>
            <w:tcW w:w="2320" w:type="dxa"/>
            <w:vAlign w:val="bottom"/>
            <w:shd w:val="clear" w:color="auto" w:fill="D8D8D8"/>
          </w:tcPr>
          <w:p>
            <w:pPr>
              <w:spacing w:after="0"/>
              <w:rPr>
                <w:sz w:val="14"/>
                <w:szCs w:val="14"/>
                <w:color w:val="auto"/>
              </w:rPr>
            </w:pPr>
          </w:p>
        </w:tc>
        <w:tc>
          <w:tcPr>
            <w:tcW w:w="1880" w:type="dxa"/>
            <w:vAlign w:val="bottom"/>
            <w:shd w:val="clear" w:color="auto" w:fill="D8D8D8"/>
          </w:tcPr>
          <w:p>
            <w:pPr>
              <w:jc w:val="center"/>
              <w:ind w:left="52"/>
              <w:spacing w:after="0"/>
              <w:rPr>
                <w:sz w:val="20"/>
                <w:szCs w:val="20"/>
                <w:color w:val="auto"/>
              </w:rPr>
            </w:pPr>
            <w:r>
              <w:rPr>
                <w:rFonts w:ascii="Arial" w:cs="Arial" w:eastAsia="Arial" w:hAnsi="Arial"/>
                <w:sz w:val="14"/>
                <w:szCs w:val="14"/>
                <w:b w:val="1"/>
                <w:bCs w:val="1"/>
                <w:color w:val="auto"/>
                <w:w w:val="97"/>
              </w:rPr>
              <w:t>Served as a</w:t>
            </w:r>
          </w:p>
        </w:tc>
        <w:tc>
          <w:tcPr>
            <w:tcW w:w="4020" w:type="dxa"/>
            <w:vAlign w:val="bottom"/>
            <w:shd w:val="clear" w:color="auto" w:fill="D8D8D8"/>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8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shd w:val="clear" w:color="auto" w:fill="D8D8D8"/>
          </w:tcPr>
          <w:p>
            <w:pPr>
              <w:jc w:val="center"/>
              <w:ind w:left="932"/>
              <w:spacing w:after="0"/>
              <w:rPr>
                <w:sz w:val="20"/>
                <w:szCs w:val="20"/>
                <w:color w:val="auto"/>
              </w:rPr>
            </w:pPr>
            <w:r>
              <w:rPr>
                <w:rFonts w:ascii="Arial" w:cs="Arial" w:eastAsia="Arial" w:hAnsi="Arial"/>
                <w:sz w:val="14"/>
                <w:szCs w:val="14"/>
                <w:b w:val="1"/>
                <w:bCs w:val="1"/>
                <w:color w:val="auto"/>
                <w:w w:val="90"/>
              </w:rPr>
              <w:t>Age</w:t>
            </w:r>
          </w:p>
        </w:tc>
        <w:tc>
          <w:tcPr>
            <w:tcW w:w="1880" w:type="dxa"/>
            <w:vAlign w:val="bottom"/>
            <w:tcBorders>
              <w:bottom w:val="single" w:sz="8" w:color="auto"/>
            </w:tcBorders>
            <w:shd w:val="clear" w:color="auto" w:fill="D8D8D8"/>
          </w:tcPr>
          <w:p>
            <w:pPr>
              <w:jc w:val="center"/>
              <w:ind w:left="52"/>
              <w:spacing w:after="0"/>
              <w:rPr>
                <w:sz w:val="20"/>
                <w:szCs w:val="20"/>
                <w:color w:val="auto"/>
              </w:rPr>
            </w:pPr>
            <w:r>
              <w:rPr>
                <w:rFonts w:ascii="Arial" w:cs="Arial" w:eastAsia="Arial" w:hAnsi="Arial"/>
                <w:sz w:val="14"/>
                <w:szCs w:val="14"/>
                <w:b w:val="1"/>
                <w:bCs w:val="1"/>
                <w:color w:val="auto"/>
                <w:w w:val="96"/>
              </w:rPr>
              <w:t>Director Since</w:t>
            </w:r>
          </w:p>
        </w:tc>
        <w:tc>
          <w:tcPr>
            <w:tcW w:w="402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2820" w:type="dxa"/>
            <w:vAlign w:val="bottom"/>
            <w:gridSpan w:val="2"/>
          </w:tcPr>
          <w:p>
            <w:pPr>
              <w:spacing w:after="0"/>
              <w:rPr>
                <w:sz w:val="20"/>
                <w:szCs w:val="20"/>
                <w:color w:val="auto"/>
              </w:rPr>
            </w:pPr>
            <w:r>
              <w:rPr>
                <w:rFonts w:ascii="Arial" w:cs="Arial" w:eastAsia="Arial" w:hAnsi="Arial"/>
                <w:sz w:val="14"/>
                <w:szCs w:val="14"/>
                <w:color w:val="auto"/>
              </w:rPr>
              <w:t>Richard N. Kender</w:t>
            </w:r>
          </w:p>
        </w:tc>
        <w:tc>
          <w:tcPr>
            <w:tcW w:w="2320" w:type="dxa"/>
            <w:vAlign w:val="bottom"/>
          </w:tcPr>
          <w:p>
            <w:pPr>
              <w:jc w:val="center"/>
              <w:ind w:left="932"/>
              <w:spacing w:after="0"/>
              <w:rPr>
                <w:sz w:val="20"/>
                <w:szCs w:val="20"/>
                <w:color w:val="auto"/>
              </w:rPr>
            </w:pPr>
            <w:r>
              <w:rPr>
                <w:rFonts w:ascii="Arial" w:cs="Arial" w:eastAsia="Arial" w:hAnsi="Arial"/>
                <w:sz w:val="14"/>
                <w:szCs w:val="14"/>
                <w:color w:val="auto"/>
              </w:rPr>
              <w:t>63</w:t>
            </w:r>
          </w:p>
        </w:tc>
        <w:tc>
          <w:tcPr>
            <w:tcW w:w="1880" w:type="dxa"/>
            <w:vAlign w:val="bottom"/>
          </w:tcPr>
          <w:p>
            <w:pPr>
              <w:jc w:val="center"/>
              <w:ind w:left="32"/>
              <w:spacing w:after="0"/>
              <w:rPr>
                <w:sz w:val="20"/>
                <w:szCs w:val="20"/>
                <w:color w:val="auto"/>
              </w:rPr>
            </w:pPr>
            <w:r>
              <w:rPr>
                <w:rFonts w:ascii="Arial" w:cs="Arial" w:eastAsia="Arial" w:hAnsi="Arial"/>
                <w:sz w:val="14"/>
                <w:szCs w:val="14"/>
                <w:color w:val="auto"/>
                <w:w w:val="96"/>
              </w:rPr>
              <w:t>2014</w:t>
            </w:r>
          </w:p>
        </w:tc>
        <w:tc>
          <w:tcPr>
            <w:tcW w:w="4020" w:type="dxa"/>
            <w:vAlign w:val="bottom"/>
          </w:tcPr>
          <w:p>
            <w:pPr>
              <w:ind w:left="440"/>
              <w:spacing w:after="0"/>
              <w:rPr>
                <w:sz w:val="20"/>
                <w:szCs w:val="20"/>
                <w:color w:val="auto"/>
              </w:rPr>
            </w:pPr>
            <w:r>
              <w:rPr>
                <w:rFonts w:ascii="Arial" w:cs="Arial" w:eastAsia="Arial" w:hAnsi="Arial"/>
                <w:sz w:val="14"/>
                <w:szCs w:val="14"/>
                <w:color w:val="auto"/>
              </w:rPr>
              <w:t>Director</w:t>
            </w:r>
          </w:p>
        </w:tc>
      </w:tr>
      <w:tr>
        <w:trPr>
          <w:trHeight w:val="203"/>
        </w:trPr>
        <w:tc>
          <w:tcPr>
            <w:tcW w:w="20" w:type="dxa"/>
            <w:vAlign w:val="bottom"/>
          </w:tcPr>
          <w:p>
            <w:pPr>
              <w:spacing w:after="0"/>
              <w:rPr>
                <w:sz w:val="17"/>
                <w:szCs w:val="17"/>
                <w:color w:val="auto"/>
              </w:rPr>
            </w:pPr>
          </w:p>
        </w:tc>
        <w:tc>
          <w:tcPr>
            <w:tcW w:w="2800" w:type="dxa"/>
            <w:vAlign w:val="bottom"/>
            <w:shd w:val="clear" w:color="auto" w:fill="D8D8D8"/>
          </w:tcPr>
          <w:p>
            <w:pPr>
              <w:spacing w:after="0"/>
              <w:rPr>
                <w:sz w:val="20"/>
                <w:szCs w:val="20"/>
                <w:color w:val="auto"/>
              </w:rPr>
            </w:pPr>
            <w:r>
              <w:rPr>
                <w:rFonts w:ascii="Arial" w:cs="Arial" w:eastAsia="Arial" w:hAnsi="Arial"/>
                <w:sz w:val="14"/>
                <w:szCs w:val="14"/>
                <w:color w:val="auto"/>
              </w:rPr>
              <w:t>Lorence H. Kim, M.D.</w:t>
            </w:r>
          </w:p>
        </w:tc>
        <w:tc>
          <w:tcPr>
            <w:tcW w:w="2320" w:type="dxa"/>
            <w:vAlign w:val="bottom"/>
            <w:shd w:val="clear" w:color="auto" w:fill="D8D8D8"/>
          </w:tcPr>
          <w:p>
            <w:pPr>
              <w:jc w:val="center"/>
              <w:ind w:left="932"/>
              <w:spacing w:after="0"/>
              <w:rPr>
                <w:sz w:val="20"/>
                <w:szCs w:val="20"/>
                <w:color w:val="auto"/>
              </w:rPr>
            </w:pPr>
            <w:r>
              <w:rPr>
                <w:rFonts w:ascii="Arial" w:cs="Arial" w:eastAsia="Arial" w:hAnsi="Arial"/>
                <w:sz w:val="14"/>
                <w:szCs w:val="14"/>
                <w:color w:val="auto"/>
              </w:rPr>
              <w:t>45</w:t>
            </w:r>
          </w:p>
        </w:tc>
        <w:tc>
          <w:tcPr>
            <w:tcW w:w="1880" w:type="dxa"/>
            <w:vAlign w:val="bottom"/>
            <w:shd w:val="clear" w:color="auto" w:fill="D8D8D8"/>
          </w:tcPr>
          <w:p>
            <w:pPr>
              <w:jc w:val="center"/>
              <w:ind w:left="32"/>
              <w:spacing w:after="0"/>
              <w:rPr>
                <w:sz w:val="20"/>
                <w:szCs w:val="20"/>
                <w:color w:val="auto"/>
              </w:rPr>
            </w:pPr>
            <w:r>
              <w:rPr>
                <w:rFonts w:ascii="Arial" w:cs="Arial" w:eastAsia="Arial" w:hAnsi="Arial"/>
                <w:sz w:val="14"/>
                <w:szCs w:val="14"/>
                <w:color w:val="auto"/>
                <w:w w:val="96"/>
              </w:rPr>
              <w:t>2014</w:t>
            </w:r>
          </w:p>
        </w:tc>
        <w:tc>
          <w:tcPr>
            <w:tcW w:w="4020" w:type="dxa"/>
            <w:vAlign w:val="bottom"/>
            <w:shd w:val="clear" w:color="auto" w:fill="D8D8D8"/>
          </w:tcPr>
          <w:p>
            <w:pPr>
              <w:ind w:left="440"/>
              <w:spacing w:after="0"/>
              <w:rPr>
                <w:sz w:val="20"/>
                <w:szCs w:val="20"/>
                <w:color w:val="auto"/>
              </w:rPr>
            </w:pPr>
            <w:r>
              <w:rPr>
                <w:rFonts w:ascii="Arial" w:cs="Arial" w:eastAsia="Arial" w:hAnsi="Arial"/>
                <w:sz w:val="14"/>
                <w:szCs w:val="14"/>
                <w:color w:val="auto"/>
              </w:rPr>
              <w:t>Director</w:t>
            </w:r>
          </w:p>
        </w:tc>
      </w:tr>
      <w:tr>
        <w:trPr>
          <w:trHeight w:val="202"/>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Meryl S. Zausner</w:t>
            </w:r>
          </w:p>
        </w:tc>
        <w:tc>
          <w:tcPr>
            <w:tcW w:w="2320" w:type="dxa"/>
            <w:vAlign w:val="bottom"/>
            <w:tcBorders>
              <w:bottom w:val="single" w:sz="8" w:color="auto"/>
            </w:tcBorders>
          </w:tcPr>
          <w:p>
            <w:pPr>
              <w:jc w:val="center"/>
              <w:ind w:left="932"/>
              <w:spacing w:after="0"/>
              <w:rPr>
                <w:sz w:val="20"/>
                <w:szCs w:val="20"/>
                <w:color w:val="auto"/>
              </w:rPr>
            </w:pPr>
            <w:r>
              <w:rPr>
                <w:rFonts w:ascii="Arial" w:cs="Arial" w:eastAsia="Arial" w:hAnsi="Arial"/>
                <w:sz w:val="14"/>
                <w:szCs w:val="14"/>
                <w:color w:val="auto"/>
              </w:rPr>
              <w:t>62</w:t>
            </w:r>
          </w:p>
        </w:tc>
        <w:tc>
          <w:tcPr>
            <w:tcW w:w="18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6"/>
              </w:rPr>
              <w:t>2018</w:t>
            </w:r>
          </w:p>
        </w:tc>
        <w:tc>
          <w:tcPr>
            <w:tcW w:w="4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Director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RICHARD N. KENDER</w:t>
      </w:r>
      <w:r>
        <w:rPr>
          <w:sz w:val="20"/>
          <w:szCs w:val="20"/>
          <w:color w:val="auto"/>
        </w:rPr>
        <w:tab/>
      </w:r>
      <w:r>
        <w:rPr>
          <w:rFonts w:ascii="Arial" w:cs="Arial" w:eastAsia="Arial" w:hAnsi="Arial"/>
          <w:sz w:val="12"/>
          <w:szCs w:val="12"/>
          <w:i w:val="1"/>
          <w:iCs w:val="1"/>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-99695</wp:posOffset>
            </wp:positionV>
            <wp:extent cx="111760"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7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 Mr. Kender held positions in a variety of corporate areas at Merck, most recently serving as Senior Vice President of Business Development and Corporate Licensing. Mr. Kender serves on the boards of directors of Poxel S.A. and Abide Therapeutics, Inc., and previously served on the board of directors of INC Research Holdings, Inc. Mr. Kender received a B.S. from Villanova University and an M.B.A. from Fairleigh Dickinson University. We believe Mr. Kender is qualified to serve on our Board of Directors because of his extensive business experience and his knowledge of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spacing w:after="0"/>
        <w:tabs>
          <w:tab w:leader="none" w:pos="10560" w:val="left"/>
        </w:tabs>
        <w:rPr>
          <w:sz w:val="20"/>
          <w:szCs w:val="20"/>
          <w:color w:val="auto"/>
        </w:rPr>
      </w:pPr>
      <w:r>
        <w:rPr>
          <w:rFonts w:ascii="Arial" w:cs="Arial" w:eastAsia="Arial" w:hAnsi="Arial"/>
          <w:sz w:val="14"/>
          <w:szCs w:val="14"/>
          <w:b w:val="1"/>
          <w:bCs w:val="1"/>
          <w:color w:val="auto"/>
        </w:rPr>
        <w:t>LORENCE H. KIM, M.D.</w:t>
      </w:r>
      <w:r>
        <w:rPr>
          <w:sz w:val="20"/>
          <w:szCs w:val="20"/>
          <w:color w:val="auto"/>
        </w:rPr>
        <w:tab/>
      </w:r>
      <w:r>
        <w:rPr>
          <w:rFonts w:ascii="Arial" w:cs="Arial" w:eastAsia="Arial" w:hAnsi="Arial"/>
          <w:sz w:val="12"/>
          <w:szCs w:val="12"/>
          <w:i w:val="1"/>
          <w:iCs w:val="1"/>
          <w:color w:val="auto"/>
        </w:rPr>
        <w:t>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-99060</wp:posOffset>
            </wp:positionV>
            <wp:extent cx="111760" cy="111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6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Lorence H. Kim, M.D. has served as a member of our Board of Directors since October 2014. Since April 2014, Dr. Kim has been the Chief Financial Officer of Moderna, Inc.,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 School of Medicine. We believe Dr. Kim is qualified to serve on our Board of Directors because of his finance experience and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276860</wp:posOffset>
            </wp:positionV>
            <wp:extent cx="111760" cy="111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40"/>
        <w:spacing w:after="0"/>
        <w:tabs>
          <w:tab w:leader="none" w:pos="10540" w:val="left"/>
        </w:tabs>
        <w:rPr>
          <w:sz w:val="20"/>
          <w:szCs w:val="20"/>
          <w:color w:val="auto"/>
        </w:rPr>
      </w:pPr>
      <w:r>
        <w:rPr>
          <w:rFonts w:ascii="Arial" w:cs="Arial" w:eastAsia="Arial" w:hAnsi="Arial"/>
          <w:sz w:val="14"/>
          <w:szCs w:val="14"/>
          <w:b w:val="1"/>
          <w:bCs w:val="1"/>
          <w:color w:val="auto"/>
        </w:rPr>
        <w:t>MERYL S. ZAUSNER</w:t>
      </w:r>
      <w:r>
        <w:rPr>
          <w:sz w:val="20"/>
          <w:szCs w:val="20"/>
          <w:color w:val="auto"/>
        </w:rPr>
        <w:tab/>
      </w:r>
      <w:r>
        <w:rPr>
          <w:rFonts w:ascii="Arial" w:cs="Arial" w:eastAsia="Arial" w:hAnsi="Arial"/>
          <w:sz w:val="12"/>
          <w:szCs w:val="12"/>
          <w:i w:val="1"/>
          <w:iCs w:val="1"/>
          <w:color w:val="auto"/>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Meryl S. Zausner has served as a member of our Board of Directors since August 2018. From April 2012 to November 2014, Ms. Zausner served as Chief Financial and Administrative Officer in the United States and served as a member of the Pharmaceutical Executive Committee and Global Finance Leadership Team at Novartis Pharmaceuticals Inc. (“Novartis”). At Novartis, she helped launch the Oncology Business Unit, as well as the company’s shared services organization. Prior to serving as Chief Financial and Administrative Officer, Ms. Zausner was a member of the Novartis Global Oncology leadership team and Chief Financial Officer, where she contributed to the development and commercialization of therapies, including Gleevec® (imatinib). Ms. Zausner also serves on the boards of directors of Neon Therapeutics, Inc. and the Multiple Myeloma Research Foundation. Ms. Zausner received a B.S. in accounting and economics from the University at Albany, SUNY. We believe Ms. Zausner is qualified to serve on our Board of Directors because of her finance and leadership experience and knowledge of the pharmaceutical industry.</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40"/>
          </w:cols>
          <w:pgMar w:left="440" w:top="287" w:right="4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1—ELECTION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III DIRECTORS (TERMS TO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shd w:val="clear" w:color="auto" w:fill="D8D8D8"/>
          </w:tcPr>
          <w:p>
            <w:pPr>
              <w:spacing w:after="0"/>
              <w:rPr>
                <w:sz w:val="14"/>
                <w:szCs w:val="14"/>
                <w:color w:val="auto"/>
              </w:rPr>
            </w:pPr>
          </w:p>
        </w:tc>
        <w:tc>
          <w:tcPr>
            <w:tcW w:w="2240" w:type="dxa"/>
            <w:vAlign w:val="bottom"/>
            <w:shd w:val="clear" w:color="auto" w:fill="D8D8D8"/>
          </w:tcPr>
          <w:p>
            <w:pPr>
              <w:spacing w:after="0"/>
              <w:rPr>
                <w:sz w:val="14"/>
                <w:szCs w:val="14"/>
                <w:color w:val="auto"/>
              </w:rPr>
            </w:pPr>
          </w:p>
        </w:tc>
        <w:tc>
          <w:tcPr>
            <w:tcW w:w="1980" w:type="dxa"/>
            <w:vAlign w:val="bottom"/>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7"/>
              </w:rPr>
              <w:t>Served as a</w:t>
            </w:r>
          </w:p>
        </w:tc>
        <w:tc>
          <w:tcPr>
            <w:tcW w:w="3940" w:type="dxa"/>
            <w:vAlign w:val="bottom"/>
            <w:shd w:val="clear" w:color="auto" w:fill="D8D8D8"/>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8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Borders>
              <w:bottom w:val="single" w:sz="8" w:color="auto"/>
            </w:tcBorders>
            <w:shd w:val="clear" w:color="auto" w:fill="D8D8D8"/>
          </w:tcPr>
          <w:p>
            <w:pPr>
              <w:jc w:val="center"/>
              <w:ind w:left="732"/>
              <w:spacing w:after="0"/>
              <w:rPr>
                <w:sz w:val="20"/>
                <w:szCs w:val="20"/>
                <w:color w:val="auto"/>
              </w:rPr>
            </w:pPr>
            <w:r>
              <w:rPr>
                <w:rFonts w:ascii="Arial" w:cs="Arial" w:eastAsia="Arial" w:hAnsi="Arial"/>
                <w:sz w:val="14"/>
                <w:szCs w:val="14"/>
                <w:b w:val="1"/>
                <w:bCs w:val="1"/>
                <w:color w:val="auto"/>
                <w:w w:val="90"/>
              </w:rPr>
              <w:t>Age</w:t>
            </w:r>
          </w:p>
        </w:tc>
        <w:tc>
          <w:tcPr>
            <w:tcW w:w="1980" w:type="dxa"/>
            <w:vAlign w:val="bottom"/>
            <w:tcBorders>
              <w:bottom w:val="single" w:sz="8" w:color="auto"/>
            </w:tcBorders>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6"/>
              </w:rPr>
              <w:t>Director Since</w:t>
            </w:r>
          </w:p>
        </w:tc>
        <w:tc>
          <w:tcPr>
            <w:tcW w:w="3940" w:type="dxa"/>
            <w:vAlign w:val="bottom"/>
            <w:tcBorders>
              <w:bottom w:val="single" w:sz="8" w:color="auto"/>
            </w:tcBorders>
            <w:shd w:val="clear" w:color="auto" w:fill="D8D8D8"/>
          </w:tcPr>
          <w:p>
            <w:pPr>
              <w:ind w:left="48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2880" w:type="dxa"/>
            <w:vAlign w:val="bottom"/>
            <w:gridSpan w:val="2"/>
          </w:tcPr>
          <w:p>
            <w:pPr>
              <w:spacing w:after="0"/>
              <w:rPr>
                <w:sz w:val="20"/>
                <w:szCs w:val="20"/>
                <w:color w:val="auto"/>
              </w:rPr>
            </w:pPr>
            <w:r>
              <w:rPr>
                <w:rFonts w:ascii="Arial" w:cs="Arial" w:eastAsia="Arial" w:hAnsi="Arial"/>
                <w:sz w:val="14"/>
                <w:szCs w:val="14"/>
                <w:color w:val="auto"/>
              </w:rPr>
              <w:t>Noubar B. Afeyan, Ph.D.</w:t>
            </w:r>
          </w:p>
        </w:tc>
        <w:tc>
          <w:tcPr>
            <w:tcW w:w="2240" w:type="dxa"/>
            <w:vAlign w:val="bottom"/>
          </w:tcPr>
          <w:p>
            <w:pPr>
              <w:jc w:val="center"/>
              <w:ind w:left="732"/>
              <w:spacing w:after="0"/>
              <w:rPr>
                <w:sz w:val="20"/>
                <w:szCs w:val="20"/>
                <w:color w:val="auto"/>
              </w:rPr>
            </w:pPr>
            <w:r>
              <w:rPr>
                <w:rFonts w:ascii="Arial" w:cs="Arial" w:eastAsia="Arial" w:hAnsi="Arial"/>
                <w:sz w:val="14"/>
                <w:szCs w:val="14"/>
                <w:color w:val="auto"/>
              </w:rPr>
              <w:t>56</w:t>
            </w:r>
          </w:p>
        </w:tc>
        <w:tc>
          <w:tcPr>
            <w:tcW w:w="1980" w:type="dxa"/>
            <w:vAlign w:val="bottom"/>
          </w:tcPr>
          <w:p>
            <w:pPr>
              <w:jc w:val="center"/>
              <w:ind w:left="52"/>
              <w:spacing w:after="0"/>
              <w:rPr>
                <w:sz w:val="20"/>
                <w:szCs w:val="20"/>
                <w:color w:val="auto"/>
              </w:rPr>
            </w:pPr>
            <w:r>
              <w:rPr>
                <w:rFonts w:ascii="Arial" w:cs="Arial" w:eastAsia="Arial" w:hAnsi="Arial"/>
                <w:sz w:val="14"/>
                <w:szCs w:val="14"/>
                <w:color w:val="auto"/>
                <w:w w:val="96"/>
              </w:rPr>
              <w:t>2010</w:t>
            </w:r>
          </w:p>
        </w:tc>
        <w:tc>
          <w:tcPr>
            <w:tcW w:w="3940" w:type="dxa"/>
            <w:vAlign w:val="bottom"/>
          </w:tcPr>
          <w:p>
            <w:pPr>
              <w:ind w:left="480"/>
              <w:spacing w:after="0"/>
              <w:rPr>
                <w:sz w:val="20"/>
                <w:szCs w:val="20"/>
                <w:color w:val="auto"/>
              </w:rPr>
            </w:pPr>
            <w:r>
              <w:rPr>
                <w:rFonts w:ascii="Arial" w:cs="Arial" w:eastAsia="Arial" w:hAnsi="Arial"/>
                <w:sz w:val="14"/>
                <w:szCs w:val="14"/>
                <w:color w:val="auto"/>
              </w:rPr>
              <w:t>Director</w:t>
            </w:r>
          </w:p>
        </w:tc>
      </w:tr>
      <w:tr>
        <w:trPr>
          <w:trHeight w:val="203"/>
        </w:trPr>
        <w:tc>
          <w:tcPr>
            <w:tcW w:w="20" w:type="dxa"/>
            <w:vAlign w:val="bottom"/>
          </w:tcPr>
          <w:p>
            <w:pPr>
              <w:spacing w:after="0"/>
              <w:rPr>
                <w:sz w:val="17"/>
                <w:szCs w:val="17"/>
                <w:color w:val="auto"/>
              </w:rPr>
            </w:pPr>
          </w:p>
        </w:tc>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Grégory Behar</w:t>
            </w:r>
          </w:p>
        </w:tc>
        <w:tc>
          <w:tcPr>
            <w:tcW w:w="2240" w:type="dxa"/>
            <w:vAlign w:val="bottom"/>
            <w:shd w:val="clear" w:color="auto" w:fill="D8D8D8"/>
          </w:tcPr>
          <w:p>
            <w:pPr>
              <w:jc w:val="center"/>
              <w:ind w:left="732"/>
              <w:spacing w:after="0"/>
              <w:rPr>
                <w:sz w:val="20"/>
                <w:szCs w:val="20"/>
                <w:color w:val="auto"/>
              </w:rPr>
            </w:pPr>
            <w:r>
              <w:rPr>
                <w:rFonts w:ascii="Arial" w:cs="Arial" w:eastAsia="Arial" w:hAnsi="Arial"/>
                <w:sz w:val="14"/>
                <w:szCs w:val="14"/>
                <w:color w:val="auto"/>
              </w:rPr>
              <w:t>49</w:t>
            </w:r>
          </w:p>
        </w:tc>
        <w:tc>
          <w:tcPr>
            <w:tcW w:w="1980" w:type="dxa"/>
            <w:vAlign w:val="bottom"/>
            <w:shd w:val="clear" w:color="auto" w:fill="D8D8D8"/>
          </w:tcPr>
          <w:p>
            <w:pPr>
              <w:jc w:val="center"/>
              <w:ind w:left="52"/>
              <w:spacing w:after="0"/>
              <w:rPr>
                <w:sz w:val="20"/>
                <w:szCs w:val="20"/>
                <w:color w:val="auto"/>
              </w:rPr>
            </w:pPr>
            <w:r>
              <w:rPr>
                <w:rFonts w:ascii="Arial" w:cs="Arial" w:eastAsia="Arial" w:hAnsi="Arial"/>
                <w:sz w:val="14"/>
                <w:szCs w:val="14"/>
                <w:color w:val="auto"/>
                <w:w w:val="96"/>
              </w:rPr>
              <w:t>2014</w:t>
            </w:r>
          </w:p>
        </w:tc>
        <w:tc>
          <w:tcPr>
            <w:tcW w:w="3940" w:type="dxa"/>
            <w:vAlign w:val="bottom"/>
            <w:shd w:val="clear" w:color="auto" w:fill="D8D8D8"/>
          </w:tcPr>
          <w:p>
            <w:pPr>
              <w:ind w:left="480"/>
              <w:spacing w:after="0"/>
              <w:rPr>
                <w:sz w:val="20"/>
                <w:szCs w:val="20"/>
                <w:color w:val="auto"/>
              </w:rPr>
            </w:pPr>
            <w:r>
              <w:rPr>
                <w:rFonts w:ascii="Arial" w:cs="Arial" w:eastAsia="Arial" w:hAnsi="Arial"/>
                <w:sz w:val="14"/>
                <w:szCs w:val="14"/>
                <w:color w:val="auto"/>
              </w:rPr>
              <w:t>Director</w:t>
            </w:r>
          </w:p>
        </w:tc>
      </w:tr>
      <w:tr>
        <w:trPr>
          <w:trHeight w:val="202"/>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Kurt C. Graves</w:t>
            </w:r>
          </w:p>
        </w:tc>
        <w:tc>
          <w:tcPr>
            <w:tcW w:w="2240" w:type="dxa"/>
            <w:vAlign w:val="bottom"/>
            <w:tcBorders>
              <w:bottom w:val="single" w:sz="8" w:color="auto"/>
            </w:tcBorders>
          </w:tcPr>
          <w:p>
            <w:pPr>
              <w:jc w:val="center"/>
              <w:ind w:left="732"/>
              <w:spacing w:after="0"/>
              <w:rPr>
                <w:sz w:val="20"/>
                <w:szCs w:val="20"/>
                <w:color w:val="auto"/>
              </w:rPr>
            </w:pPr>
            <w:r>
              <w:rPr>
                <w:rFonts w:ascii="Arial" w:cs="Arial" w:eastAsia="Arial" w:hAnsi="Arial"/>
                <w:sz w:val="14"/>
                <w:szCs w:val="14"/>
                <w:color w:val="auto"/>
              </w:rPr>
              <w:t>51</w:t>
            </w:r>
          </w:p>
        </w:tc>
        <w:tc>
          <w:tcPr>
            <w:tcW w:w="198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96"/>
              </w:rPr>
              <w:t>2015</w:t>
            </w:r>
          </w:p>
        </w:tc>
        <w:tc>
          <w:tcPr>
            <w:tcW w:w="39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Director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6997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280670</wp:posOffset>
            </wp:positionV>
            <wp:extent cx="111760" cy="111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NOUBAR B. AFEYAN, PH.D.</w:t>
      </w:r>
      <w:r>
        <w:rPr>
          <w:sz w:val="20"/>
          <w:szCs w:val="20"/>
          <w:color w:val="auto"/>
        </w:rPr>
        <w:tab/>
      </w:r>
      <w:r>
        <w:rPr>
          <w:rFonts w:ascii="Arial" w:cs="Arial" w:eastAsia="Arial" w:hAnsi="Arial"/>
          <w:sz w:val="12"/>
          <w:szCs w:val="12"/>
          <w:i w:val="1"/>
          <w:iCs w:val="1"/>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997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Noubar B. Afeyan, Ph.D. has served as a member of our Board of Directors since October 2010. Since 1999, Dr. Afeyan has served as the Senior Managing Partner and Chief Executive Officer of Flagship Pioneering, which conceives, creates, resources and develops first-in-category life sciences companies, that he co-founded. Dr. Afeyan serves on the boards of directors of numerous privately and publicly held companies, including Moderna, Inc., Rubius Therapeutics, Inc., Kaleido Biosciences, Inc. and Evelo Biosciences, Inc. and has previously served on the boards of directors of several public companies, including BG Medicine, Inc., BIND Therapeutics, Inc., and Sensen Bio (formerly Eleven Biotherapeutics, Inc.) Dr. Afeyan received a B.S. in Chemical Engineering from McGill University and a Ph.D. in Biochemical Engineering from the Massachusetts Institute of Technology. He is currently a visiting lecturer of business administration at Harvard Business School and was previously a senior lecturer at the Massachusetts Institute of Technology’s Sloan School of Management where he taught courses on technology entrepreneurship, innovation and leadership. We believe Dr. Afeyan is qualified to serve on our Board of Directors because of his extensive investment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271780</wp:posOffset>
            </wp:positionV>
            <wp:extent cx="111760"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GRÉGORY BEHAR</w:t>
      </w:r>
      <w:r>
        <w:rPr>
          <w:sz w:val="20"/>
          <w:szCs w:val="20"/>
          <w:color w:val="auto"/>
        </w:rPr>
        <w:tab/>
      </w:r>
      <w:r>
        <w:rPr>
          <w:rFonts w:ascii="Arial" w:cs="Arial" w:eastAsia="Arial" w:hAnsi="Arial"/>
          <w:sz w:val="12"/>
          <w:szCs w:val="12"/>
          <w:i w:val="1"/>
          <w:iCs w:val="1"/>
          <w:color w:val="auto"/>
        </w:rPr>
        <w:t>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Grégory Behar has served as a member of our Board of Directors since December 2014. Mr. Behar has served as Chief Executive Officer of Nestlé Health Science S.A., a health sciences company, since October 2014. From July 2011 to July 2014, Mr. Behar was President and Chief Executive Officer of Boehringer Ingelheim Pharmaceuticals Inc. (USA). From 2010 to July 2011, Mr. Behar was Corporate Vice President Region NECAR (North European Union, Canada and Australasia) for Boehringer-Ingelheim GmbH, a pharmaceutical company. Mr. Behar has also served on the board of directors of Aimmune Therapeutics, Inc. since November 2016. Mr. Behar received his B.S.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6997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278765</wp:posOffset>
            </wp:positionV>
            <wp:extent cx="111760"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40"/>
        <w:spacing w:after="0"/>
        <w:tabs>
          <w:tab w:leader="none" w:pos="10520" w:val="left"/>
        </w:tabs>
        <w:rPr>
          <w:sz w:val="20"/>
          <w:szCs w:val="20"/>
          <w:color w:val="auto"/>
        </w:rPr>
      </w:pPr>
      <w:r>
        <w:rPr>
          <w:rFonts w:ascii="Arial" w:cs="Arial" w:eastAsia="Arial" w:hAnsi="Arial"/>
          <w:sz w:val="14"/>
          <w:szCs w:val="14"/>
          <w:b w:val="1"/>
          <w:bCs w:val="1"/>
          <w:color w:val="auto"/>
        </w:rPr>
        <w:t>KURT C. GRAVES</w:t>
      </w:r>
      <w:r>
        <w:rPr>
          <w:sz w:val="20"/>
          <w:szCs w:val="20"/>
          <w:color w:val="auto"/>
        </w:rPr>
        <w:tab/>
      </w:r>
      <w:r>
        <w:rPr>
          <w:rFonts w:ascii="Arial" w:cs="Arial" w:eastAsia="Arial" w:hAnsi="Arial"/>
          <w:sz w:val="12"/>
          <w:szCs w:val="12"/>
          <w:i w:val="1"/>
          <w:iCs w:val="1"/>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997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Kurt C. Graves has served as a member of our Board of Directors since November 2015. Mr. Graves has been the Chairman, President and Chief Executive Officer of Intarcia Therapeutics, Inc. (“Intarcia”), a biotechnology company, since April 2012. Mr. Graves served as Executive Chairman of Biolex Therapeutics, a biotechnology company, from November 2010 to March 2012, and served as Executive Chairman of Intarcia from August 2010 to April 2012. Previously, he served as Executive Vice President, Chief Commercial Officer and Head of Strategic Development at Vertex Pharmaceuticals Inc. (“Vertex”) from July 2007 to October 2009. Prior to joining Vertex, Mr. Graves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040"/>
          </w:cols>
          <w:pgMar w:left="440" w:top="287" w:right="4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1—ELECTION OF DIRECTORS</w:t>
      </w:r>
    </w:p>
    <w:p>
      <w:pPr>
        <w:spacing w:after="0" w:line="13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held various leadership positions at Novartis Pharmaceuticals Corporation (“Novartis Corp.”) from 1999 to June 2007. He was also the first Chief Marketing Officer for the pharmaceuticals division of Novartis Corp. from September 2003 to June 2007. He also serves on the boards of directors of Radius Health, Inc. and Achillion Pharmaceuticals, Inc.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000"/>
          </w:cols>
          <w:pgMar w:left="440" w:top="287" w:right="45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PROPOSAL 2</w:t>
      </w: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2019.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5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2018.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6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2020. Even if the appointment of PricewaterhouseCoopers LLP is ratified, the Audit Committee retains the discretion to appoint a different independent auditor at any time if it determines that such a change is in the interest of our Company.</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Even though brokers have discretionary authority to vote on the ratification of the appointment of PricewaterhouseCoopers LLP, we do not expect any broker non-votes in connection with this proposal.</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ind w:left="660" w:right="178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21463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000"/>
          </w:cols>
          <w:pgMar w:left="440" w:top="842"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Audit Committee of the Board of Directors (the “Audit Committee”) has reviewed the Company’s audited financial statements for the fiscal year ended December 31, 2018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The Audit Committee also considered whether the independent registered public accounting firm’s provision of certain other non-audit related services to the Company is compatible with maintaining such firm’s independence.</w:t>
      </w:r>
    </w:p>
    <w:p>
      <w:pPr>
        <w:spacing w:after="0" w:line="68"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Richard N. Kender (Chair)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Willard H. Dere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Meryl S. Zausner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980"/>
          </w:cols>
          <w:pgMar w:left="440" w:top="832"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0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Fee Category</w:t>
            </w:r>
          </w:p>
        </w:tc>
        <w:tc>
          <w:tcPr>
            <w:tcW w:w="4100" w:type="dxa"/>
            <w:vAlign w:val="bottom"/>
            <w:tcBorders>
              <w:bottom w:val="single" w:sz="8" w:color="auto"/>
            </w:tcBorders>
            <w:shd w:val="clear" w:color="auto" w:fill="D8D8D8"/>
          </w:tcPr>
          <w:p>
            <w:pPr>
              <w:spacing w:after="0"/>
              <w:rPr>
                <w:sz w:val="14"/>
                <w:szCs w:val="14"/>
                <w:color w:val="auto"/>
              </w:rPr>
            </w:pPr>
          </w:p>
        </w:tc>
        <w:tc>
          <w:tcPr>
            <w:tcW w:w="78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shd w:val="clear" w:color="auto" w:fill="D8D8D8"/>
          </w:tcPr>
          <w:p>
            <w:pPr>
              <w:spacing w:after="0"/>
              <w:rPr>
                <w:sz w:val="14"/>
                <w:szCs w:val="14"/>
                <w:color w:val="auto"/>
              </w:rPr>
            </w:pPr>
          </w:p>
        </w:tc>
        <w:tc>
          <w:tcPr>
            <w:tcW w:w="70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4"/>
                <w:szCs w:val="14"/>
                <w:b w:val="1"/>
                <w:bCs w:val="1"/>
                <w:color w:val="auto"/>
              </w:rPr>
              <w:t>2017</w:t>
            </w:r>
          </w:p>
        </w:tc>
      </w:tr>
      <w:tr>
        <w:trPr>
          <w:trHeight w:val="196"/>
        </w:trPr>
        <w:tc>
          <w:tcPr>
            <w:tcW w:w="5080" w:type="dxa"/>
            <w:vAlign w:val="bottom"/>
          </w:tcPr>
          <w:p>
            <w:pPr>
              <w:ind w:left="20"/>
              <w:spacing w:after="0"/>
              <w:rPr>
                <w:sz w:val="20"/>
                <w:szCs w:val="20"/>
                <w:color w:val="auto"/>
              </w:rPr>
            </w:pPr>
            <w:r>
              <w:rPr>
                <w:rFonts w:ascii="Arial" w:cs="Arial" w:eastAsia="Arial" w:hAnsi="Arial"/>
                <w:sz w:val="14"/>
                <w:szCs w:val="14"/>
                <w:color w:val="auto"/>
              </w:rPr>
              <w:t>Audit Fees</w:t>
            </w:r>
          </w:p>
        </w:tc>
        <w:tc>
          <w:tcPr>
            <w:tcW w:w="41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488,000</w:t>
            </w: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486,000</w:t>
            </w:r>
          </w:p>
        </w:tc>
      </w:tr>
      <w:tr>
        <w:trPr>
          <w:trHeight w:val="203"/>
        </w:trPr>
        <w:tc>
          <w:tcPr>
            <w:tcW w:w="5080" w:type="dxa"/>
            <w:vAlign w:val="bottom"/>
            <w:shd w:val="clear" w:color="auto" w:fill="D8D8D8"/>
          </w:tcPr>
          <w:p>
            <w:pPr>
              <w:ind w:left="20"/>
              <w:spacing w:after="0"/>
              <w:rPr>
                <w:sz w:val="20"/>
                <w:szCs w:val="20"/>
                <w:color w:val="auto"/>
              </w:rPr>
            </w:pPr>
            <w:r>
              <w:rPr>
                <w:rFonts w:ascii="Arial" w:cs="Arial" w:eastAsia="Arial" w:hAnsi="Arial"/>
                <w:sz w:val="14"/>
                <w:szCs w:val="14"/>
                <w:color w:val="auto"/>
              </w:rPr>
              <w:t>Audit-Related Fees</w:t>
            </w:r>
          </w:p>
        </w:tc>
        <w:tc>
          <w:tcPr>
            <w:tcW w:w="41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20,000</w:t>
            </w:r>
          </w:p>
        </w:tc>
        <w:tc>
          <w:tcPr>
            <w:tcW w:w="3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15,000</w:t>
            </w: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Tax Fees</w:t>
            </w:r>
          </w:p>
        </w:tc>
        <w:tc>
          <w:tcPr>
            <w:tcW w:w="41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5080" w:type="dxa"/>
            <w:vAlign w:val="bottom"/>
            <w:shd w:val="clear" w:color="auto" w:fill="D8D8D8"/>
          </w:tcPr>
          <w:p>
            <w:pPr>
              <w:ind w:left="20"/>
              <w:spacing w:after="0"/>
              <w:rPr>
                <w:sz w:val="20"/>
                <w:szCs w:val="20"/>
                <w:color w:val="auto"/>
              </w:rPr>
            </w:pPr>
            <w:r>
              <w:rPr>
                <w:rFonts w:ascii="Arial" w:cs="Arial" w:eastAsia="Arial" w:hAnsi="Arial"/>
                <w:sz w:val="14"/>
                <w:szCs w:val="14"/>
                <w:color w:val="auto"/>
              </w:rPr>
              <w:t>All Other Fees</w:t>
            </w:r>
          </w:p>
        </w:tc>
        <w:tc>
          <w:tcPr>
            <w:tcW w:w="41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900</w:t>
            </w:r>
          </w:p>
        </w:tc>
        <w:tc>
          <w:tcPr>
            <w:tcW w:w="3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900</w:t>
            </w:r>
          </w:p>
        </w:tc>
      </w:tr>
      <w:tr>
        <w:trPr>
          <w:trHeight w:val="20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Fees</w:t>
            </w:r>
          </w:p>
        </w:tc>
        <w:tc>
          <w:tcPr>
            <w:tcW w:w="4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508,900</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501,900</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Audit-related fees in 2018 consist of fees for services performed related to our adoption of the new lease accounting standard in the first quarter of 2019.</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such fees incurred in 2018.</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All Other Fees in 2018 represent non-audit fees in connection with access to the PricewaterhouseCoopers LLP on-line accounting research and disclosures database.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040"/>
          </w:cols>
          <w:pgMar w:left="440" w:top="832" w:right="4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REGISTERED PUBLIC ACCOUNTING FIRM FEES AND OTHER MATTERS</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940"/>
          </w:cols>
          <w:pgMar w:left="440" w:top="287"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397510</wp:posOffset>
            </wp:positionV>
            <wp:extent cx="699770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0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206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4"/>
                <w:szCs w:val="14"/>
                <w:b w:val="1"/>
                <w:bCs w:val="1"/>
                <w:color w:val="auto"/>
              </w:rPr>
              <w:t>Age</w:t>
            </w:r>
          </w:p>
        </w:tc>
        <w:tc>
          <w:tcPr>
            <w:tcW w:w="5880" w:type="dxa"/>
            <w:vAlign w:val="bottom"/>
            <w:tcBorders>
              <w:bottom w:val="single" w:sz="8" w:color="auto"/>
            </w:tcBorders>
            <w:shd w:val="clear" w:color="auto" w:fill="D8D8D8"/>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color w:val="auto"/>
              </w:rPr>
              <w:t>Eric D. Shaff</w:t>
            </w:r>
            <w:r>
              <w:rPr>
                <w:rFonts w:ascii="Arial" w:cs="Arial" w:eastAsia="Arial" w:hAnsi="Arial"/>
                <w:sz w:val="11"/>
                <w:szCs w:val="11"/>
                <w:color w:val="auto"/>
              </w:rPr>
              <w:t>(1)</w:t>
            </w:r>
          </w:p>
        </w:tc>
        <w:tc>
          <w:tcPr>
            <w:tcW w:w="2060" w:type="dxa"/>
            <w:vAlign w:val="bottom"/>
          </w:tcPr>
          <w:p>
            <w:pPr>
              <w:jc w:val="right"/>
              <w:ind w:right="112"/>
              <w:spacing w:after="0"/>
              <w:rPr>
                <w:sz w:val="20"/>
                <w:szCs w:val="20"/>
                <w:color w:val="auto"/>
              </w:rPr>
            </w:pPr>
            <w:r>
              <w:rPr>
                <w:rFonts w:ascii="Arial" w:cs="Arial" w:eastAsia="Arial" w:hAnsi="Arial"/>
                <w:sz w:val="14"/>
                <w:szCs w:val="14"/>
                <w:color w:val="auto"/>
              </w:rPr>
              <w:t>43</w:t>
            </w:r>
          </w:p>
        </w:tc>
        <w:tc>
          <w:tcPr>
            <w:tcW w:w="5880" w:type="dxa"/>
            <w:vAlign w:val="bottom"/>
          </w:tcPr>
          <w:p>
            <w:pPr>
              <w:ind w:left="180"/>
              <w:spacing w:after="0"/>
              <w:rPr>
                <w:sz w:val="20"/>
                <w:szCs w:val="20"/>
                <w:color w:val="auto"/>
              </w:rPr>
            </w:pPr>
            <w:r>
              <w:rPr>
                <w:rFonts w:ascii="Arial" w:cs="Arial" w:eastAsia="Arial" w:hAnsi="Arial"/>
                <w:sz w:val="14"/>
                <w:szCs w:val="14"/>
                <w:color w:val="auto"/>
              </w:rPr>
              <w:t>President and Chief Executive Officer</w:t>
            </w:r>
          </w:p>
        </w:tc>
      </w:tr>
      <w:tr>
        <w:trPr>
          <w:trHeight w:val="203"/>
        </w:trPr>
        <w:tc>
          <w:tcPr>
            <w:tcW w:w="3080" w:type="dxa"/>
            <w:vAlign w:val="bottom"/>
            <w:shd w:val="clear" w:color="auto" w:fill="D8D8D8"/>
          </w:tcPr>
          <w:p>
            <w:pPr>
              <w:ind w:left="20"/>
              <w:spacing w:after="0"/>
              <w:rPr>
                <w:sz w:val="20"/>
                <w:szCs w:val="20"/>
                <w:color w:val="auto"/>
              </w:rPr>
            </w:pPr>
            <w:r>
              <w:rPr>
                <w:rFonts w:ascii="Arial" w:cs="Arial" w:eastAsia="Arial" w:hAnsi="Arial"/>
                <w:sz w:val="14"/>
                <w:szCs w:val="14"/>
                <w:color w:val="auto"/>
              </w:rPr>
              <w:t>John G. Aunins, Ph.D.</w:t>
            </w:r>
            <w:r>
              <w:rPr>
                <w:rFonts w:ascii="Arial" w:cs="Arial" w:eastAsia="Arial" w:hAnsi="Arial"/>
                <w:sz w:val="11"/>
                <w:szCs w:val="11"/>
                <w:color w:val="auto"/>
              </w:rPr>
              <w:t>(2)</w:t>
            </w:r>
          </w:p>
        </w:tc>
        <w:tc>
          <w:tcPr>
            <w:tcW w:w="206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58</w:t>
            </w:r>
          </w:p>
        </w:tc>
        <w:tc>
          <w:tcPr>
            <w:tcW w:w="5880" w:type="dxa"/>
            <w:vAlign w:val="bottom"/>
            <w:shd w:val="clear" w:color="auto" w:fill="D8D8D8"/>
          </w:tcPr>
          <w:p>
            <w:pPr>
              <w:ind w:left="180"/>
              <w:spacing w:after="0"/>
              <w:rPr>
                <w:sz w:val="20"/>
                <w:szCs w:val="20"/>
                <w:color w:val="auto"/>
              </w:rPr>
            </w:pPr>
            <w:r>
              <w:rPr>
                <w:rFonts w:ascii="Arial" w:cs="Arial" w:eastAsia="Arial" w:hAnsi="Arial"/>
                <w:sz w:val="14"/>
                <w:szCs w:val="14"/>
                <w:color w:val="auto"/>
              </w:rPr>
              <w:t>Executive Vice President of Bioprocess &amp; Manufacturing and Chief Technology Officer</w:t>
            </w:r>
          </w:p>
        </w:tc>
      </w:tr>
      <w:tr>
        <w:trPr>
          <w:trHeight w:val="202"/>
        </w:trPr>
        <w:tc>
          <w:tcPr>
            <w:tcW w:w="3080" w:type="dxa"/>
            <w:vAlign w:val="bottom"/>
          </w:tcPr>
          <w:p>
            <w:pPr>
              <w:ind w:left="20"/>
              <w:spacing w:after="0"/>
              <w:rPr>
                <w:sz w:val="20"/>
                <w:szCs w:val="20"/>
                <w:color w:val="auto"/>
              </w:rPr>
            </w:pPr>
            <w:r>
              <w:rPr>
                <w:rFonts w:ascii="Arial" w:cs="Arial" w:eastAsia="Arial" w:hAnsi="Arial"/>
                <w:sz w:val="14"/>
                <w:szCs w:val="14"/>
                <w:color w:val="auto"/>
              </w:rPr>
              <w:t>Marcus Chapman</w:t>
            </w:r>
            <w:r>
              <w:rPr>
                <w:rFonts w:ascii="Arial" w:cs="Arial" w:eastAsia="Arial" w:hAnsi="Arial"/>
                <w:sz w:val="11"/>
                <w:szCs w:val="11"/>
                <w:color w:val="auto"/>
              </w:rPr>
              <w:t>(3)</w:t>
            </w:r>
          </w:p>
        </w:tc>
        <w:tc>
          <w:tcPr>
            <w:tcW w:w="2060" w:type="dxa"/>
            <w:vAlign w:val="bottom"/>
          </w:tcPr>
          <w:p>
            <w:pPr>
              <w:jc w:val="right"/>
              <w:ind w:right="112"/>
              <w:spacing w:after="0"/>
              <w:rPr>
                <w:sz w:val="20"/>
                <w:szCs w:val="20"/>
                <w:color w:val="auto"/>
              </w:rPr>
            </w:pPr>
            <w:r>
              <w:rPr>
                <w:rFonts w:ascii="Arial" w:cs="Arial" w:eastAsia="Arial" w:hAnsi="Arial"/>
                <w:sz w:val="14"/>
                <w:szCs w:val="14"/>
                <w:color w:val="auto"/>
              </w:rPr>
              <w:t>48</w:t>
            </w:r>
          </w:p>
        </w:tc>
        <w:tc>
          <w:tcPr>
            <w:tcW w:w="5880" w:type="dxa"/>
            <w:vAlign w:val="bottom"/>
          </w:tcPr>
          <w:p>
            <w:pPr>
              <w:ind w:left="180"/>
              <w:spacing w:after="0"/>
              <w:rPr>
                <w:sz w:val="20"/>
                <w:szCs w:val="20"/>
                <w:color w:val="auto"/>
              </w:rPr>
            </w:pPr>
            <w:r>
              <w:rPr>
                <w:rFonts w:ascii="Arial" w:cs="Arial" w:eastAsia="Arial" w:hAnsi="Arial"/>
                <w:sz w:val="14"/>
                <w:szCs w:val="14"/>
                <w:color w:val="auto"/>
              </w:rPr>
              <w:t>Vice President, Finance and Principal Financial and Accounting Officer</w:t>
            </w:r>
          </w:p>
        </w:tc>
      </w:tr>
      <w:tr>
        <w:trPr>
          <w:trHeight w:val="203"/>
        </w:trPr>
        <w:tc>
          <w:tcPr>
            <w:tcW w:w="3080" w:type="dxa"/>
            <w:vAlign w:val="bottom"/>
            <w:shd w:val="clear" w:color="auto" w:fill="D8D8D8"/>
          </w:tcPr>
          <w:p>
            <w:pPr>
              <w:ind w:left="20"/>
              <w:spacing w:after="0"/>
              <w:rPr>
                <w:sz w:val="20"/>
                <w:szCs w:val="20"/>
                <w:color w:val="auto"/>
              </w:rPr>
            </w:pPr>
            <w:r>
              <w:rPr>
                <w:rFonts w:ascii="Arial" w:cs="Arial" w:eastAsia="Arial" w:hAnsi="Arial"/>
                <w:sz w:val="14"/>
                <w:szCs w:val="14"/>
                <w:color w:val="auto"/>
              </w:rPr>
              <w:t>Thomas J. DesRosier</w:t>
            </w:r>
            <w:r>
              <w:rPr>
                <w:rFonts w:ascii="Arial" w:cs="Arial" w:eastAsia="Arial" w:hAnsi="Arial"/>
                <w:sz w:val="11"/>
                <w:szCs w:val="11"/>
                <w:color w:val="auto"/>
              </w:rPr>
              <w:t>(4)</w:t>
            </w:r>
          </w:p>
        </w:tc>
        <w:tc>
          <w:tcPr>
            <w:tcW w:w="206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64</w:t>
            </w:r>
          </w:p>
        </w:tc>
        <w:tc>
          <w:tcPr>
            <w:tcW w:w="5880" w:type="dxa"/>
            <w:vAlign w:val="bottom"/>
            <w:shd w:val="clear" w:color="auto" w:fill="D8D8D8"/>
          </w:tcPr>
          <w:p>
            <w:pPr>
              <w:ind w:left="180"/>
              <w:spacing w:after="0"/>
              <w:rPr>
                <w:sz w:val="20"/>
                <w:szCs w:val="20"/>
                <w:color w:val="auto"/>
              </w:rPr>
            </w:pPr>
            <w:r>
              <w:rPr>
                <w:rFonts w:ascii="Arial" w:cs="Arial" w:eastAsia="Arial" w:hAnsi="Arial"/>
                <w:sz w:val="14"/>
                <w:szCs w:val="14"/>
                <w:color w:val="auto"/>
              </w:rPr>
              <w:t>Executive Vice President and Chief Legal Officer</w:t>
            </w:r>
          </w:p>
        </w:tc>
      </w:tr>
      <w:tr>
        <w:trPr>
          <w:trHeight w:val="202"/>
        </w:trPr>
        <w:tc>
          <w:tcPr>
            <w:tcW w:w="3080" w:type="dxa"/>
            <w:vAlign w:val="bottom"/>
          </w:tcPr>
          <w:p>
            <w:pPr>
              <w:ind w:left="20"/>
              <w:spacing w:after="0"/>
              <w:rPr>
                <w:sz w:val="20"/>
                <w:szCs w:val="20"/>
                <w:color w:val="auto"/>
              </w:rPr>
            </w:pPr>
            <w:r>
              <w:rPr>
                <w:rFonts w:ascii="Arial" w:cs="Arial" w:eastAsia="Arial" w:hAnsi="Arial"/>
                <w:sz w:val="14"/>
                <w:szCs w:val="14"/>
                <w:color w:val="auto"/>
              </w:rPr>
              <w:t>Matthew Henn, Ph.D.</w:t>
            </w:r>
            <w:r>
              <w:rPr>
                <w:rFonts w:ascii="Arial" w:cs="Arial" w:eastAsia="Arial" w:hAnsi="Arial"/>
                <w:sz w:val="11"/>
                <w:szCs w:val="11"/>
                <w:color w:val="auto"/>
              </w:rPr>
              <w:t>(5)</w:t>
            </w:r>
          </w:p>
        </w:tc>
        <w:tc>
          <w:tcPr>
            <w:tcW w:w="2060" w:type="dxa"/>
            <w:vAlign w:val="bottom"/>
          </w:tcPr>
          <w:p>
            <w:pPr>
              <w:jc w:val="right"/>
              <w:ind w:right="112"/>
              <w:spacing w:after="0"/>
              <w:rPr>
                <w:sz w:val="20"/>
                <w:szCs w:val="20"/>
                <w:color w:val="auto"/>
              </w:rPr>
            </w:pPr>
            <w:r>
              <w:rPr>
                <w:rFonts w:ascii="Arial" w:cs="Arial" w:eastAsia="Arial" w:hAnsi="Arial"/>
                <w:sz w:val="14"/>
                <w:szCs w:val="14"/>
                <w:color w:val="auto"/>
              </w:rPr>
              <w:t>44</w:t>
            </w:r>
          </w:p>
        </w:tc>
        <w:tc>
          <w:tcPr>
            <w:tcW w:w="5880" w:type="dxa"/>
            <w:vAlign w:val="bottom"/>
          </w:tcPr>
          <w:p>
            <w:pPr>
              <w:ind w:left="180"/>
              <w:spacing w:after="0"/>
              <w:rPr>
                <w:sz w:val="20"/>
                <w:szCs w:val="20"/>
                <w:color w:val="auto"/>
              </w:rPr>
            </w:pPr>
            <w:r>
              <w:rPr>
                <w:rFonts w:ascii="Arial" w:cs="Arial" w:eastAsia="Arial" w:hAnsi="Arial"/>
                <w:sz w:val="14"/>
                <w:szCs w:val="14"/>
                <w:color w:val="auto"/>
              </w:rPr>
              <w:t>Executive Vice President and Chief Scientific Officer</w:t>
            </w:r>
          </w:p>
        </w:tc>
      </w:tr>
      <w:tr>
        <w:trPr>
          <w:trHeight w:val="203"/>
        </w:trPr>
        <w:tc>
          <w:tcPr>
            <w:tcW w:w="30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color w:val="auto"/>
              </w:rPr>
              <w:t>Kevin Horgan, M.D.</w:t>
            </w:r>
            <w:r>
              <w:rPr>
                <w:rFonts w:ascii="Arial" w:cs="Arial" w:eastAsia="Arial" w:hAnsi="Arial"/>
                <w:sz w:val="11"/>
                <w:szCs w:val="11"/>
                <w:color w:val="auto"/>
              </w:rPr>
              <w:t>(6)</w:t>
            </w:r>
          </w:p>
        </w:tc>
        <w:tc>
          <w:tcPr>
            <w:tcW w:w="206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color w:val="auto"/>
              </w:rPr>
              <w:t>59</w:t>
            </w:r>
          </w:p>
        </w:tc>
        <w:tc>
          <w:tcPr>
            <w:tcW w:w="5880" w:type="dxa"/>
            <w:vAlign w:val="bottom"/>
            <w:tcBorders>
              <w:bottom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Executive Vice President and Chief Medical Officer</w:t>
            </w:r>
          </w:p>
        </w:tc>
      </w:tr>
    </w:tbl>
    <w:p>
      <w:pPr>
        <w:spacing w:after="0" w:line="67" w:lineRule="exact"/>
        <w:rPr>
          <w:sz w:val="20"/>
          <w:szCs w:val="20"/>
          <w:color w:val="auto"/>
        </w:rPr>
      </w:pPr>
    </w:p>
    <w:p>
      <w:pPr>
        <w:ind w:left="140" w:hanging="136"/>
        <w:spacing w:after="0"/>
        <w:tabs>
          <w:tab w:leader="none" w:pos="140" w:val="left"/>
        </w:tabs>
        <w:numPr>
          <w:ilvl w:val="0"/>
          <w:numId w:val="9"/>
        </w:numPr>
        <w:rPr>
          <w:rFonts w:ascii="Arial" w:cs="Arial" w:eastAsia="Arial" w:hAnsi="Arial"/>
          <w:sz w:val="15"/>
          <w:szCs w:val="15"/>
          <w:color w:val="auto"/>
        </w:rPr>
      </w:pPr>
      <w:r>
        <w:rPr>
          <w:rFonts w:ascii="Arial" w:cs="Arial" w:eastAsia="Arial" w:hAnsi="Arial"/>
          <w:sz w:val="18"/>
          <w:szCs w:val="18"/>
          <w:color w:val="auto"/>
        </w:rPr>
        <w:t>See biography on page 8 of this proxy statement.</w:t>
      </w:r>
    </w:p>
    <w:p>
      <w:pPr>
        <w:spacing w:after="0" w:line="77" w:lineRule="exact"/>
        <w:rPr>
          <w:sz w:val="20"/>
          <w:szCs w:val="20"/>
          <w:color w:val="auto"/>
        </w:rPr>
      </w:pPr>
    </w:p>
    <w:p>
      <w:pPr>
        <w:ind w:right="60" w:firstLine="4"/>
        <w:spacing w:after="0" w:line="237" w:lineRule="auto"/>
        <w:tabs>
          <w:tab w:leader="none" w:pos="135" w:val="left"/>
        </w:tabs>
        <w:numPr>
          <w:ilvl w:val="0"/>
          <w:numId w:val="10"/>
        </w:numPr>
        <w:rPr>
          <w:rFonts w:ascii="Arial" w:cs="Arial" w:eastAsia="Arial" w:hAnsi="Arial"/>
          <w:sz w:val="15"/>
          <w:szCs w:val="15"/>
          <w:color w:val="auto"/>
        </w:rPr>
      </w:pPr>
      <w:r>
        <w:rPr>
          <w:rFonts w:ascii="Arial" w:cs="Arial" w:eastAsia="Arial" w:hAnsi="Arial"/>
          <w:sz w:val="18"/>
          <w:szCs w:val="18"/>
          <w:color w:val="auto"/>
        </w:rPr>
        <w:t>John G. Aunins, Ph.D., has served as our Chief Technology Officer and Executive Vice President of Bioprocess Development since December 2012. 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the Massachusetts Institute of Technology.</w:t>
      </w:r>
    </w:p>
    <w:p>
      <w:pPr>
        <w:spacing w:after="0" w:line="55" w:lineRule="exact"/>
        <w:rPr>
          <w:sz w:val="20"/>
          <w:szCs w:val="20"/>
          <w:color w:val="auto"/>
        </w:rPr>
      </w:pPr>
    </w:p>
    <w:p>
      <w:pPr>
        <w:ind w:right="20" w:firstLine="4"/>
        <w:spacing w:after="0" w:line="237" w:lineRule="auto"/>
        <w:tabs>
          <w:tab w:leader="none" w:pos="135" w:val="left"/>
        </w:tabs>
        <w:numPr>
          <w:ilvl w:val="0"/>
          <w:numId w:val="11"/>
        </w:numPr>
        <w:rPr>
          <w:rFonts w:ascii="Arial" w:cs="Arial" w:eastAsia="Arial" w:hAnsi="Arial"/>
          <w:sz w:val="15"/>
          <w:szCs w:val="15"/>
          <w:color w:val="auto"/>
        </w:rPr>
      </w:pPr>
      <w:r>
        <w:rPr>
          <w:rFonts w:ascii="Arial" w:cs="Arial" w:eastAsia="Arial" w:hAnsi="Arial"/>
          <w:sz w:val="18"/>
          <w:szCs w:val="18"/>
          <w:color w:val="auto"/>
        </w:rPr>
        <w:t>Marcus Chapman has served as our Vice President, Finance since January 1, 2018 and as our Principal Financial and Accounting Officer since April 2019. From August 2007 to March 2015, Mr. Chapman served in roles of increasing seniority culminating as Senior Director of Finance and Interim Head of Finance for Takeda Oncology (“Takeda”), the oncology business unit of Takeda Pharmaceuticals Co. Ltd. In these roles, Mr. Chapman oversaw finance functions supporting U.S. sales, U.S. and global marketing, operations, global medical affairs and manufacturing. Prior to Takeda, Mr. Chapman held senior roles at Clarion Healthcare Consulting and Strategic Decisions Group. He began his career at LaSalle Partners in their Investment Banking and Investment Management groups. Mr. Chapman received his B.A. in economics from Wheaton College and his MBA from The Tuck School of Business at Dartmouth College.</w:t>
      </w:r>
    </w:p>
    <w:p>
      <w:pPr>
        <w:spacing w:after="0" w:line="55" w:lineRule="exact"/>
        <w:rPr>
          <w:sz w:val="20"/>
          <w:szCs w:val="20"/>
          <w:color w:val="auto"/>
        </w:rPr>
      </w:pPr>
    </w:p>
    <w:p>
      <w:pPr>
        <w:ind w:right="80" w:firstLine="4"/>
        <w:spacing w:after="0" w:line="236" w:lineRule="auto"/>
        <w:tabs>
          <w:tab w:leader="none" w:pos="132"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as Executive Vice President, Chief Legal and Administrative Officer and Secretary of Cubist Pharmaceuticals, Inc. (“Cubist”), a biopharmaceutical company, from 2014 to 2015 and as Senior Vice President, Chief Legal Officer and Secretary of Cubist from 2013 to 2014. Before that, Mr. DesRosier served as Senior Vice President, General Counsel North America of Sanofi S.A., a global biopharmaceutical company, from 2011 to 2013. From 1999 to 2011, Mr. DesRosier held leadership roles of increasing importance within the legal group of Genzyme Corporation, a biotechnology company, culminating in his role as Senior Vice President, Chief Legal Officer. Mr. DesRosier serves as a director on the board of Avanir Pharmaceuticals, a subsidiary of Otsuka Pharmaceutical Company, Ltd. Mr. DesRosier earned a B.A. in Chemistry from the University of Vermont and a J.D. from Wake Forest University School of Law.</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040"/>
          </w:cols>
          <w:pgMar w:left="440" w:top="981" w:right="4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36" w:lineRule="exact"/>
        <w:rPr>
          <w:sz w:val="20"/>
          <w:szCs w:val="20"/>
          <w:color w:val="auto"/>
        </w:rPr>
      </w:pPr>
    </w:p>
    <w:p>
      <w:pPr>
        <w:ind w:right="60" w:firstLine="4"/>
        <w:spacing w:after="0" w:line="236" w:lineRule="auto"/>
        <w:tabs>
          <w:tab w:leader="none" w:pos="135" w:val="left"/>
        </w:tabs>
        <w:numPr>
          <w:ilvl w:val="0"/>
          <w:numId w:val="13"/>
        </w:numPr>
        <w:rPr>
          <w:rFonts w:ascii="Arial" w:cs="Arial" w:eastAsia="Arial" w:hAnsi="Arial"/>
          <w:sz w:val="15"/>
          <w:szCs w:val="15"/>
          <w:color w:val="auto"/>
        </w:rPr>
      </w:pPr>
      <w:r>
        <w:rPr>
          <w:rFonts w:ascii="Arial" w:cs="Arial" w:eastAsia="Arial" w:hAnsi="Arial"/>
          <w:sz w:val="18"/>
          <w:szCs w:val="18"/>
          <w:color w:val="auto"/>
        </w:rPr>
        <w:t>Matthew Henn, Ph.D., has served as our Executive Vice President and Chief Scientific Officer since February 2019. Since joining our Company at its launch in June 2012, he has held positions of increasing seniority, most recently prior to his current position as our Executive Vice President, Head of Discovery and Microbiome R&amp;D. Prior to joining our Company, Dr. Henn was the Director of Viral Genomics and Assistant Director of the Genome Sequencing Center for Infectious Diseases at the Broad Institute of MIT and Harvard. He currently serves on the scientific advisory boards of the Forsyth Institute and Growcentia, Inc.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spacing w:after="0" w:line="60" w:lineRule="exact"/>
        <w:rPr>
          <w:sz w:val="20"/>
          <w:szCs w:val="20"/>
          <w:color w:val="auto"/>
        </w:rPr>
      </w:pPr>
    </w:p>
    <w:p>
      <w:pPr>
        <w:ind w:firstLine="4"/>
        <w:spacing w:after="0" w:line="252" w:lineRule="auto"/>
        <w:tabs>
          <w:tab w:leader="none" w:pos="135" w:val="left"/>
        </w:tabs>
        <w:numPr>
          <w:ilvl w:val="0"/>
          <w:numId w:val="14"/>
        </w:numPr>
        <w:rPr>
          <w:rFonts w:ascii="Arial" w:cs="Arial" w:eastAsia="Arial" w:hAnsi="Arial"/>
          <w:sz w:val="14"/>
          <w:szCs w:val="14"/>
          <w:color w:val="auto"/>
        </w:rPr>
      </w:pPr>
      <w:r>
        <w:rPr>
          <w:rFonts w:ascii="Arial" w:cs="Arial" w:eastAsia="Arial" w:hAnsi="Arial"/>
          <w:sz w:val="17"/>
          <w:szCs w:val="17"/>
          <w:color w:val="auto"/>
        </w:rPr>
        <w:t>Kevin Horgan, M.D., has served as our Chief Medical Officer and Executive Vice President since October 2018. From April 2015 to October 2018, Dr. Horgan was Vice President of Clinical Development at AstraZeneca plc (“AstraZeneca”), a pharmaceutical company, where was the Global Development Leader for combination immune-oncology programs. Prior to AstraZeneca, Dr. Hogan was the Chief Medical Officer at Soligenix, Inc., a biopharmaceutical company, from January 2011 to October 2013 and Coronado Biosciences, Inc. (now Fortress Biotech, Inc.), a biopharmaceutical company, from October 2013 to January 2014. Prior to that, Dr. Horgan was Vice President of Clinical Immunology at Centocor Biotech Inc. (now Janssen Biotech, Inc.), a biotechnology company. Dr. Hogan began his industry career at Merck, following positions in academic medicine at the University of California, Los Angeles. Dr. Horgan earned his undergraduate and medical degrees from University College Cork. He did his medical residency on the Osler Service at The Johns Hopkins Hospital.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is related to any other executive officer or to any of our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020"/>
          </w:cols>
          <w:pgMar w:left="440" w:top="287"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Board of Directors has adopted Corporate Governance Guidelines, an Insider Trading Compliance Policy, a Code of Business Conduct and Ethics and charters for our Nominating and Corporate Governance Committee, Audit Committee and Compensation Committee to assist the Board in the exercise of its responsibilities and to serve as a framework for the effective governance of our Company. You can access our current committee charters, our Corporate Governance Guidelines, Insider Trading Compliance Policy, and our Code of Business Conduct and Ethics in the “Corporate Governance” section of the “Investors &amp; Media” page of our website located at www.serestherapeutics.com, or by writing to our Secretary at our offices at 200 Sidney Street, Cambridge, MA 02139.</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Board of Directors currently consists of ten members: Eric D. Shaff, Roger J. Pomerantz, M.D., Noubar B. Afeyan, Ph.D., Dennis A. Ausiello, M.D., Grégory Behar, Willard H. Dere, M.D., Richard N. Kender, Lorence H. Kim, M.D., Kurt C. Graves and Meryl S. Zausner.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All of our directors, other than Roger J. Pomerantz, M.D. and Eric D. Shaff,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Mr. Shaff is not independent because he is the President and Chief Executive Officer of our Company. Dr. Pomerantz is not independent because he served as President and Chief Executive Officer of our Company until January 2019. There are no family relationships among any of our directors or executive officers.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000"/>
          </w:cols>
          <w:pgMar w:left="440" w:top="832" w:right="45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5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Cambridge, MA 02139.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740"/>
        <w:spacing w:after="0"/>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54"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Lead Director and Chairman of the Board consider to be important for the directors to know. In general, communications relating to corporate governance and long-term corporate strategy are more likely to be forwarded than communications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020"/>
          </w:cols>
          <w:pgMar w:left="440" w:top="287" w:right="4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3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Seres Therapeutics, Inc., 200 Sidney Street, Cambridge, MA 02139.</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and our Audit Committee is responsible for overseeing our major financial and cyber-security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adversely affects the Board’s leadership.</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outside counsel, Latham &amp; Watkins, LLP, (“Latham”), distributed board evaluations to our Board and each board member returned an evaluation anonymously. Latham tabulated the results and presented them to the Nominating and Corporate Governance Committee for review.</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There were eight meetings of the Board of Directors during the fiscal year ended December 31, 2018. During the fiscal year ended December 31, 2018, each director attended at least 75% of the aggregate of all meetings of the Board of Directors and meetings of the committees on which the Director served during the period in which he or she served as a director.</w:t>
      </w:r>
    </w:p>
    <w:p>
      <w:pPr>
        <w:spacing w:after="0" w:line="5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directors will attend absent compelling circumstances.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020"/>
          </w:cols>
          <w:pgMar w:left="440" w:top="287"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Board has established three standing committees—Audit, Compensation and Nominating and Corporate Governance—each of which operates under a written charter that has been approved by our Board. All of the members of each of the Board’s three standing committees are independent as defined under the Nasdaq rules. Our Board of Directors has determined that Richard N. Kender, Willard H. Dere, Meryl S. Zausner, and Dennis A. Ausiello meet the independence requirements of Rule 10A-3 under the Securities Exchange Act of 1934, as amended (the “Exchange Act”). From June 2016 to August 2018, Dennis A. Ausiello served on the Audit Committee. In connection with his service on the Audit Committee, our Board of Directors determined that Dr. Ausiello met the independence requirements of Rule 10A-3. All members of the Compensation Committee meet the heightened standard for independence specific to members of a compensation committee under the Nasdaq rules. All members of the Nominating and Corporate Governance Committee are independent under the Nasdaq rules.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shd w:val="clear" w:color="auto" w:fill="D8D8D8"/>
          </w:tcPr>
          <w:p>
            <w:pPr>
              <w:spacing w:after="0"/>
              <w:rPr>
                <w:sz w:val="14"/>
                <w:szCs w:val="14"/>
                <w:color w:val="auto"/>
              </w:rPr>
            </w:pPr>
          </w:p>
        </w:tc>
        <w:tc>
          <w:tcPr>
            <w:tcW w:w="1460" w:type="dxa"/>
            <w:vAlign w:val="bottom"/>
            <w:shd w:val="clear" w:color="auto" w:fill="D8D8D8"/>
          </w:tcPr>
          <w:p>
            <w:pPr>
              <w:jc w:val="center"/>
              <w:ind w:right="649"/>
              <w:spacing w:after="0"/>
              <w:rPr>
                <w:sz w:val="20"/>
                <w:szCs w:val="20"/>
                <w:color w:val="auto"/>
              </w:rPr>
            </w:pPr>
            <w:r>
              <w:rPr>
                <w:rFonts w:ascii="Arial" w:cs="Arial" w:eastAsia="Arial" w:hAnsi="Arial"/>
                <w:sz w:val="14"/>
                <w:szCs w:val="14"/>
                <w:b w:val="1"/>
                <w:bCs w:val="1"/>
                <w:color w:val="auto"/>
                <w:w w:val="94"/>
              </w:rPr>
              <w:t>Audit</w:t>
            </w:r>
          </w:p>
        </w:tc>
        <w:tc>
          <w:tcPr>
            <w:tcW w:w="2700" w:type="dxa"/>
            <w:vAlign w:val="bottom"/>
            <w:shd w:val="clear" w:color="auto" w:fill="D8D8D8"/>
          </w:tcPr>
          <w:p>
            <w:pPr>
              <w:jc w:val="center"/>
              <w:ind w:left="9"/>
              <w:spacing w:after="0"/>
              <w:rPr>
                <w:sz w:val="20"/>
                <w:szCs w:val="20"/>
                <w:color w:val="auto"/>
              </w:rPr>
            </w:pPr>
            <w:r>
              <w:rPr>
                <w:rFonts w:ascii="Arial" w:cs="Arial" w:eastAsia="Arial" w:hAnsi="Arial"/>
                <w:sz w:val="14"/>
                <w:szCs w:val="14"/>
                <w:b w:val="1"/>
                <w:bCs w:val="1"/>
                <w:color w:val="auto"/>
                <w:w w:val="96"/>
              </w:rPr>
              <w:t>Compensation</w:t>
            </w:r>
          </w:p>
        </w:tc>
        <w:tc>
          <w:tcPr>
            <w:tcW w:w="3000" w:type="dxa"/>
            <w:vAlign w:val="bottom"/>
            <w:shd w:val="clear" w:color="auto" w:fill="D8D8D8"/>
          </w:tcPr>
          <w:p>
            <w:pPr>
              <w:jc w:val="center"/>
              <w:ind w:left="428"/>
              <w:spacing w:after="0"/>
              <w:rPr>
                <w:sz w:val="20"/>
                <w:szCs w:val="20"/>
                <w:color w:val="auto"/>
              </w:rPr>
            </w:pPr>
            <w:r>
              <w:rPr>
                <w:rFonts w:ascii="Arial" w:cs="Arial" w:eastAsia="Arial" w:hAnsi="Arial"/>
                <w:sz w:val="14"/>
                <w:szCs w:val="14"/>
                <w:b w:val="1"/>
                <w:bCs w:val="1"/>
                <w:color w:val="auto"/>
              </w:rPr>
              <w:t>Nominating and Corporate</w:t>
            </w:r>
          </w:p>
        </w:tc>
      </w:tr>
      <w:tr>
        <w:trPr>
          <w:trHeight w:val="175"/>
        </w:trPr>
        <w:tc>
          <w:tcPr>
            <w:tcW w:w="20" w:type="dxa"/>
            <w:vAlign w:val="bottom"/>
          </w:tcPr>
          <w:p>
            <w:pPr>
              <w:spacing w:after="0"/>
              <w:rPr>
                <w:sz w:val="15"/>
                <w:szCs w:val="15"/>
                <w:color w:val="auto"/>
              </w:rPr>
            </w:pPr>
          </w:p>
        </w:tc>
        <w:tc>
          <w:tcPr>
            <w:tcW w:w="38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1460" w:type="dxa"/>
            <w:vAlign w:val="bottom"/>
            <w:tcBorders>
              <w:bottom w:val="single" w:sz="8" w:color="auto"/>
            </w:tcBorders>
            <w:shd w:val="clear" w:color="auto" w:fill="D8D8D8"/>
          </w:tcPr>
          <w:p>
            <w:pPr>
              <w:spacing w:after="0"/>
              <w:rPr>
                <w:sz w:val="15"/>
                <w:szCs w:val="15"/>
                <w:color w:val="auto"/>
              </w:rPr>
            </w:pPr>
          </w:p>
        </w:tc>
        <w:tc>
          <w:tcPr>
            <w:tcW w:w="2700" w:type="dxa"/>
            <w:vAlign w:val="bottom"/>
            <w:tcBorders>
              <w:bottom w:val="single" w:sz="8" w:color="auto"/>
            </w:tcBorders>
            <w:shd w:val="clear" w:color="auto" w:fill="D8D8D8"/>
          </w:tcPr>
          <w:p>
            <w:pPr>
              <w:spacing w:after="0"/>
              <w:rPr>
                <w:sz w:val="15"/>
                <w:szCs w:val="15"/>
                <w:color w:val="auto"/>
              </w:rPr>
            </w:pPr>
          </w:p>
        </w:tc>
        <w:tc>
          <w:tcPr>
            <w:tcW w:w="3000" w:type="dxa"/>
            <w:vAlign w:val="bottom"/>
            <w:tcBorders>
              <w:bottom w:val="single" w:sz="8" w:color="auto"/>
            </w:tcBorders>
            <w:shd w:val="clear" w:color="auto" w:fill="D8D8D8"/>
          </w:tcPr>
          <w:p>
            <w:pPr>
              <w:jc w:val="center"/>
              <w:ind w:left="448"/>
              <w:spacing w:after="0"/>
              <w:rPr>
                <w:sz w:val="20"/>
                <w:szCs w:val="20"/>
                <w:color w:val="auto"/>
              </w:rPr>
            </w:pPr>
            <w:r>
              <w:rPr>
                <w:rFonts w:ascii="Arial" w:cs="Arial" w:eastAsia="Arial" w:hAnsi="Arial"/>
                <w:sz w:val="14"/>
                <w:szCs w:val="14"/>
                <w:b w:val="1"/>
                <w:bCs w:val="1"/>
                <w:color w:val="auto"/>
              </w:rPr>
              <w:t>Governance</w:t>
            </w:r>
          </w:p>
        </w:tc>
      </w:tr>
      <w:tr>
        <w:trPr>
          <w:trHeight w:val="225"/>
        </w:trPr>
        <w:tc>
          <w:tcPr>
            <w:tcW w:w="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Noubar B. Afeyan, Ph.D.</w:t>
            </w:r>
          </w:p>
        </w:tc>
        <w:tc>
          <w:tcPr>
            <w:tcW w:w="1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0" w:type="dxa"/>
            <w:vAlign w:val="bottom"/>
          </w:tcPr>
          <w:p>
            <w:pPr>
              <w:jc w:val="center"/>
              <w:ind w:left="428"/>
              <w:spacing w:after="0"/>
              <w:rPr>
                <w:sz w:val="20"/>
                <w:szCs w:val="20"/>
                <w:color w:val="auto"/>
              </w:rPr>
            </w:pPr>
            <w:r>
              <w:rPr>
                <w:rFonts w:ascii="Arial" w:cs="Arial" w:eastAsia="Arial" w:hAnsi="Arial"/>
                <w:sz w:val="14"/>
                <w:szCs w:val="14"/>
                <w:color w:val="auto"/>
              </w:rPr>
              <w:t>Chair</w:t>
            </w:r>
          </w:p>
        </w:tc>
      </w:tr>
      <w:tr>
        <w:trPr>
          <w:trHeight w:val="26"/>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color w:val="auto"/>
              </w:rPr>
              <w:t>Gregory Behar</w:t>
            </w:r>
          </w:p>
        </w:tc>
        <w:tc>
          <w:tcPr>
            <w:tcW w:w="1460" w:type="dxa"/>
            <w:vAlign w:val="bottom"/>
            <w:tcBorders>
              <w:bottom w:val="single" w:sz="8" w:color="D8D8D8"/>
            </w:tcBorders>
            <w:shd w:val="clear" w:color="auto" w:fill="D8D8D8"/>
          </w:tcPr>
          <w:p>
            <w:pPr>
              <w:spacing w:after="0"/>
              <w:rPr>
                <w:sz w:val="20"/>
                <w:szCs w:val="20"/>
                <w:color w:val="auto"/>
              </w:rPr>
            </w:pPr>
          </w:p>
        </w:tc>
        <w:tc>
          <w:tcPr>
            <w:tcW w:w="2700" w:type="dxa"/>
            <w:vAlign w:val="bottom"/>
            <w:tcBorders>
              <w:bottom w:val="single" w:sz="8" w:color="D8D8D8"/>
            </w:tcBorders>
            <w:shd w:val="clear" w:color="auto" w:fill="D8D8D8"/>
          </w:tcPr>
          <w:p>
            <w:pPr>
              <w:spacing w:after="0"/>
              <w:rPr>
                <w:sz w:val="20"/>
                <w:szCs w:val="20"/>
                <w:color w:val="auto"/>
              </w:rPr>
            </w:pPr>
          </w:p>
        </w:tc>
        <w:tc>
          <w:tcPr>
            <w:tcW w:w="3000" w:type="dxa"/>
            <w:vAlign w:val="bottom"/>
            <w:tcBorders>
              <w:bottom w:val="single" w:sz="8" w:color="D8D8D8"/>
            </w:tcBorders>
            <w:shd w:val="clear" w:color="auto" w:fill="D8D8D8"/>
          </w:tcPr>
          <w:p>
            <w:pPr>
              <w:jc w:val="center"/>
              <w:ind w:left="428"/>
              <w:spacing w:after="0"/>
              <w:rPr>
                <w:sz w:val="20"/>
                <w:szCs w:val="20"/>
                <w:color w:val="auto"/>
              </w:rPr>
            </w:pPr>
            <w:r>
              <w:rPr>
                <w:rFonts w:ascii="Arial" w:cs="Arial" w:eastAsia="Arial" w:hAnsi="Arial"/>
                <w:sz w:val="14"/>
                <w:szCs w:val="14"/>
                <w:color w:val="auto"/>
              </w:rPr>
              <w:t>X</w:t>
            </w:r>
          </w:p>
        </w:tc>
      </w:tr>
      <w:tr>
        <w:trPr>
          <w:trHeight w:val="231"/>
        </w:trPr>
        <w:tc>
          <w:tcPr>
            <w:tcW w:w="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Willard H. Dere, M.D.</w:t>
            </w:r>
          </w:p>
        </w:tc>
        <w:tc>
          <w:tcPr>
            <w:tcW w:w="1460" w:type="dxa"/>
            <w:vAlign w:val="bottom"/>
          </w:tcPr>
          <w:p>
            <w:pPr>
              <w:jc w:val="center"/>
              <w:ind w:right="689"/>
              <w:spacing w:after="0"/>
              <w:rPr>
                <w:sz w:val="20"/>
                <w:szCs w:val="20"/>
                <w:color w:val="auto"/>
              </w:rPr>
            </w:pPr>
            <w:r>
              <w:rPr>
                <w:rFonts w:ascii="Arial" w:cs="Arial" w:eastAsia="Arial" w:hAnsi="Arial"/>
                <w:sz w:val="14"/>
                <w:szCs w:val="14"/>
                <w:color w:val="auto"/>
              </w:rPr>
              <w:t>X</w:t>
            </w:r>
          </w:p>
        </w:tc>
        <w:tc>
          <w:tcPr>
            <w:tcW w:w="27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color w:val="auto"/>
              </w:rPr>
              <w:t>Kurt C. Graves</w:t>
            </w:r>
          </w:p>
        </w:tc>
        <w:tc>
          <w:tcPr>
            <w:tcW w:w="1460" w:type="dxa"/>
            <w:vAlign w:val="bottom"/>
            <w:tcBorders>
              <w:bottom w:val="single" w:sz="8" w:color="D8D8D8"/>
            </w:tcBorders>
            <w:shd w:val="clear" w:color="auto" w:fill="D8D8D8"/>
          </w:tcPr>
          <w:p>
            <w:pPr>
              <w:spacing w:after="0"/>
              <w:rPr>
                <w:sz w:val="20"/>
                <w:szCs w:val="20"/>
                <w:color w:val="auto"/>
              </w:rPr>
            </w:pPr>
          </w:p>
        </w:tc>
        <w:tc>
          <w:tcPr>
            <w:tcW w:w="2700" w:type="dxa"/>
            <w:vAlign w:val="bottom"/>
            <w:tcBorders>
              <w:bottom w:val="single" w:sz="8" w:color="D8D8D8"/>
            </w:tcBorders>
            <w:shd w:val="clear" w:color="auto" w:fill="D8D8D8"/>
          </w:tcPr>
          <w:p>
            <w:pPr>
              <w:jc w:val="center"/>
              <w:ind w:left="9"/>
              <w:spacing w:after="0"/>
              <w:rPr>
                <w:sz w:val="20"/>
                <w:szCs w:val="20"/>
                <w:color w:val="auto"/>
              </w:rPr>
            </w:pPr>
            <w:r>
              <w:rPr>
                <w:rFonts w:ascii="Arial" w:cs="Arial" w:eastAsia="Arial" w:hAnsi="Arial"/>
                <w:sz w:val="14"/>
                <w:szCs w:val="14"/>
                <w:color w:val="auto"/>
              </w:rPr>
              <w:t>Chair</w:t>
            </w:r>
          </w:p>
        </w:tc>
        <w:tc>
          <w:tcPr>
            <w:tcW w:w="3000" w:type="dxa"/>
            <w:vAlign w:val="bottom"/>
            <w:tcBorders>
              <w:bottom w:val="single" w:sz="8" w:color="D8D8D8"/>
            </w:tcBorders>
            <w:shd w:val="clear" w:color="auto" w:fill="D8D8D8"/>
          </w:tcPr>
          <w:p>
            <w:pPr>
              <w:spacing w:after="0"/>
              <w:rPr>
                <w:sz w:val="20"/>
                <w:szCs w:val="20"/>
                <w:color w:val="auto"/>
              </w:rPr>
            </w:pPr>
          </w:p>
        </w:tc>
      </w:tr>
      <w:tr>
        <w:trPr>
          <w:trHeight w:val="258"/>
        </w:trPr>
        <w:tc>
          <w:tcPr>
            <w:tcW w:w="20" w:type="dxa"/>
            <w:vAlign w:val="bottom"/>
          </w:tcPr>
          <w:p>
            <w:pPr>
              <w:spacing w:after="0"/>
              <w:rPr>
                <w:sz w:val="22"/>
                <w:szCs w:val="22"/>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Richard N. Kender</w:t>
            </w:r>
          </w:p>
        </w:tc>
        <w:tc>
          <w:tcPr>
            <w:tcW w:w="1460" w:type="dxa"/>
            <w:vAlign w:val="bottom"/>
          </w:tcPr>
          <w:p>
            <w:pPr>
              <w:jc w:val="center"/>
              <w:ind w:right="689"/>
              <w:spacing w:after="0"/>
              <w:rPr>
                <w:sz w:val="20"/>
                <w:szCs w:val="20"/>
                <w:color w:val="auto"/>
              </w:rPr>
            </w:pPr>
            <w:r>
              <w:rPr>
                <w:rFonts w:ascii="Arial" w:cs="Arial" w:eastAsia="Arial" w:hAnsi="Arial"/>
                <w:sz w:val="14"/>
                <w:szCs w:val="14"/>
                <w:color w:val="auto"/>
              </w:rPr>
              <w:t>Chair</w:t>
            </w:r>
          </w:p>
        </w:tc>
        <w:tc>
          <w:tcPr>
            <w:tcW w:w="2700" w:type="dxa"/>
            <w:vAlign w:val="bottom"/>
          </w:tcPr>
          <w:p>
            <w:pPr>
              <w:jc w:val="center"/>
              <w:ind w:left="9"/>
              <w:spacing w:after="0"/>
              <w:rPr>
                <w:sz w:val="20"/>
                <w:szCs w:val="20"/>
                <w:color w:val="auto"/>
              </w:rPr>
            </w:pPr>
            <w:r>
              <w:rPr>
                <w:rFonts w:ascii="Arial" w:cs="Arial" w:eastAsia="Arial" w:hAnsi="Arial"/>
                <w:sz w:val="14"/>
                <w:szCs w:val="14"/>
                <w:color w:val="auto"/>
              </w:rPr>
              <w:t>X</w:t>
            </w:r>
          </w:p>
        </w:tc>
        <w:tc>
          <w:tcPr>
            <w:tcW w:w="3000" w:type="dxa"/>
            <w:vAlign w:val="bottom"/>
          </w:tcPr>
          <w:p>
            <w:pPr>
              <w:spacing w:after="0"/>
              <w:rPr>
                <w:sz w:val="22"/>
                <w:szCs w:val="22"/>
                <w:color w:val="auto"/>
              </w:rPr>
            </w:pPr>
          </w:p>
        </w:tc>
      </w:tr>
      <w:tr>
        <w:trPr>
          <w:trHeight w:val="39"/>
        </w:trPr>
        <w:tc>
          <w:tcPr>
            <w:tcW w:w="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3000" w:type="dxa"/>
            <w:vAlign w:val="bottom"/>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color w:val="auto"/>
              </w:rPr>
              <w:t>Lorence H. Kim, M.D.</w:t>
            </w:r>
          </w:p>
        </w:tc>
        <w:tc>
          <w:tcPr>
            <w:tcW w:w="1460" w:type="dxa"/>
            <w:vAlign w:val="bottom"/>
            <w:tcBorders>
              <w:bottom w:val="single" w:sz="8" w:color="D8D8D8"/>
            </w:tcBorders>
            <w:shd w:val="clear" w:color="auto" w:fill="D8D8D8"/>
          </w:tcPr>
          <w:p>
            <w:pPr>
              <w:spacing w:after="0"/>
              <w:rPr>
                <w:sz w:val="20"/>
                <w:szCs w:val="20"/>
                <w:color w:val="auto"/>
              </w:rPr>
            </w:pPr>
          </w:p>
        </w:tc>
        <w:tc>
          <w:tcPr>
            <w:tcW w:w="2700" w:type="dxa"/>
            <w:vAlign w:val="bottom"/>
            <w:tcBorders>
              <w:bottom w:val="single" w:sz="8" w:color="D8D8D8"/>
            </w:tcBorders>
            <w:shd w:val="clear" w:color="auto" w:fill="D8D8D8"/>
          </w:tcPr>
          <w:p>
            <w:pPr>
              <w:jc w:val="center"/>
              <w:ind w:left="9"/>
              <w:spacing w:after="0"/>
              <w:rPr>
                <w:sz w:val="20"/>
                <w:szCs w:val="20"/>
                <w:color w:val="auto"/>
              </w:rPr>
            </w:pPr>
            <w:r>
              <w:rPr>
                <w:rFonts w:ascii="Arial" w:cs="Arial" w:eastAsia="Arial" w:hAnsi="Arial"/>
                <w:sz w:val="14"/>
                <w:szCs w:val="14"/>
                <w:color w:val="auto"/>
              </w:rPr>
              <w:t>X</w:t>
            </w:r>
          </w:p>
        </w:tc>
        <w:tc>
          <w:tcPr>
            <w:tcW w:w="3000" w:type="dxa"/>
            <w:vAlign w:val="bottom"/>
            <w:tcBorders>
              <w:bottom w:val="single" w:sz="8" w:color="D8D8D8"/>
            </w:tcBorders>
            <w:shd w:val="clear" w:color="auto" w:fill="D8D8D8"/>
          </w:tcPr>
          <w:p>
            <w:pPr>
              <w:jc w:val="center"/>
              <w:ind w:left="428"/>
              <w:spacing w:after="0"/>
              <w:rPr>
                <w:sz w:val="20"/>
                <w:szCs w:val="20"/>
                <w:color w:val="auto"/>
              </w:rPr>
            </w:pPr>
            <w:r>
              <w:rPr>
                <w:rFonts w:ascii="Arial" w:cs="Arial" w:eastAsia="Arial" w:hAnsi="Arial"/>
                <w:sz w:val="14"/>
                <w:szCs w:val="14"/>
                <w:color w:val="auto"/>
              </w:rPr>
              <w:t>X</w:t>
            </w:r>
          </w:p>
        </w:tc>
      </w:tr>
      <w:tr>
        <w:trPr>
          <w:trHeight w:val="231"/>
        </w:trPr>
        <w:tc>
          <w:tcPr>
            <w:tcW w:w="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Meryl S. Zausner</w:t>
            </w:r>
          </w:p>
        </w:tc>
        <w:tc>
          <w:tcPr>
            <w:tcW w:w="1460" w:type="dxa"/>
            <w:vAlign w:val="bottom"/>
          </w:tcPr>
          <w:p>
            <w:pPr>
              <w:jc w:val="center"/>
              <w:ind w:right="689"/>
              <w:spacing w:after="0"/>
              <w:rPr>
                <w:sz w:val="20"/>
                <w:szCs w:val="20"/>
                <w:color w:val="auto"/>
              </w:rPr>
            </w:pPr>
            <w:r>
              <w:rPr>
                <w:rFonts w:ascii="Arial" w:cs="Arial" w:eastAsia="Arial" w:hAnsi="Arial"/>
                <w:sz w:val="14"/>
                <w:szCs w:val="14"/>
                <w:color w:val="auto"/>
              </w:rPr>
              <w:t>X</w:t>
            </w:r>
          </w:p>
        </w:tc>
        <w:tc>
          <w:tcPr>
            <w:tcW w:w="27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479"/>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AUDIT COMMITTEE</w:t>
            </w:r>
          </w:p>
        </w:tc>
        <w:tc>
          <w:tcPr>
            <w:tcW w:w="1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1"/>
        </w:trPr>
        <w:tc>
          <w:tcPr>
            <w:tcW w:w="388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18"/>
                <w:szCs w:val="18"/>
                <w:color w:val="auto"/>
              </w:rPr>
              <w:t>Our Audit Committee’s responsibilities include:</w:t>
            </w:r>
          </w:p>
        </w:tc>
        <w:tc>
          <w:tcPr>
            <w:tcW w:w="14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000" w:type="dxa"/>
            <w:vAlign w:val="bottom"/>
          </w:tcPr>
          <w:p>
            <w:pPr>
              <w:spacing w:after="0"/>
              <w:rPr>
                <w:sz w:val="21"/>
                <w:szCs w:val="21"/>
                <w:color w:val="auto"/>
              </w:rPr>
            </w:pPr>
          </w:p>
        </w:tc>
      </w:tr>
    </w:tbl>
    <w:p>
      <w:pPr>
        <w:spacing w:after="0" w:line="67" w:lineRule="exact"/>
        <w:rPr>
          <w:sz w:val="20"/>
          <w:szCs w:val="20"/>
          <w:color w:val="auto"/>
        </w:rPr>
      </w:pPr>
    </w:p>
    <w:p>
      <w:pPr>
        <w:ind w:left="1080" w:right="900" w:hanging="428"/>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21" w:lineRule="exact"/>
        <w:rPr>
          <w:rFonts w:ascii="Arial" w:cs="Arial" w:eastAsia="Arial" w:hAnsi="Arial"/>
          <w:sz w:val="18"/>
          <w:szCs w:val="18"/>
          <w:color w:val="auto"/>
        </w:rPr>
      </w:pPr>
    </w:p>
    <w:p>
      <w:pPr>
        <w:ind w:left="1080" w:right="120" w:hanging="428"/>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21" w:lineRule="exact"/>
        <w:rPr>
          <w:rFonts w:ascii="Arial" w:cs="Arial" w:eastAsia="Arial" w:hAnsi="Arial"/>
          <w:sz w:val="18"/>
          <w:szCs w:val="18"/>
          <w:color w:val="auto"/>
        </w:rPr>
      </w:pPr>
    </w:p>
    <w:p>
      <w:pPr>
        <w:ind w:left="1080" w:right="140" w:hanging="428"/>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21" w:lineRule="exact"/>
        <w:rPr>
          <w:rFonts w:ascii="Arial" w:cs="Arial" w:eastAsia="Arial" w:hAnsi="Arial"/>
          <w:sz w:val="18"/>
          <w:szCs w:val="18"/>
          <w:color w:val="auto"/>
        </w:rPr>
      </w:pPr>
    </w:p>
    <w:p>
      <w:pPr>
        <w:ind w:left="1080" w:right="20" w:hanging="428"/>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21" w:lineRule="exact"/>
        <w:rPr>
          <w:rFonts w:ascii="Arial" w:cs="Arial" w:eastAsia="Arial" w:hAnsi="Arial"/>
          <w:sz w:val="18"/>
          <w:szCs w:val="18"/>
          <w:color w:val="auto"/>
        </w:rPr>
      </w:pPr>
    </w:p>
    <w:p>
      <w:pPr>
        <w:ind w:left="1080" w:hanging="42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49" w:lineRule="exact"/>
        <w:rPr>
          <w:rFonts w:ascii="Arial" w:cs="Arial" w:eastAsia="Arial" w:hAnsi="Arial"/>
          <w:sz w:val="18"/>
          <w:szCs w:val="18"/>
          <w:color w:val="auto"/>
        </w:rPr>
      </w:pPr>
    </w:p>
    <w:p>
      <w:pPr>
        <w:ind w:left="1080" w:right="180" w:hanging="428"/>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21" w:lineRule="exact"/>
        <w:rPr>
          <w:rFonts w:ascii="Arial" w:cs="Arial" w:eastAsia="Arial" w:hAnsi="Arial"/>
          <w:sz w:val="18"/>
          <w:szCs w:val="18"/>
          <w:color w:val="auto"/>
        </w:rPr>
      </w:pPr>
    </w:p>
    <w:p>
      <w:pPr>
        <w:ind w:left="1080" w:right="1160" w:hanging="428"/>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21" w:lineRule="exact"/>
        <w:rPr>
          <w:rFonts w:ascii="Arial" w:cs="Arial" w:eastAsia="Arial" w:hAnsi="Arial"/>
          <w:sz w:val="18"/>
          <w:szCs w:val="18"/>
          <w:color w:val="auto"/>
        </w:rPr>
      </w:pPr>
    </w:p>
    <w:p>
      <w:pPr>
        <w:ind w:left="1080" w:hanging="42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040"/>
          </w:cols>
          <w:pgMar w:left="440" w:top="832" w:right="41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w:t>
      </w:r>
    </w:p>
    <w:p>
      <w:pPr>
        <w:spacing w:after="0" w:line="176" w:lineRule="exact"/>
        <w:rPr>
          <w:sz w:val="20"/>
          <w:szCs w:val="20"/>
          <w:color w:val="auto"/>
        </w:rPr>
      </w:pPr>
    </w:p>
    <w:p>
      <w:pPr>
        <w:ind w:left="1080" w:hanging="42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13 of this proxy statement).</w:t>
      </w:r>
    </w:p>
    <w:p>
      <w:pPr>
        <w:spacing w:after="0" w:line="7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members of the Audit Committee are Mr. Kender, Dr. Dere and Ms. Zausner. Mr. Kender serves as the Chairperson of the committee. The members of our Audit Committee meet the requirements for financial literacy under the applicable rules of the SEC and Nasdaq. Our board of directors has determined that each of Mr. Kender and Ms. Zausner is an “audit committee financial expert” as defined by Item 407(d)(5)(ii) of Regulation 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eight times in 2018.</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760" w:hanging="43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our CEO’s compensation;</w:t>
      </w:r>
    </w:p>
    <w:p>
      <w:pPr>
        <w:spacing w:after="0" w:line="49" w:lineRule="exact"/>
        <w:rPr>
          <w:rFonts w:ascii="Arial" w:cs="Arial" w:eastAsia="Arial" w:hAnsi="Arial"/>
          <w:sz w:val="18"/>
          <w:szCs w:val="18"/>
          <w:color w:val="auto"/>
        </w:rPr>
      </w:pPr>
    </w:p>
    <w:p>
      <w:pPr>
        <w:ind w:left="760" w:right="400" w:hanging="432"/>
        <w:spacing w:after="0" w:line="24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spacing w:after="0" w:line="21" w:lineRule="exact"/>
        <w:rPr>
          <w:rFonts w:ascii="Arial" w:cs="Arial" w:eastAsia="Arial" w:hAnsi="Arial"/>
          <w:sz w:val="18"/>
          <w:szCs w:val="18"/>
          <w:color w:val="auto"/>
        </w:rPr>
      </w:pPr>
    </w:p>
    <w:p>
      <w:pPr>
        <w:ind w:left="760" w:hanging="43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9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Compensation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 – Compensation Setting Process.”</w:t>
      </w:r>
    </w:p>
    <w:p>
      <w:pPr>
        <w:spacing w:after="0" w:line="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our website at www.serestherapeutics.com. The Compensation Committee may also delegate to an officer the authority to grant equity awards to certain employees, as further described in its charter and subject to the terms of our equity plans.</w:t>
      </w:r>
    </w:p>
    <w:p>
      <w:pPr>
        <w:spacing w:after="0" w:line="5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members of our Compensation Committee are Dr. Kim and Messrs. Graves and Kender. Mr. Graves serves as the Chairperson of the Compensation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five times during 2018.</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77" w:lineRule="exact"/>
        <w:rPr>
          <w:sz w:val="20"/>
          <w:szCs w:val="20"/>
          <w:color w:val="auto"/>
        </w:rPr>
      </w:pPr>
    </w:p>
    <w:p>
      <w:pPr>
        <w:ind w:left="760" w:hanging="43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020"/>
          </w:cols>
          <w:pgMar w:left="440" w:top="287" w:right="43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w:t>
      </w:r>
    </w:p>
    <w:p>
      <w:pPr>
        <w:spacing w:after="0" w:line="176" w:lineRule="exact"/>
        <w:rPr>
          <w:sz w:val="20"/>
          <w:szCs w:val="20"/>
          <w:color w:val="auto"/>
        </w:rPr>
      </w:pPr>
    </w:p>
    <w:p>
      <w:pPr>
        <w:ind w:left="760" w:hanging="43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w:t>
      </w:r>
    </w:p>
    <w:p>
      <w:pPr>
        <w:spacing w:after="0" w:line="49" w:lineRule="exact"/>
        <w:rPr>
          <w:rFonts w:ascii="Arial" w:cs="Arial" w:eastAsia="Arial" w:hAnsi="Arial"/>
          <w:sz w:val="18"/>
          <w:szCs w:val="18"/>
          <w:color w:val="auto"/>
        </w:rPr>
      </w:pPr>
    </w:p>
    <w:p>
      <w:pPr>
        <w:ind w:left="760" w:hanging="43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members of our Nominating and Corporate Governance Committee are Drs. Afeyan and Kim and Mr. Behar. Dr. Afeyan serves as the Chairperson of the Nominating and Corporate Governance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met three times in 2018.</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960"/>
          </w:cols>
          <w:pgMar w:left="440" w:top="287" w:right="4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or NEOs, identified below. For 2018, our NEOs were:</w:t>
      </w:r>
    </w:p>
    <w:p>
      <w:pPr>
        <w:spacing w:after="0" w:line="62" w:lineRule="exact"/>
        <w:rPr>
          <w:sz w:val="20"/>
          <w:szCs w:val="20"/>
          <w:color w:val="auto"/>
        </w:rPr>
      </w:pPr>
    </w:p>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Roger J. Pomerantz, M.D., our former President and Chief Executive Officer;</w:t>
      </w:r>
    </w:p>
    <w:p>
      <w:pPr>
        <w:spacing w:after="0" w:line="90" w:lineRule="exact"/>
        <w:rPr>
          <w:rFonts w:ascii="Arial" w:cs="Arial" w:eastAsia="Arial" w:hAnsi="Arial"/>
          <w:sz w:val="18"/>
          <w:szCs w:val="18"/>
          <w:color w:val="auto"/>
        </w:rPr>
      </w:pPr>
    </w:p>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Thomas J. DesRosier, our Chief Legal Officer, Executive Vice President, and Secretary; and</w:t>
      </w:r>
    </w:p>
    <w:p>
      <w:pPr>
        <w:spacing w:after="0" w:line="90" w:lineRule="exact"/>
        <w:rPr>
          <w:rFonts w:ascii="Arial" w:cs="Arial" w:eastAsia="Arial" w:hAnsi="Arial"/>
          <w:sz w:val="18"/>
          <w:szCs w:val="18"/>
          <w:color w:val="auto"/>
        </w:rPr>
      </w:pPr>
    </w:p>
    <w:p>
      <w:pPr>
        <w:ind w:left="860" w:right="380" w:hanging="316"/>
        <w:spacing w:after="0" w:line="246"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Eric D. Shaff, our former Chief Operating and Financial Officer and Executive Vice President and our current President and Chief Executive Officer.</w:t>
      </w:r>
    </w:p>
    <w:p>
      <w:pPr>
        <w:spacing w:after="0" w:line="48"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 Dr. Pomerantz resigned his employment and offices with us in January 2019 and was succeeded by Mr. Shaff, our current President and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intend that the total compensation of our NEOs reflect a “pay for performance” compensation philosophy. We generally target total compensation relative to the 50th percentile of our peer group, but the Compensation Committee retains discretion to adjust compensation reflecting individual factors or performance. Our executive compensation program consists of three primary components: base salary, annual performance-based cash incentive awards and periodic equity-based incentives, which, in 2018, consisted of grants of stock options. We also prohibit our employees and directors from engaging in hedging transactions with regard to the Company’s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8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Compensation Committee makes compensation decisions regarding all of our NEOs. Our President and Chief Executive Officer makes recommendations to the Compensation Committee to assist it in determining compensation levels for our other executive officers and reviews the performance of our other executive officers. While the Compensation Committee utilizes this information and values management’s observations with regard to compensation, the ultimate decisions regarding executive compensation are made by the Compensation Committee.</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Compensation Committee has the authority under its charter to engage the services of a consulting firm or other outside advisor to assist it in designing our compensation programs and in making executive compensation decisions. Our Compensation Committee has engaged Radford, a compensation consulting firm, as its compensation consultant to assess and make recommendations with respect to the amount and types of compensation to provide our executives and directors. When making executive compensation decisions in 2018, our Compensation Committee considered advice and data provided by Radford, and also met with Radford to discuss compensation of our executive officers, including Dr. Pomerantz. Radford reported directly to the Compensation Committee; however, Dr. Pomerantz, our President, Chief Executive Officer and Chairman of the Board during 2018, consulted with Radford with respect to its assessments of the compensation of executive officers other than himself. Radford provided the Compensation Committee with peer group and market information that the Compensation Committee used when determining whether our executive compensation is competitive, commensurate with the executive officers’ responsibilities and consistent with market trends in executive compensation practices for comparable companies. Radford also provides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020"/>
          </w:cols>
          <w:pgMar w:left="440" w:top="832" w:right="43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3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additional services to us that are unrelated to executive and director compensation. The fees for these additional services were less than $120,000 during 2018. The Compensation Committee has considered the adviser independence factors required under SEC rules and Nasdaq listing standards as they relate to Radford and does not believe Radford’s work in 2018 raised a conflict of interest.</w:t>
      </w:r>
    </w:p>
    <w:p>
      <w:pPr>
        <w:spacing w:after="0" w:line="5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Compensation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6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connection with the Compensation Committee’s review of our executive compensation programs Radford provided market data and analysis relative to the following peer group of pre-commercial, publicly traded companies with a similar market capitalization selected by the Compensation Committee in consultation with Radford. Compared to the prior year, the Compensation Committee removed five peer companies due to changes in peer company profiles related to market capitalization and added five new peer companies that better aligned with the Company’s stage of development and market capitalization: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20"/>
                <w:szCs w:val="20"/>
                <w:color w:val="auto"/>
              </w:rPr>
            </w:pPr>
            <w:r>
              <w:rPr>
                <w:rFonts w:ascii="Arial" w:cs="Arial" w:eastAsia="Arial" w:hAnsi="Arial"/>
                <w:sz w:val="18"/>
                <w:szCs w:val="18"/>
                <w:color w:val="auto"/>
              </w:rPr>
              <w:t>Achaogen, Inc.</w:t>
            </w:r>
          </w:p>
        </w:tc>
        <w:tc>
          <w:tcPr>
            <w:tcW w:w="3900" w:type="dxa"/>
            <w:vAlign w:val="bottom"/>
          </w:tcPr>
          <w:p>
            <w:pPr>
              <w:ind w:left="700"/>
              <w:spacing w:after="0"/>
              <w:rPr>
                <w:sz w:val="20"/>
                <w:szCs w:val="20"/>
                <w:color w:val="auto"/>
              </w:rPr>
            </w:pPr>
            <w:r>
              <w:rPr>
                <w:rFonts w:ascii="Arial" w:cs="Arial" w:eastAsia="Arial" w:hAnsi="Arial"/>
                <w:sz w:val="18"/>
                <w:szCs w:val="18"/>
                <w:color w:val="auto"/>
              </w:rPr>
              <w:t>Aimmune Therapeutics, Inc.</w:t>
            </w:r>
          </w:p>
        </w:tc>
        <w:tc>
          <w:tcPr>
            <w:tcW w:w="2960" w:type="dxa"/>
            <w:vAlign w:val="bottom"/>
          </w:tcPr>
          <w:p>
            <w:pPr>
              <w:ind w:left="540"/>
              <w:spacing w:after="0"/>
              <w:rPr>
                <w:sz w:val="20"/>
                <w:szCs w:val="20"/>
                <w:color w:val="auto"/>
              </w:rPr>
            </w:pPr>
            <w:r>
              <w:rPr>
                <w:rFonts w:ascii="Arial" w:cs="Arial" w:eastAsia="Arial" w:hAnsi="Arial"/>
                <w:sz w:val="18"/>
                <w:szCs w:val="18"/>
                <w:color w:val="auto"/>
              </w:rPr>
              <w:t>Ardelyx, Inc.</w:t>
            </w: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Cara Therapeutics</w:t>
            </w:r>
          </w:p>
        </w:tc>
        <w:tc>
          <w:tcPr>
            <w:tcW w:w="3900" w:type="dxa"/>
            <w:vAlign w:val="bottom"/>
          </w:tcPr>
          <w:p>
            <w:pPr>
              <w:ind w:left="700"/>
              <w:spacing w:after="0" w:line="202" w:lineRule="exact"/>
              <w:rPr>
                <w:sz w:val="20"/>
                <w:szCs w:val="20"/>
                <w:color w:val="auto"/>
              </w:rPr>
            </w:pPr>
            <w:r>
              <w:rPr>
                <w:rFonts w:ascii="Arial" w:cs="Arial" w:eastAsia="Arial" w:hAnsi="Arial"/>
                <w:sz w:val="18"/>
                <w:szCs w:val="18"/>
                <w:color w:val="auto"/>
              </w:rPr>
              <w:t>Cytokinetics, Inc.</w:t>
            </w:r>
          </w:p>
        </w:tc>
        <w:tc>
          <w:tcPr>
            <w:tcW w:w="2960" w:type="dxa"/>
            <w:vAlign w:val="bottom"/>
          </w:tcPr>
          <w:p>
            <w:pPr>
              <w:ind w:left="540"/>
              <w:spacing w:after="0" w:line="202" w:lineRule="exact"/>
              <w:rPr>
                <w:sz w:val="20"/>
                <w:szCs w:val="20"/>
                <w:color w:val="auto"/>
              </w:rPr>
            </w:pPr>
            <w:r>
              <w:rPr>
                <w:rFonts w:ascii="Arial" w:cs="Arial" w:eastAsia="Arial" w:hAnsi="Arial"/>
                <w:sz w:val="18"/>
                <w:szCs w:val="18"/>
                <w:color w:val="auto"/>
                <w:w w:val="99"/>
              </w:rPr>
              <w:t>Concert Pharmaceuticals, Inc.</w:t>
            </w: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Corbus Pharmaceuticals, Inc.</w:t>
            </w:r>
          </w:p>
        </w:tc>
        <w:tc>
          <w:tcPr>
            <w:tcW w:w="3900" w:type="dxa"/>
            <w:vAlign w:val="bottom"/>
          </w:tcPr>
          <w:p>
            <w:pPr>
              <w:ind w:left="700"/>
              <w:spacing w:after="0" w:line="202" w:lineRule="exact"/>
              <w:rPr>
                <w:sz w:val="20"/>
                <w:szCs w:val="20"/>
                <w:color w:val="auto"/>
              </w:rPr>
            </w:pPr>
            <w:r>
              <w:rPr>
                <w:rFonts w:ascii="Arial" w:cs="Arial" w:eastAsia="Arial" w:hAnsi="Arial"/>
                <w:sz w:val="18"/>
                <w:szCs w:val="18"/>
                <w:color w:val="auto"/>
              </w:rPr>
              <w:t>Intra-Cellular Therapies, Inc.</w:t>
            </w:r>
          </w:p>
        </w:tc>
        <w:tc>
          <w:tcPr>
            <w:tcW w:w="2960" w:type="dxa"/>
            <w:vAlign w:val="bottom"/>
          </w:tcPr>
          <w:p>
            <w:pPr>
              <w:ind w:left="540"/>
              <w:spacing w:after="0" w:line="202" w:lineRule="exact"/>
              <w:rPr>
                <w:sz w:val="20"/>
                <w:szCs w:val="20"/>
                <w:color w:val="auto"/>
              </w:rPr>
            </w:pPr>
            <w:r>
              <w:rPr>
                <w:rFonts w:ascii="Arial" w:cs="Arial" w:eastAsia="Arial" w:hAnsi="Arial"/>
                <w:sz w:val="18"/>
                <w:szCs w:val="18"/>
                <w:color w:val="auto"/>
              </w:rPr>
              <w:t>Epizyme, Inc.</w:t>
            </w: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Inovio Pharmaceuticals, Inc.</w:t>
            </w:r>
          </w:p>
        </w:tc>
        <w:tc>
          <w:tcPr>
            <w:tcW w:w="3900" w:type="dxa"/>
            <w:vAlign w:val="bottom"/>
          </w:tcPr>
          <w:p>
            <w:pPr>
              <w:ind w:left="700"/>
              <w:spacing w:after="0" w:line="202" w:lineRule="exact"/>
              <w:rPr>
                <w:sz w:val="20"/>
                <w:szCs w:val="20"/>
                <w:color w:val="auto"/>
              </w:rPr>
            </w:pPr>
            <w:r>
              <w:rPr>
                <w:rFonts w:ascii="Arial" w:cs="Arial" w:eastAsia="Arial" w:hAnsi="Arial"/>
                <w:sz w:val="18"/>
                <w:szCs w:val="18"/>
                <w:color w:val="auto"/>
              </w:rPr>
              <w:t>Novavax, Inc.</w:t>
            </w:r>
          </w:p>
        </w:tc>
        <w:tc>
          <w:tcPr>
            <w:tcW w:w="2960" w:type="dxa"/>
            <w:vAlign w:val="bottom"/>
          </w:tcPr>
          <w:p>
            <w:pPr>
              <w:ind w:left="540"/>
              <w:spacing w:after="0" w:line="202" w:lineRule="exact"/>
              <w:rPr>
                <w:sz w:val="20"/>
                <w:szCs w:val="20"/>
                <w:color w:val="auto"/>
              </w:rPr>
            </w:pPr>
            <w:r>
              <w:rPr>
                <w:rFonts w:ascii="Arial" w:cs="Arial" w:eastAsia="Arial" w:hAnsi="Arial"/>
                <w:sz w:val="18"/>
                <w:szCs w:val="18"/>
                <w:color w:val="auto"/>
                <w:w w:val="99"/>
              </w:rPr>
              <w:t>Karyopharm Therapeutics Inc.</w:t>
            </w: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MacroGenics, Inc.</w:t>
            </w:r>
          </w:p>
        </w:tc>
        <w:tc>
          <w:tcPr>
            <w:tcW w:w="3900" w:type="dxa"/>
            <w:vAlign w:val="bottom"/>
          </w:tcPr>
          <w:p>
            <w:pPr>
              <w:ind w:left="700"/>
              <w:spacing w:after="0" w:line="202" w:lineRule="exact"/>
              <w:rPr>
                <w:sz w:val="20"/>
                <w:szCs w:val="20"/>
                <w:color w:val="auto"/>
              </w:rPr>
            </w:pPr>
            <w:r>
              <w:rPr>
                <w:rFonts w:ascii="Arial" w:cs="Arial" w:eastAsia="Arial" w:hAnsi="Arial"/>
                <w:sz w:val="18"/>
                <w:szCs w:val="18"/>
                <w:color w:val="auto"/>
              </w:rPr>
              <w:t>Syndax Pharmaceuticals, Inc.</w:t>
            </w:r>
          </w:p>
        </w:tc>
        <w:tc>
          <w:tcPr>
            <w:tcW w:w="2960" w:type="dxa"/>
            <w:vAlign w:val="bottom"/>
          </w:tcPr>
          <w:p>
            <w:pPr>
              <w:ind w:left="540"/>
              <w:spacing w:after="0" w:line="202" w:lineRule="exact"/>
              <w:rPr>
                <w:sz w:val="20"/>
                <w:szCs w:val="20"/>
                <w:color w:val="auto"/>
              </w:rPr>
            </w:pPr>
            <w:r>
              <w:rPr>
                <w:rFonts w:ascii="Arial" w:cs="Arial" w:eastAsia="Arial" w:hAnsi="Arial"/>
                <w:sz w:val="18"/>
                <w:szCs w:val="18"/>
                <w:color w:val="auto"/>
              </w:rPr>
              <w:t>Paratek Pharmaceuticals, Inc.</w:t>
            </w:r>
          </w:p>
        </w:tc>
      </w:t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Revance Therapeutics, Inc.</w:t>
            </w:r>
          </w:p>
        </w:tc>
        <w:tc>
          <w:tcPr>
            <w:tcW w:w="3900" w:type="dxa"/>
            <w:vAlign w:val="bottom"/>
          </w:tcPr>
          <w:p>
            <w:pPr>
              <w:ind w:left="700"/>
              <w:spacing w:after="0"/>
              <w:rPr>
                <w:sz w:val="20"/>
                <w:szCs w:val="20"/>
                <w:color w:val="auto"/>
              </w:rPr>
            </w:pPr>
            <w:r>
              <w:rPr>
                <w:rFonts w:ascii="Arial" w:cs="Arial" w:eastAsia="Arial" w:hAnsi="Arial"/>
                <w:sz w:val="18"/>
                <w:szCs w:val="18"/>
                <w:color w:val="auto"/>
              </w:rPr>
              <w:t>Tetraphase Pharmaceuticals, Inc.</w:t>
            </w:r>
          </w:p>
        </w:tc>
        <w:tc>
          <w:tcPr>
            <w:tcW w:w="2960" w:type="dxa"/>
            <w:vAlign w:val="bottom"/>
          </w:tcPr>
          <w:p>
            <w:pPr>
              <w:spacing w:after="0"/>
              <w:rPr>
                <w:sz w:val="18"/>
                <w:szCs w:val="18"/>
                <w:color w:val="auto"/>
              </w:rPr>
            </w:pPr>
          </w:p>
        </w:tc>
      </w:tr>
    </w:tbl>
    <w:p>
      <w:pPr>
        <w:spacing w:after="0" w:line="53"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Compensation Committee believes the constituent companies in the peer group are similar to us based on development stage, revenue, industry, executive role considerations and market capitalization and are representative of our competitors for talent and capital. Radford provides the Compensation Committee with a competitive assessment of our compensation program for executive officers against the peer group with respect to pay philosophies, pay mix, cash and equity-linked compensation. The Compensation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shd w:val="clear" w:color="auto" w:fill="D8D8D8"/>
          </w:tcPr>
          <w:p>
            <w:pPr>
              <w:spacing w:after="0"/>
              <w:rPr>
                <w:sz w:val="14"/>
                <w:szCs w:val="14"/>
                <w:color w:val="auto"/>
              </w:rPr>
            </w:pPr>
          </w:p>
        </w:tc>
        <w:tc>
          <w:tcPr>
            <w:tcW w:w="68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860" w:type="dxa"/>
            <w:vAlign w:val="bottom"/>
            <w:shd w:val="clear" w:color="auto" w:fill="D8D8D8"/>
          </w:tcPr>
          <w:p>
            <w:pPr>
              <w:spacing w:after="0"/>
              <w:rPr>
                <w:sz w:val="14"/>
                <w:szCs w:val="14"/>
                <w:color w:val="auto"/>
              </w:rPr>
            </w:pPr>
          </w:p>
        </w:tc>
        <w:tc>
          <w:tcPr>
            <w:tcW w:w="114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30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r>
      <w:tr>
        <w:trPr>
          <w:trHeight w:val="149"/>
        </w:trPr>
        <w:tc>
          <w:tcPr>
            <w:tcW w:w="406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60" w:type="dxa"/>
            <w:vAlign w:val="bottom"/>
            <w:shd w:val="clear" w:color="auto" w:fill="D8D8D8"/>
          </w:tcPr>
          <w:p>
            <w:pPr>
              <w:spacing w:after="0"/>
              <w:rPr>
                <w:sz w:val="12"/>
                <w:szCs w:val="12"/>
                <w:color w:val="auto"/>
              </w:rPr>
            </w:pPr>
          </w:p>
        </w:tc>
        <w:tc>
          <w:tcPr>
            <w:tcW w:w="114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3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r>
      <w:tr>
        <w:trPr>
          <w:trHeight w:val="149"/>
        </w:trPr>
        <w:tc>
          <w:tcPr>
            <w:tcW w:w="406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8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8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rPr>
              <w:t>Plan</w:t>
            </w:r>
          </w:p>
        </w:tc>
        <w:tc>
          <w:tcPr>
            <w:tcW w:w="1300" w:type="dxa"/>
            <w:vAlign w:val="bottom"/>
            <w:shd w:val="clear" w:color="auto" w:fill="D8D8D8"/>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All Other</w:t>
            </w:r>
          </w:p>
        </w:tc>
        <w:tc>
          <w:tcPr>
            <w:tcW w:w="800" w:type="dxa"/>
            <w:vAlign w:val="bottom"/>
            <w:shd w:val="clear" w:color="auto" w:fill="D8D8D8"/>
          </w:tcPr>
          <w:p>
            <w:pPr>
              <w:spacing w:after="0"/>
              <w:rPr>
                <w:sz w:val="12"/>
                <w:szCs w:val="12"/>
                <w:color w:val="auto"/>
              </w:rPr>
            </w:pPr>
          </w:p>
        </w:tc>
      </w:tr>
      <w:tr>
        <w:trPr>
          <w:trHeight w:val="149"/>
        </w:trPr>
        <w:tc>
          <w:tcPr>
            <w:tcW w:w="406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660" w:type="dxa"/>
            <w:vAlign w:val="bottom"/>
            <w:shd w:val="clear" w:color="auto" w:fill="D8D8D8"/>
          </w:tcPr>
          <w:p>
            <w:pPr>
              <w:ind w:left="160"/>
              <w:spacing w:after="0" w:line="149" w:lineRule="exact"/>
              <w:rPr>
                <w:sz w:val="20"/>
                <w:szCs w:val="20"/>
                <w:color w:val="auto"/>
              </w:rPr>
            </w:pPr>
            <w:r>
              <w:rPr>
                <w:rFonts w:ascii="Arial" w:cs="Arial" w:eastAsia="Arial" w:hAnsi="Arial"/>
                <w:sz w:val="14"/>
                <w:szCs w:val="14"/>
                <w:b w:val="1"/>
                <w:bCs w:val="1"/>
                <w:color w:val="auto"/>
              </w:rPr>
              <w:t>Salary</w:t>
            </w:r>
          </w:p>
        </w:tc>
        <w:tc>
          <w:tcPr>
            <w:tcW w:w="720" w:type="dxa"/>
            <w:vAlign w:val="bottom"/>
            <w:shd w:val="clear" w:color="auto" w:fill="D8D8D8"/>
          </w:tcPr>
          <w:p>
            <w:pPr>
              <w:jc w:val="right"/>
              <w:ind w:right="112"/>
              <w:spacing w:after="0" w:line="149" w:lineRule="exact"/>
              <w:rPr>
                <w:sz w:val="20"/>
                <w:szCs w:val="20"/>
                <w:color w:val="auto"/>
              </w:rPr>
            </w:pPr>
            <w:r>
              <w:rPr>
                <w:rFonts w:ascii="Arial" w:cs="Arial" w:eastAsia="Arial" w:hAnsi="Arial"/>
                <w:sz w:val="14"/>
                <w:szCs w:val="14"/>
                <w:b w:val="1"/>
                <w:bCs w:val="1"/>
                <w:color w:val="auto"/>
              </w:rPr>
              <w:t>Bonus</w:t>
            </w:r>
          </w:p>
        </w:tc>
        <w:tc>
          <w:tcPr>
            <w:tcW w:w="8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b w:val="1"/>
                <w:bCs w:val="1"/>
                <w:color w:val="auto"/>
              </w:rPr>
              <w:t>Compensation</w:t>
            </w:r>
          </w:p>
        </w:tc>
        <w:tc>
          <w:tcPr>
            <w:tcW w:w="1300" w:type="dxa"/>
            <w:vAlign w:val="bottom"/>
            <w:shd w:val="clear" w:color="auto" w:fill="D8D8D8"/>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800" w:type="dxa"/>
            <w:vAlign w:val="bottom"/>
            <w:shd w:val="clear" w:color="auto" w:fill="D8D8D8"/>
          </w:tcPr>
          <w:p>
            <w:pPr>
              <w:spacing w:after="0"/>
              <w:rPr>
                <w:sz w:val="12"/>
                <w:szCs w:val="12"/>
                <w:color w:val="auto"/>
              </w:rPr>
            </w:pPr>
          </w:p>
        </w:tc>
      </w:tr>
      <w:tr>
        <w:trPr>
          <w:trHeight w:val="165"/>
        </w:trPr>
        <w:tc>
          <w:tcPr>
            <w:tcW w:w="406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Borders>
              <w:bottom w:val="single" w:sz="8" w:color="auto"/>
            </w:tcBorders>
            <w:shd w:val="clear" w:color="auto" w:fill="D8D8D8"/>
          </w:tcPr>
          <w:p>
            <w:pPr>
              <w:ind w:left="220"/>
              <w:spacing w:after="0"/>
              <w:rPr>
                <w:sz w:val="20"/>
                <w:szCs w:val="20"/>
                <w:color w:val="auto"/>
              </w:rPr>
            </w:pPr>
            <w:r>
              <w:rPr>
                <w:rFonts w:ascii="Arial" w:cs="Arial" w:eastAsia="Arial" w:hAnsi="Arial"/>
                <w:sz w:val="14"/>
                <w:szCs w:val="14"/>
                <w:b w:val="1"/>
                <w:bCs w:val="1"/>
                <w:color w:val="auto"/>
              </w:rPr>
              <w:t>Year</w:t>
            </w:r>
          </w:p>
        </w:tc>
        <w:tc>
          <w:tcPr>
            <w:tcW w:w="660" w:type="dxa"/>
            <w:vAlign w:val="bottom"/>
            <w:tcBorders>
              <w:bottom w:val="single" w:sz="8" w:color="auto"/>
            </w:tcBorders>
            <w:shd w:val="clear" w:color="auto" w:fill="D8D8D8"/>
          </w:tcPr>
          <w:p>
            <w:pPr>
              <w:ind w:left="28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D8D8D8"/>
          </w:tcPr>
          <w:p>
            <w:pPr>
              <w:jc w:val="right"/>
              <w:ind w:right="23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11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(4)</w:t>
            </w:r>
          </w:p>
        </w:tc>
        <w:tc>
          <w:tcPr>
            <w:tcW w:w="1300" w:type="dxa"/>
            <w:vAlign w:val="bottom"/>
            <w:tcBorders>
              <w:bottom w:val="single" w:sz="8" w:color="auto"/>
            </w:tcBorders>
            <w:shd w:val="clear" w:color="auto" w:fill="D8D8D8"/>
          </w:tcPr>
          <w:p>
            <w:pPr>
              <w:jc w:val="center"/>
              <w:ind w:right="152"/>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Total ($)</w:t>
            </w:r>
          </w:p>
        </w:tc>
      </w:tr>
      <w:tr>
        <w:trPr>
          <w:trHeight w:val="127"/>
        </w:trPr>
        <w:tc>
          <w:tcPr>
            <w:tcW w:w="4060" w:type="dxa"/>
            <w:vAlign w:val="bottom"/>
          </w:tcPr>
          <w:p>
            <w:pPr>
              <w:ind w:left="60"/>
              <w:spacing w:after="0" w:line="127" w:lineRule="exact"/>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w:t>
            </w:r>
          </w:p>
        </w:tc>
        <w:tc>
          <w:tcPr>
            <w:tcW w:w="680" w:type="dxa"/>
            <w:vAlign w:val="bottom"/>
          </w:tcPr>
          <w:p>
            <w:pPr>
              <w:ind w:left="240"/>
              <w:spacing w:after="0" w:line="127" w:lineRule="exact"/>
              <w:rPr>
                <w:sz w:val="20"/>
                <w:szCs w:val="20"/>
                <w:color w:val="auto"/>
              </w:rPr>
            </w:pPr>
            <w:r>
              <w:rPr>
                <w:rFonts w:ascii="Arial" w:cs="Arial" w:eastAsia="Arial" w:hAnsi="Arial"/>
                <w:sz w:val="14"/>
                <w:szCs w:val="14"/>
                <w:color w:val="auto"/>
              </w:rPr>
              <w:t>2018</w:t>
            </w:r>
          </w:p>
        </w:tc>
        <w:tc>
          <w:tcPr>
            <w:tcW w:w="660" w:type="dxa"/>
            <w:vAlign w:val="bottom"/>
          </w:tcPr>
          <w:p>
            <w:pPr>
              <w:ind w:left="140"/>
              <w:spacing w:after="0" w:line="127" w:lineRule="exact"/>
              <w:rPr>
                <w:sz w:val="20"/>
                <w:szCs w:val="20"/>
                <w:color w:val="auto"/>
              </w:rPr>
            </w:pPr>
            <w:r>
              <w:rPr>
                <w:rFonts w:ascii="Arial" w:cs="Arial" w:eastAsia="Arial" w:hAnsi="Arial"/>
                <w:sz w:val="14"/>
                <w:szCs w:val="14"/>
                <w:color w:val="auto"/>
                <w:w w:val="98"/>
              </w:rPr>
              <w:t>595,000</w:t>
            </w:r>
          </w:p>
        </w:tc>
        <w:tc>
          <w:tcPr>
            <w:tcW w:w="720" w:type="dxa"/>
            <w:vAlign w:val="bottom"/>
          </w:tcPr>
          <w:p>
            <w:pPr>
              <w:jc w:val="right"/>
              <w:ind w:right="92"/>
              <w:spacing w:after="0" w:line="12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2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27" w:lineRule="exact"/>
              <w:rPr>
                <w:sz w:val="20"/>
                <w:szCs w:val="20"/>
                <w:color w:val="auto"/>
              </w:rPr>
            </w:pPr>
            <w:r>
              <w:rPr>
                <w:rFonts w:ascii="Arial" w:cs="Arial" w:eastAsia="Arial" w:hAnsi="Arial"/>
                <w:sz w:val="14"/>
                <w:szCs w:val="14"/>
                <w:color w:val="auto"/>
              </w:rPr>
              <w:t>1,958,788</w:t>
            </w:r>
          </w:p>
        </w:tc>
        <w:tc>
          <w:tcPr>
            <w:tcW w:w="1140" w:type="dxa"/>
            <w:vAlign w:val="bottom"/>
          </w:tcPr>
          <w:p>
            <w:pPr>
              <w:jc w:val="right"/>
              <w:ind w:right="12"/>
              <w:spacing w:after="0" w:line="127" w:lineRule="exact"/>
              <w:rPr>
                <w:sz w:val="20"/>
                <w:szCs w:val="20"/>
                <w:color w:val="auto"/>
              </w:rPr>
            </w:pPr>
            <w:r>
              <w:rPr>
                <w:rFonts w:ascii="Arial" w:cs="Arial" w:eastAsia="Arial" w:hAnsi="Arial"/>
                <w:sz w:val="14"/>
                <w:szCs w:val="14"/>
                <w:color w:val="auto"/>
              </w:rPr>
              <w:t>278,200</w:t>
            </w:r>
          </w:p>
        </w:tc>
        <w:tc>
          <w:tcPr>
            <w:tcW w:w="1300" w:type="dxa"/>
            <w:vAlign w:val="bottom"/>
          </w:tcPr>
          <w:p>
            <w:pPr>
              <w:jc w:val="right"/>
              <w:ind w:right="72"/>
              <w:spacing w:after="0" w:line="127" w:lineRule="exact"/>
              <w:rPr>
                <w:sz w:val="20"/>
                <w:szCs w:val="20"/>
                <w:color w:val="auto"/>
              </w:rPr>
            </w:pPr>
            <w:r>
              <w:rPr>
                <w:rFonts w:ascii="Arial" w:cs="Arial" w:eastAsia="Arial" w:hAnsi="Arial"/>
                <w:sz w:val="14"/>
                <w:szCs w:val="14"/>
                <w:color w:val="auto"/>
              </w:rPr>
              <w:t>186,072</w:t>
            </w:r>
            <w:r>
              <w:rPr>
                <w:rFonts w:ascii="Arial" w:cs="Arial" w:eastAsia="Arial" w:hAnsi="Arial"/>
                <w:sz w:val="11"/>
                <w:szCs w:val="11"/>
                <w:color w:val="auto"/>
              </w:rPr>
              <w:t>(5)</w:t>
            </w:r>
          </w:p>
        </w:tc>
        <w:tc>
          <w:tcPr>
            <w:tcW w:w="800" w:type="dxa"/>
            <w:vAlign w:val="bottom"/>
          </w:tcPr>
          <w:p>
            <w:pPr>
              <w:ind w:left="140"/>
              <w:spacing w:after="0" w:line="127" w:lineRule="exact"/>
              <w:rPr>
                <w:sz w:val="20"/>
                <w:szCs w:val="20"/>
                <w:color w:val="auto"/>
              </w:rPr>
            </w:pPr>
            <w:r>
              <w:rPr>
                <w:rFonts w:ascii="Arial" w:cs="Arial" w:eastAsia="Arial" w:hAnsi="Arial"/>
                <w:sz w:val="14"/>
                <w:szCs w:val="14"/>
                <w:color w:val="auto"/>
              </w:rPr>
              <w:t>3,018,060</w:t>
            </w:r>
          </w:p>
        </w:tc>
      </w:tr>
      <w:tr>
        <w:trPr>
          <w:trHeight w:val="149"/>
        </w:trPr>
        <w:tc>
          <w:tcPr>
            <w:tcW w:w="4060" w:type="dxa"/>
            <w:vAlign w:val="bottom"/>
          </w:tcPr>
          <w:p>
            <w:pPr>
              <w:ind w:left="60"/>
              <w:spacing w:after="0" w:line="149" w:lineRule="exact"/>
              <w:rPr>
                <w:sz w:val="20"/>
                <w:szCs w:val="20"/>
                <w:color w:val="auto"/>
              </w:rPr>
            </w:pPr>
            <w:r>
              <w:rPr>
                <w:rFonts w:ascii="Arial" w:cs="Arial" w:eastAsia="Arial" w:hAnsi="Arial"/>
                <w:sz w:val="14"/>
                <w:szCs w:val="14"/>
                <w:i w:val="1"/>
                <w:iCs w:val="1"/>
                <w:color w:val="auto"/>
              </w:rPr>
              <w:t>Former President and Chief</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2017</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w w:val="98"/>
              </w:rPr>
              <w:t>581,400</w:t>
            </w: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1,809,800</w:t>
            </w:r>
          </w:p>
        </w:tc>
        <w:tc>
          <w:tcPr>
            <w:tcW w:w="11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348,861</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168,675</w:t>
            </w:r>
          </w:p>
        </w:tc>
        <w:tc>
          <w:tcPr>
            <w:tcW w:w="800" w:type="dxa"/>
            <w:vAlign w:val="bottom"/>
          </w:tcPr>
          <w:p>
            <w:pPr>
              <w:ind w:left="140"/>
              <w:spacing w:after="0" w:line="149" w:lineRule="exact"/>
              <w:rPr>
                <w:sz w:val="20"/>
                <w:szCs w:val="20"/>
                <w:color w:val="auto"/>
              </w:rPr>
            </w:pPr>
            <w:r>
              <w:rPr>
                <w:rFonts w:ascii="Arial" w:cs="Arial" w:eastAsia="Arial" w:hAnsi="Arial"/>
                <w:sz w:val="14"/>
                <w:szCs w:val="14"/>
                <w:color w:val="auto"/>
              </w:rPr>
              <w:t>2,908,736</w:t>
            </w:r>
          </w:p>
        </w:tc>
      </w:tr>
      <w:tr>
        <w:trPr>
          <w:trHeight w:val="163"/>
        </w:trPr>
        <w:tc>
          <w:tcPr>
            <w:tcW w:w="4060" w:type="dxa"/>
            <w:vAlign w:val="bottom"/>
          </w:tcPr>
          <w:p>
            <w:pPr>
              <w:ind w:left="60"/>
              <w:spacing w:after="0"/>
              <w:rPr>
                <w:sz w:val="20"/>
                <w:szCs w:val="20"/>
                <w:color w:val="auto"/>
              </w:rPr>
            </w:pPr>
            <w:r>
              <w:rPr>
                <w:rFonts w:ascii="Arial" w:cs="Arial" w:eastAsia="Arial" w:hAnsi="Arial"/>
                <w:sz w:val="14"/>
                <w:szCs w:val="14"/>
                <w:i w:val="1"/>
                <w:iCs w:val="1"/>
                <w:color w:val="auto"/>
              </w:rPr>
              <w:t>Executive Officer</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1"/>
        </w:trPr>
        <w:tc>
          <w:tcPr>
            <w:tcW w:w="4060" w:type="dxa"/>
            <w:vAlign w:val="bottom"/>
            <w:shd w:val="clear" w:color="auto" w:fill="D8D8D8"/>
          </w:tcPr>
          <w:p>
            <w:pPr>
              <w:ind w:left="60"/>
              <w:spacing w:after="0"/>
              <w:rPr>
                <w:sz w:val="20"/>
                <w:szCs w:val="20"/>
                <w:color w:val="auto"/>
              </w:rPr>
            </w:pPr>
            <w:r>
              <w:rPr>
                <w:rFonts w:ascii="Arial" w:cs="Arial" w:eastAsia="Arial" w:hAnsi="Arial"/>
                <w:sz w:val="14"/>
                <w:szCs w:val="14"/>
                <w:color w:val="auto"/>
              </w:rPr>
              <w:t>Thomas J. DesRosier</w:t>
            </w:r>
          </w:p>
        </w:tc>
        <w:tc>
          <w:tcPr>
            <w:tcW w:w="680" w:type="dxa"/>
            <w:vAlign w:val="bottom"/>
            <w:shd w:val="clear" w:color="auto" w:fill="D8D8D8"/>
          </w:tcPr>
          <w:p>
            <w:pPr>
              <w:ind w:left="240"/>
              <w:spacing w:after="0"/>
              <w:rPr>
                <w:sz w:val="20"/>
                <w:szCs w:val="20"/>
                <w:color w:val="auto"/>
              </w:rPr>
            </w:pPr>
            <w:r>
              <w:rPr>
                <w:rFonts w:ascii="Arial" w:cs="Arial" w:eastAsia="Arial" w:hAnsi="Arial"/>
                <w:sz w:val="14"/>
                <w:szCs w:val="14"/>
                <w:color w:val="auto"/>
              </w:rPr>
              <w:t>2018</w:t>
            </w:r>
          </w:p>
        </w:tc>
        <w:tc>
          <w:tcPr>
            <w:tcW w:w="660" w:type="dxa"/>
            <w:vAlign w:val="bottom"/>
            <w:shd w:val="clear" w:color="auto" w:fill="D8D8D8"/>
          </w:tcPr>
          <w:p>
            <w:pPr>
              <w:ind w:left="140"/>
              <w:spacing w:after="0"/>
              <w:rPr>
                <w:sz w:val="20"/>
                <w:szCs w:val="20"/>
                <w:color w:val="auto"/>
              </w:rPr>
            </w:pPr>
            <w:r>
              <w:rPr>
                <w:rFonts w:ascii="Arial" w:cs="Arial" w:eastAsia="Arial" w:hAnsi="Arial"/>
                <w:sz w:val="14"/>
                <w:szCs w:val="14"/>
                <w:color w:val="auto"/>
                <w:w w:val="98"/>
              </w:rPr>
              <w:t>413,800</w:t>
            </w:r>
          </w:p>
        </w:tc>
        <w:tc>
          <w:tcPr>
            <w:tcW w:w="720" w:type="dxa"/>
            <w:vAlign w:val="bottom"/>
            <w:shd w:val="clear" w:color="auto" w:fill="D8D8D8"/>
          </w:tcPr>
          <w:p>
            <w:pPr>
              <w:jc w:val="right"/>
              <w:ind w:right="92"/>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1,268,280</w:t>
            </w:r>
          </w:p>
        </w:tc>
        <w:tc>
          <w:tcPr>
            <w:tcW w:w="114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149,000</w:t>
            </w:r>
          </w:p>
        </w:tc>
        <w:tc>
          <w:tcPr>
            <w:tcW w:w="130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8,250</w:t>
            </w:r>
            <w:r>
              <w:rPr>
                <w:rFonts w:ascii="Arial" w:cs="Arial" w:eastAsia="Arial" w:hAnsi="Arial"/>
                <w:sz w:val="11"/>
                <w:szCs w:val="11"/>
                <w:color w:val="auto"/>
              </w:rPr>
              <w:t>(6)</w:t>
            </w:r>
          </w:p>
        </w:tc>
        <w:tc>
          <w:tcPr>
            <w:tcW w:w="800" w:type="dxa"/>
            <w:vAlign w:val="bottom"/>
            <w:shd w:val="clear" w:color="auto" w:fill="D8D8D8"/>
          </w:tcPr>
          <w:p>
            <w:pPr>
              <w:ind w:left="140"/>
              <w:spacing w:after="0"/>
              <w:rPr>
                <w:sz w:val="20"/>
                <w:szCs w:val="20"/>
                <w:color w:val="auto"/>
              </w:rPr>
            </w:pPr>
            <w:r>
              <w:rPr>
                <w:rFonts w:ascii="Arial" w:cs="Arial" w:eastAsia="Arial" w:hAnsi="Arial"/>
                <w:sz w:val="14"/>
                <w:szCs w:val="14"/>
                <w:color w:val="auto"/>
              </w:rPr>
              <w:t>1,839,330</w:t>
            </w:r>
          </w:p>
        </w:tc>
      </w:tr>
      <w:tr>
        <w:trPr>
          <w:trHeight w:val="149"/>
        </w:trPr>
        <w:tc>
          <w:tcPr>
            <w:tcW w:w="406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i w:val="1"/>
                <w:iCs w:val="1"/>
                <w:color w:val="auto"/>
              </w:rPr>
              <w:t>Chief Legal Officer, Executive Vice</w:t>
            </w:r>
          </w:p>
        </w:tc>
        <w:tc>
          <w:tcPr>
            <w:tcW w:w="68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6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13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r>
      <w:tr>
        <w:trPr>
          <w:trHeight w:val="163"/>
        </w:trPr>
        <w:tc>
          <w:tcPr>
            <w:tcW w:w="4060" w:type="dxa"/>
            <w:vAlign w:val="bottom"/>
            <w:shd w:val="clear" w:color="auto" w:fill="D8D8D8"/>
          </w:tcPr>
          <w:p>
            <w:pPr>
              <w:ind w:left="60"/>
              <w:spacing w:after="0"/>
              <w:rPr>
                <w:sz w:val="20"/>
                <w:szCs w:val="20"/>
                <w:color w:val="auto"/>
              </w:rPr>
            </w:pPr>
            <w:r>
              <w:rPr>
                <w:rFonts w:ascii="Arial" w:cs="Arial" w:eastAsia="Arial" w:hAnsi="Arial"/>
                <w:sz w:val="14"/>
                <w:szCs w:val="14"/>
                <w:i w:val="1"/>
                <w:iCs w:val="1"/>
                <w:color w:val="auto"/>
              </w:rPr>
              <w:t>President, and Secretary</w:t>
            </w:r>
          </w:p>
        </w:tc>
        <w:tc>
          <w:tcPr>
            <w:tcW w:w="68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860" w:type="dxa"/>
            <w:vAlign w:val="bottom"/>
            <w:shd w:val="clear" w:color="auto" w:fill="D8D8D8"/>
          </w:tcPr>
          <w:p>
            <w:pPr>
              <w:spacing w:after="0"/>
              <w:rPr>
                <w:sz w:val="14"/>
                <w:szCs w:val="14"/>
                <w:color w:val="auto"/>
              </w:rPr>
            </w:pPr>
          </w:p>
        </w:tc>
        <w:tc>
          <w:tcPr>
            <w:tcW w:w="114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r>
      <w:tr>
        <w:trPr>
          <w:trHeight w:val="201"/>
        </w:trPr>
        <w:tc>
          <w:tcPr>
            <w:tcW w:w="4060" w:type="dxa"/>
            <w:vAlign w:val="bottom"/>
          </w:tcPr>
          <w:p>
            <w:pPr>
              <w:ind w:left="60"/>
              <w:spacing w:after="0"/>
              <w:rPr>
                <w:sz w:val="20"/>
                <w:szCs w:val="20"/>
                <w:color w:val="auto"/>
              </w:rPr>
            </w:pPr>
            <w:r>
              <w:rPr>
                <w:rFonts w:ascii="Arial" w:cs="Arial" w:eastAsia="Arial" w:hAnsi="Arial"/>
                <w:sz w:val="14"/>
                <w:szCs w:val="14"/>
                <w:color w:val="auto"/>
              </w:rPr>
              <w:t>Eric D. Shaff</w:t>
            </w:r>
            <w:r>
              <w:rPr>
                <w:rFonts w:ascii="Arial" w:cs="Arial" w:eastAsia="Arial" w:hAnsi="Arial"/>
                <w:sz w:val="11"/>
                <w:szCs w:val="11"/>
                <w:color w:val="auto"/>
              </w:rPr>
              <w:t>(2)</w:t>
            </w:r>
          </w:p>
        </w:tc>
        <w:tc>
          <w:tcPr>
            <w:tcW w:w="680" w:type="dxa"/>
            <w:vAlign w:val="bottom"/>
          </w:tcPr>
          <w:p>
            <w:pPr>
              <w:ind w:left="240"/>
              <w:spacing w:after="0"/>
              <w:rPr>
                <w:sz w:val="20"/>
                <w:szCs w:val="20"/>
                <w:color w:val="auto"/>
              </w:rPr>
            </w:pPr>
            <w:r>
              <w:rPr>
                <w:rFonts w:ascii="Arial" w:cs="Arial" w:eastAsia="Arial" w:hAnsi="Arial"/>
                <w:sz w:val="14"/>
                <w:szCs w:val="14"/>
                <w:color w:val="auto"/>
              </w:rPr>
              <w:t>2018</w:t>
            </w:r>
          </w:p>
        </w:tc>
        <w:tc>
          <w:tcPr>
            <w:tcW w:w="660" w:type="dxa"/>
            <w:vAlign w:val="bottom"/>
          </w:tcPr>
          <w:p>
            <w:pPr>
              <w:ind w:left="140"/>
              <w:spacing w:after="0"/>
              <w:rPr>
                <w:sz w:val="20"/>
                <w:szCs w:val="20"/>
                <w:color w:val="auto"/>
              </w:rPr>
            </w:pPr>
            <w:r>
              <w:rPr>
                <w:rFonts w:ascii="Arial" w:cs="Arial" w:eastAsia="Arial" w:hAnsi="Arial"/>
                <w:sz w:val="14"/>
                <w:szCs w:val="14"/>
                <w:color w:val="auto"/>
                <w:w w:val="98"/>
              </w:rPr>
              <w:t>435,000</w:t>
            </w: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845,520</w:t>
            </w: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158,300</w:t>
            </w:r>
          </w:p>
        </w:tc>
        <w:tc>
          <w:tcPr>
            <w:tcW w:w="1300" w:type="dxa"/>
            <w:vAlign w:val="bottom"/>
          </w:tcPr>
          <w:p>
            <w:pPr>
              <w:jc w:val="right"/>
              <w:ind w:right="72"/>
              <w:spacing w:after="0"/>
              <w:rPr>
                <w:sz w:val="20"/>
                <w:szCs w:val="20"/>
                <w:color w:val="auto"/>
              </w:rPr>
            </w:pPr>
            <w:r>
              <w:rPr>
                <w:rFonts w:ascii="Arial" w:cs="Arial" w:eastAsia="Arial" w:hAnsi="Arial"/>
                <w:sz w:val="14"/>
                <w:szCs w:val="14"/>
                <w:color w:val="auto"/>
              </w:rPr>
              <w:t>8,250</w:t>
            </w:r>
            <w:r>
              <w:rPr>
                <w:rFonts w:ascii="Arial" w:cs="Arial" w:eastAsia="Arial" w:hAnsi="Arial"/>
                <w:sz w:val="11"/>
                <w:szCs w:val="11"/>
                <w:color w:val="auto"/>
              </w:rPr>
              <w:t>(6)</w:t>
            </w:r>
          </w:p>
        </w:tc>
        <w:tc>
          <w:tcPr>
            <w:tcW w:w="800" w:type="dxa"/>
            <w:vAlign w:val="bottom"/>
          </w:tcPr>
          <w:p>
            <w:pPr>
              <w:ind w:left="140"/>
              <w:spacing w:after="0"/>
              <w:rPr>
                <w:sz w:val="20"/>
                <w:szCs w:val="20"/>
                <w:color w:val="auto"/>
              </w:rPr>
            </w:pPr>
            <w:r>
              <w:rPr>
                <w:rFonts w:ascii="Arial" w:cs="Arial" w:eastAsia="Arial" w:hAnsi="Arial"/>
                <w:sz w:val="14"/>
                <w:szCs w:val="14"/>
                <w:color w:val="auto"/>
              </w:rPr>
              <w:t>1,447,070</w:t>
            </w:r>
          </w:p>
        </w:tc>
      </w:tr>
      <w:tr>
        <w:trPr>
          <w:trHeight w:val="149"/>
        </w:trPr>
        <w:tc>
          <w:tcPr>
            <w:tcW w:w="4060" w:type="dxa"/>
            <w:vAlign w:val="bottom"/>
          </w:tcPr>
          <w:p>
            <w:pPr>
              <w:ind w:left="60"/>
              <w:spacing w:after="0" w:line="149" w:lineRule="exact"/>
              <w:rPr>
                <w:sz w:val="20"/>
                <w:szCs w:val="20"/>
                <w:color w:val="auto"/>
              </w:rPr>
            </w:pPr>
            <w:r>
              <w:rPr>
                <w:rFonts w:ascii="Arial" w:cs="Arial" w:eastAsia="Arial" w:hAnsi="Arial"/>
                <w:sz w:val="14"/>
                <w:szCs w:val="14"/>
                <w:i w:val="1"/>
                <w:iCs w:val="1"/>
                <w:color w:val="auto"/>
              </w:rPr>
              <w:t>Executive Vice President, Former</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2017</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w w:val="98"/>
              </w:rPr>
              <w:t>377,083</w:t>
            </w: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3,026</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395,600</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728,081</w:t>
            </w:r>
          </w:p>
        </w:tc>
        <w:tc>
          <w:tcPr>
            <w:tcW w:w="11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174,974</w:t>
            </w:r>
          </w:p>
        </w:tc>
        <w:tc>
          <w:tcPr>
            <w:tcW w:w="13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6,836</w:t>
            </w:r>
            <w:r>
              <w:rPr>
                <w:rFonts w:ascii="Arial" w:cs="Arial" w:eastAsia="Arial" w:hAnsi="Arial"/>
                <w:sz w:val="11"/>
                <w:szCs w:val="11"/>
                <w:color w:val="auto"/>
              </w:rPr>
              <w:t>(6)</w:t>
            </w:r>
          </w:p>
        </w:tc>
        <w:tc>
          <w:tcPr>
            <w:tcW w:w="800" w:type="dxa"/>
            <w:vAlign w:val="bottom"/>
          </w:tcPr>
          <w:p>
            <w:pPr>
              <w:ind w:left="140"/>
              <w:spacing w:after="0" w:line="149" w:lineRule="exact"/>
              <w:rPr>
                <w:sz w:val="20"/>
                <w:szCs w:val="20"/>
                <w:color w:val="auto"/>
              </w:rPr>
            </w:pPr>
            <w:r>
              <w:rPr>
                <w:rFonts w:ascii="Arial" w:cs="Arial" w:eastAsia="Arial" w:hAnsi="Arial"/>
                <w:sz w:val="14"/>
                <w:szCs w:val="14"/>
                <w:color w:val="auto"/>
              </w:rPr>
              <w:t>1,685,600</w:t>
            </w:r>
          </w:p>
        </w:tc>
      </w:tr>
      <w:tr>
        <w:trPr>
          <w:trHeight w:val="149"/>
        </w:trPr>
        <w:tc>
          <w:tcPr>
            <w:tcW w:w="4060" w:type="dxa"/>
            <w:vAlign w:val="bottom"/>
          </w:tcPr>
          <w:p>
            <w:pPr>
              <w:ind w:left="60"/>
              <w:spacing w:after="0" w:line="149" w:lineRule="exact"/>
              <w:rPr>
                <w:sz w:val="20"/>
                <w:szCs w:val="20"/>
                <w:color w:val="auto"/>
              </w:rPr>
            </w:pPr>
            <w:r>
              <w:rPr>
                <w:rFonts w:ascii="Arial" w:cs="Arial" w:eastAsia="Arial" w:hAnsi="Arial"/>
                <w:sz w:val="14"/>
                <w:szCs w:val="14"/>
                <w:i w:val="1"/>
                <w:iCs w:val="1"/>
                <w:color w:val="auto"/>
              </w:rPr>
              <w:t>Chief Operating and Financial Officer,</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6"/>
        </w:trPr>
        <w:tc>
          <w:tcPr>
            <w:tcW w:w="4060" w:type="dxa"/>
            <w:vAlign w:val="bottom"/>
          </w:tcPr>
          <w:p>
            <w:pPr>
              <w:ind w:left="60"/>
              <w:spacing w:after="0"/>
              <w:rPr>
                <w:sz w:val="20"/>
                <w:szCs w:val="20"/>
                <w:color w:val="auto"/>
              </w:rPr>
            </w:pPr>
            <w:r>
              <w:rPr>
                <w:rFonts w:ascii="Arial" w:cs="Arial" w:eastAsia="Arial" w:hAnsi="Arial"/>
                <w:sz w:val="14"/>
                <w:szCs w:val="14"/>
                <w:i w:val="1"/>
                <w:iCs w:val="1"/>
                <w:color w:val="auto"/>
              </w:rPr>
              <w:t>and Treasurer</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84"/>
        </w:trPr>
        <w:tc>
          <w:tcPr>
            <w:tcW w:w="4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331"/>
        </w:trPr>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jc w:val="right"/>
              <w:ind w:right="492"/>
              <w:spacing w:after="0"/>
              <w:rPr>
                <w:sz w:val="20"/>
                <w:szCs w:val="20"/>
                <w:color w:val="auto"/>
              </w:rPr>
            </w:pPr>
            <w:r>
              <w:rPr>
                <w:rFonts w:ascii="Arial" w:cs="Arial" w:eastAsia="Arial" w:hAnsi="Arial"/>
                <w:sz w:val="14"/>
                <w:szCs w:val="14"/>
                <w:color w:val="auto"/>
                <w:w w:val="89"/>
              </w:rPr>
              <w:t>25</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040"/>
          </w:cols>
          <w:pgMar w:left="440" w:top="287" w:right="41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36" w:lineRule="exact"/>
        <w:rPr>
          <w:sz w:val="20"/>
          <w:szCs w:val="20"/>
          <w:color w:val="auto"/>
        </w:rPr>
      </w:pPr>
    </w:p>
    <w:p>
      <w:pPr>
        <w:ind w:left="320" w:right="260" w:hanging="316"/>
        <w:spacing w:after="0" w:line="231"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Dr. Pomerantz also served as Chairman of our board of directors during 2018 but received no additional compensation for this service. Dr. Pomerantz resigned his employment with us in January 2019, and was succeeded by Mr. Shaff, our current President and Chief Executive Officer.</w:t>
      </w:r>
    </w:p>
    <w:p>
      <w:pPr>
        <w:spacing w:after="0" w:line="27" w:lineRule="exact"/>
        <w:rPr>
          <w:rFonts w:ascii="Arial" w:cs="Arial" w:eastAsia="Arial" w:hAnsi="Arial"/>
          <w:sz w:val="14"/>
          <w:szCs w:val="14"/>
          <w:color w:val="auto"/>
        </w:rPr>
      </w:pPr>
    </w:p>
    <w:p>
      <w:pPr>
        <w:ind w:left="320" w:hanging="316"/>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January 2019, Mr. Shaff succeeded Dr. Pomerantz as our President and Chief Executive Officer.</w:t>
      </w:r>
    </w:p>
    <w:p>
      <w:pPr>
        <w:spacing w:after="0" w:line="28" w:lineRule="exact"/>
        <w:rPr>
          <w:rFonts w:ascii="Arial" w:cs="Arial" w:eastAsia="Arial" w:hAnsi="Arial"/>
          <w:sz w:val="14"/>
          <w:szCs w:val="14"/>
          <w:color w:val="auto"/>
        </w:rPr>
      </w:pPr>
    </w:p>
    <w:p>
      <w:pPr>
        <w:ind w:left="320" w:right="100" w:hanging="316"/>
        <w:spacing w:after="0" w:line="228"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computed in accordance with FASB ASC Topic 718. For a description of the assumptions used in valuing these awards, see Notes 2 and 8 to our audited consolidated financial statements included in the Company’s Annual Report on Form 10-K for the fiscal year ended December 31, 2018.</w:t>
      </w:r>
    </w:p>
    <w:p>
      <w:pPr>
        <w:spacing w:after="0" w:line="27" w:lineRule="exact"/>
        <w:rPr>
          <w:rFonts w:ascii="Arial" w:cs="Arial" w:eastAsia="Arial" w:hAnsi="Arial"/>
          <w:sz w:val="14"/>
          <w:szCs w:val="14"/>
          <w:color w:val="auto"/>
        </w:rPr>
      </w:pPr>
    </w:p>
    <w:p>
      <w:pPr>
        <w:ind w:left="320" w:right="100" w:hanging="316"/>
        <w:spacing w:after="0" w:line="231"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under our annual cash bonus program. For additional information regarding these amounts, refer to “—Narrative Disclosure to Summary Compensation Table—Annual Cash Bonuses.”</w:t>
      </w:r>
    </w:p>
    <w:p>
      <w:pPr>
        <w:spacing w:after="0" w:line="27" w:lineRule="exact"/>
        <w:rPr>
          <w:rFonts w:ascii="Arial" w:cs="Arial" w:eastAsia="Arial" w:hAnsi="Arial"/>
          <w:sz w:val="14"/>
          <w:szCs w:val="14"/>
          <w:color w:val="auto"/>
        </w:rPr>
      </w:pPr>
    </w:p>
    <w:p>
      <w:pPr>
        <w:ind w:left="320" w:right="480" w:hanging="316"/>
        <w:spacing w:after="0" w:line="228"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$8,250 in company matching contributions under our 401(k) plan, $106,693 in reimbursements of travel and lodging expenses associated with working in the Cambridge, Massachusetts area and $71,129 in reimbursements of taxes relating to the travel and lodging expense reimbursements. For additional information, refer to “— Retirement, Health, Welfare and Additional Benefits” below</w:t>
      </w:r>
    </w:p>
    <w:p>
      <w:pPr>
        <w:spacing w:after="0" w:line="27" w:lineRule="exact"/>
        <w:rPr>
          <w:rFonts w:ascii="Arial" w:cs="Arial" w:eastAsia="Arial" w:hAnsi="Arial"/>
          <w:sz w:val="14"/>
          <w:szCs w:val="14"/>
          <w:color w:val="auto"/>
        </w:rPr>
      </w:pPr>
    </w:p>
    <w:p>
      <w:pPr>
        <w:ind w:left="320" w:hanging="316"/>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company matching contributions under our 401(k) plan.</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8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w:t>
      </w:r>
    </w:p>
    <w:p>
      <w:pPr>
        <w:spacing w:after="0" w:line="5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Our Compensation Committee periodically reviews NEO base salaries in consultation with management and Radford to determine whether any adjustments are necessary or appropriate. The following table shows the annual base salaries of our NEOs for 2017, 2018 and 2019. Except as otherwise noted, all annual base salary increases were effective January 1 of the given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tcBorders>
              <w:bottom w:val="single" w:sz="8" w:color="auto"/>
            </w:tcBorders>
            <w:shd w:val="clear" w:color="auto" w:fill="D8D8D8"/>
          </w:tcPr>
          <w:p>
            <w:pPr>
              <w:jc w:val="right"/>
              <w:ind w:right="672"/>
              <w:spacing w:after="0"/>
              <w:rPr>
                <w:sz w:val="20"/>
                <w:szCs w:val="20"/>
                <w:color w:val="auto"/>
              </w:rPr>
            </w:pPr>
            <w:r>
              <w:rPr>
                <w:rFonts w:ascii="Arial" w:cs="Arial" w:eastAsia="Arial" w:hAnsi="Arial"/>
                <w:sz w:val="14"/>
                <w:szCs w:val="14"/>
                <w:b w:val="1"/>
                <w:bCs w:val="1"/>
                <w:color w:val="auto"/>
              </w:rPr>
              <w:t>2017 Annual Base Salary ($)</w:t>
            </w:r>
          </w:p>
        </w:tc>
        <w:tc>
          <w:tcPr>
            <w:tcW w:w="2660" w:type="dxa"/>
            <w:vAlign w:val="bottom"/>
            <w:tcBorders>
              <w:bottom w:val="single" w:sz="8" w:color="auto"/>
            </w:tcBorders>
            <w:shd w:val="clear" w:color="auto" w:fill="D8D8D8"/>
          </w:tcPr>
          <w:p>
            <w:pPr>
              <w:jc w:val="right"/>
              <w:ind w:right="192"/>
              <w:spacing w:after="0"/>
              <w:rPr>
                <w:sz w:val="20"/>
                <w:szCs w:val="20"/>
                <w:color w:val="auto"/>
              </w:rPr>
            </w:pPr>
            <w:r>
              <w:rPr>
                <w:rFonts w:ascii="Arial" w:cs="Arial" w:eastAsia="Arial" w:hAnsi="Arial"/>
                <w:sz w:val="14"/>
                <w:szCs w:val="14"/>
                <w:b w:val="1"/>
                <w:bCs w:val="1"/>
                <w:color w:val="auto"/>
              </w:rPr>
              <w:t>2018 Annual Base Salary ($)</w:t>
            </w:r>
          </w:p>
        </w:tc>
        <w:tc>
          <w:tcPr>
            <w:tcW w:w="3020" w:type="dxa"/>
            <w:vAlign w:val="bottom"/>
            <w:tcBorders>
              <w:bottom w:val="single" w:sz="8" w:color="auto"/>
            </w:tcBorders>
            <w:shd w:val="clear" w:color="auto" w:fill="D8D8D8"/>
          </w:tcPr>
          <w:p>
            <w:pPr>
              <w:jc w:val="right"/>
              <w:ind w:right="1032"/>
              <w:spacing w:after="0"/>
              <w:rPr>
                <w:sz w:val="20"/>
                <w:szCs w:val="20"/>
                <w:color w:val="auto"/>
              </w:rPr>
            </w:pPr>
            <w:r>
              <w:rPr>
                <w:rFonts w:ascii="Arial" w:cs="Arial" w:eastAsia="Arial" w:hAnsi="Arial"/>
                <w:sz w:val="14"/>
                <w:szCs w:val="14"/>
                <w:b w:val="1"/>
                <w:bCs w:val="1"/>
                <w:color w:val="auto"/>
              </w:rPr>
              <w:t>2019 Annual Base Salary ($)</w:t>
            </w:r>
          </w:p>
        </w:tc>
      </w:tr>
      <w:tr>
        <w:trPr>
          <w:trHeight w:val="196"/>
        </w:trPr>
        <w:tc>
          <w:tcPr>
            <w:tcW w:w="2200" w:type="dxa"/>
            <w:vAlign w:val="bottom"/>
            <w:gridSpan w:val="2"/>
          </w:tcPr>
          <w:p>
            <w:pPr>
              <w:spacing w:after="0"/>
              <w:rPr>
                <w:sz w:val="20"/>
                <w:szCs w:val="20"/>
                <w:color w:val="auto"/>
              </w:rPr>
            </w:pPr>
            <w:r>
              <w:rPr>
                <w:rFonts w:ascii="Arial" w:cs="Arial" w:eastAsia="Arial" w:hAnsi="Arial"/>
                <w:sz w:val="14"/>
                <w:szCs w:val="14"/>
                <w:color w:val="auto"/>
              </w:rPr>
              <w:t>Roger J. Pomerantz, M.D.</w:t>
            </w:r>
          </w:p>
        </w:tc>
        <w:tc>
          <w:tcPr>
            <w:tcW w:w="3160" w:type="dxa"/>
            <w:vAlign w:val="bottom"/>
          </w:tcPr>
          <w:p>
            <w:pPr>
              <w:jc w:val="right"/>
              <w:ind w:right="512"/>
              <w:spacing w:after="0"/>
              <w:rPr>
                <w:sz w:val="20"/>
                <w:szCs w:val="20"/>
                <w:color w:val="auto"/>
              </w:rPr>
            </w:pPr>
            <w:r>
              <w:rPr>
                <w:rFonts w:ascii="Arial" w:cs="Arial" w:eastAsia="Arial" w:hAnsi="Arial"/>
                <w:sz w:val="14"/>
                <w:szCs w:val="14"/>
                <w:color w:val="auto"/>
              </w:rPr>
              <w:t>581,400</w:t>
            </w:r>
          </w:p>
        </w:tc>
        <w:tc>
          <w:tcPr>
            <w:tcW w:w="2660" w:type="dxa"/>
            <w:vAlign w:val="bottom"/>
          </w:tcPr>
          <w:p>
            <w:pPr>
              <w:jc w:val="right"/>
              <w:ind w:right="52"/>
              <w:spacing w:after="0"/>
              <w:rPr>
                <w:sz w:val="20"/>
                <w:szCs w:val="20"/>
                <w:color w:val="auto"/>
              </w:rPr>
            </w:pPr>
            <w:r>
              <w:rPr>
                <w:rFonts w:ascii="Arial" w:cs="Arial" w:eastAsia="Arial" w:hAnsi="Arial"/>
                <w:sz w:val="14"/>
                <w:szCs w:val="14"/>
                <w:color w:val="auto"/>
              </w:rPr>
              <w:t>595,000</w:t>
            </w:r>
          </w:p>
        </w:tc>
        <w:tc>
          <w:tcPr>
            <w:tcW w:w="3020" w:type="dxa"/>
            <w:vAlign w:val="bottom"/>
          </w:tcPr>
          <w:p>
            <w:pPr>
              <w:jc w:val="right"/>
              <w:ind w:right="732"/>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(1)</w:t>
            </w:r>
          </w:p>
        </w:tc>
      </w:tr>
      <w:tr>
        <w:trPr>
          <w:trHeight w:val="41"/>
        </w:trPr>
        <w:tc>
          <w:tcPr>
            <w:tcW w:w="2200" w:type="dxa"/>
            <w:vAlign w:val="bottom"/>
            <w:gridSpan w:val="2"/>
          </w:tcPr>
          <w:p>
            <w:pPr>
              <w:spacing w:after="0"/>
              <w:rPr>
                <w:sz w:val="3"/>
                <w:szCs w:val="3"/>
                <w:color w:val="auto"/>
              </w:rPr>
            </w:pPr>
          </w:p>
        </w:tc>
        <w:tc>
          <w:tcPr>
            <w:tcW w:w="31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3020" w:type="dxa"/>
            <w:vAlign w:val="bottom"/>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21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Thomas J. DesRosier</w:t>
            </w:r>
          </w:p>
        </w:tc>
        <w:tc>
          <w:tcPr>
            <w:tcW w:w="3160" w:type="dxa"/>
            <w:vAlign w:val="bottom"/>
            <w:tcBorders>
              <w:bottom w:val="single" w:sz="8" w:color="D8D8D8"/>
            </w:tcBorders>
            <w:shd w:val="clear" w:color="auto" w:fill="D8D8D8"/>
          </w:tcPr>
          <w:p>
            <w:pPr>
              <w:jc w:val="right"/>
              <w:ind w:right="512"/>
              <w:spacing w:after="0"/>
              <w:rPr>
                <w:sz w:val="20"/>
                <w:szCs w:val="20"/>
                <w:color w:val="auto"/>
              </w:rPr>
            </w:pPr>
            <w:r>
              <w:rPr>
                <w:rFonts w:ascii="Arial" w:cs="Arial" w:eastAsia="Arial" w:hAnsi="Arial"/>
                <w:sz w:val="14"/>
                <w:szCs w:val="14"/>
                <w:color w:val="auto"/>
              </w:rPr>
              <w:t>401,700</w:t>
            </w:r>
          </w:p>
        </w:tc>
        <w:tc>
          <w:tcPr>
            <w:tcW w:w="2660" w:type="dxa"/>
            <w:vAlign w:val="bottom"/>
            <w:tcBorders>
              <w:bottom w:val="single" w:sz="8" w:color="D8D8D8"/>
            </w:tcBorders>
            <w:shd w:val="clear" w:color="auto" w:fill="D8D8D8"/>
          </w:tcPr>
          <w:p>
            <w:pPr>
              <w:jc w:val="right"/>
              <w:ind w:right="52"/>
              <w:spacing w:after="0"/>
              <w:rPr>
                <w:sz w:val="20"/>
                <w:szCs w:val="20"/>
                <w:color w:val="auto"/>
              </w:rPr>
            </w:pPr>
            <w:r>
              <w:rPr>
                <w:rFonts w:ascii="Arial" w:cs="Arial" w:eastAsia="Arial" w:hAnsi="Arial"/>
                <w:sz w:val="14"/>
                <w:szCs w:val="14"/>
                <w:color w:val="auto"/>
              </w:rPr>
              <w:t>413,800</w:t>
            </w:r>
          </w:p>
        </w:tc>
        <w:tc>
          <w:tcPr>
            <w:tcW w:w="3020" w:type="dxa"/>
            <w:vAlign w:val="bottom"/>
            <w:tcBorders>
              <w:bottom w:val="single" w:sz="8" w:color="D8D8D8"/>
            </w:tcBorders>
            <w:shd w:val="clear" w:color="auto" w:fill="D8D8D8"/>
          </w:tcPr>
          <w:p>
            <w:pPr>
              <w:jc w:val="right"/>
              <w:ind w:right="872"/>
              <w:spacing w:after="0"/>
              <w:rPr>
                <w:sz w:val="20"/>
                <w:szCs w:val="20"/>
                <w:color w:val="auto"/>
              </w:rPr>
            </w:pPr>
            <w:r>
              <w:rPr>
                <w:rFonts w:ascii="Arial" w:cs="Arial" w:eastAsia="Arial" w:hAnsi="Arial"/>
                <w:sz w:val="14"/>
                <w:szCs w:val="14"/>
                <w:color w:val="auto"/>
              </w:rPr>
              <w:t>428,300</w:t>
            </w:r>
          </w:p>
        </w:tc>
      </w:tr>
      <w:tr>
        <w:trPr>
          <w:trHeight w:val="202"/>
        </w:trPr>
        <w:tc>
          <w:tcPr>
            <w:tcW w:w="2200" w:type="dxa"/>
            <w:vAlign w:val="bottom"/>
            <w:gridSpan w:val="2"/>
          </w:tcPr>
          <w:p>
            <w:pPr>
              <w:spacing w:after="0"/>
              <w:rPr>
                <w:sz w:val="20"/>
                <w:szCs w:val="20"/>
                <w:color w:val="auto"/>
              </w:rPr>
            </w:pPr>
            <w:r>
              <w:rPr>
                <w:rFonts w:ascii="Arial" w:cs="Arial" w:eastAsia="Arial" w:hAnsi="Arial"/>
                <w:sz w:val="14"/>
                <w:szCs w:val="14"/>
                <w:color w:val="auto"/>
              </w:rPr>
              <w:t>Eric D. Shaff</w:t>
            </w:r>
          </w:p>
        </w:tc>
        <w:tc>
          <w:tcPr>
            <w:tcW w:w="3160" w:type="dxa"/>
            <w:vAlign w:val="bottom"/>
          </w:tcPr>
          <w:p>
            <w:pPr>
              <w:jc w:val="right"/>
              <w:ind w:right="512"/>
              <w:spacing w:after="0"/>
              <w:rPr>
                <w:sz w:val="20"/>
                <w:szCs w:val="20"/>
                <w:color w:val="auto"/>
              </w:rPr>
            </w:pPr>
            <w:r>
              <w:rPr>
                <w:rFonts w:ascii="Arial" w:cs="Arial" w:eastAsia="Arial" w:hAnsi="Arial"/>
                <w:sz w:val="14"/>
                <w:szCs w:val="14"/>
                <w:color w:val="auto"/>
              </w:rPr>
              <w:t>377,100</w:t>
            </w:r>
          </w:p>
        </w:tc>
        <w:tc>
          <w:tcPr>
            <w:tcW w:w="2660" w:type="dxa"/>
            <w:vAlign w:val="bottom"/>
          </w:tcPr>
          <w:p>
            <w:pPr>
              <w:jc w:val="right"/>
              <w:ind w:right="52"/>
              <w:spacing w:after="0"/>
              <w:rPr>
                <w:sz w:val="20"/>
                <w:szCs w:val="20"/>
                <w:color w:val="auto"/>
              </w:rPr>
            </w:pPr>
            <w:r>
              <w:rPr>
                <w:rFonts w:ascii="Arial" w:cs="Arial" w:eastAsia="Arial" w:hAnsi="Arial"/>
                <w:sz w:val="14"/>
                <w:szCs w:val="14"/>
                <w:color w:val="auto"/>
              </w:rPr>
              <w:t>435,000</w:t>
            </w:r>
          </w:p>
        </w:tc>
        <w:tc>
          <w:tcPr>
            <w:tcW w:w="3020" w:type="dxa"/>
            <w:vAlign w:val="bottom"/>
          </w:tcPr>
          <w:p>
            <w:pPr>
              <w:jc w:val="right"/>
              <w:ind w:right="732"/>
              <w:spacing w:after="0"/>
              <w:rPr>
                <w:sz w:val="20"/>
                <w:szCs w:val="20"/>
                <w:color w:val="auto"/>
              </w:rPr>
            </w:pPr>
            <w:r>
              <w:rPr>
                <w:rFonts w:ascii="Arial" w:cs="Arial" w:eastAsia="Arial" w:hAnsi="Arial"/>
                <w:sz w:val="14"/>
                <w:szCs w:val="14"/>
                <w:color w:val="auto"/>
              </w:rPr>
              <w:t>540,000</w:t>
            </w:r>
            <w:r>
              <w:rPr>
                <w:rFonts w:ascii="Arial" w:cs="Arial" w:eastAsia="Arial" w:hAnsi="Arial"/>
                <w:sz w:val="11"/>
                <w:szCs w:val="1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6997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6" w:lineRule="exact"/>
        <w:rPr>
          <w:sz w:val="20"/>
          <w:szCs w:val="20"/>
          <w:color w:val="auto"/>
        </w:rPr>
      </w:pPr>
    </w:p>
    <w:p>
      <w:pPr>
        <w:ind w:left="320" w:hanging="316"/>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Dr. Pomerantz ceased serving as an employee on January 14, 2019.</w:t>
      </w:r>
    </w:p>
    <w:p>
      <w:pPr>
        <w:ind w:left="320" w:hanging="316"/>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Shaff’s 2019 Annual Base Salary reflects an increase related to his promotion to Chief Executive Officer on January 14,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8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NEOs have the opportunity to earn annual performance bonuses based on the achievement of short-term performance goals. The NEOs’ 2018 target annual cash bonuses, expressed as a percentage of base salary, were: 55% for Dr. Pomerantz, 40% for Mr. DesRosier and 40% for Mr. Shaff.</w:t>
      </w:r>
    </w:p>
    <w:p>
      <w:pPr>
        <w:spacing w:after="0" w:line="6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Compensation Committee generally determines annual bonuses for our NEOs by multiplying (a) base salary, by (b) target cash bonus percentage, by (c) the level of achievement of corporate and/or individual performance objectives. In addition, the Compensation Committee retains discretion to adjust annual bonuses as it determines to be appropriate to reflect company performance, individual performance or other factors that the committee believes to be appropriate. For Mr. DesRosier and Mr. Shaff, the achievement of 2018 corporate objectives was weighted 80% and the achievement of individual objectives was weighted 20%. Dr. Pomerantz’s 2018 bonus was weighted 100% on corporate objectives.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040"/>
          </w:cols>
          <w:pgMar w:left="440" w:top="287" w:right="4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3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For 2018, our corporate bonus objectives were based on operational and developmental milestones related to clinical development programs, discovery and research initiatives, bioprocess and manufacturing processes, business development and corporate infrastructure objectives. For Mr. DesRosier and Mr. Shaff, the 2018 individual performance considerations focused on their respective areas of responsibility within our company. In January 2019, in consultation with management and based on guidance from Radford, the Compensation Committee determined to award all of our NEOs 2018 performance bonuses of approximately 85% of the corporate objective portion of their target bonus levels. The actual amounts paid to our NEOs under our 2018 annual cash bonus program are set forth in the Summary Compensation Table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8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historically offered stock options and, in 2017, restricted stock units to our employees, including our NEOs, as the long-term incentive component of our compensation program. We typically grant options to employees when they commence employment with us and may thereafter grant additional options in the discretion of our board of directors or Compensation Committee. Our stock options allow employees to purchase shares of our common stock at a price equal to the fair market value of our common stock on the grant date and may be intended to qualify as “incentive stock options” under the Internal Revenue Code of 1986, as amended, or the Internal Revenue Code. Each restricted stock unit represents the right to receive one share of our common stock or its cash value equivalent upon vesting. In 2018, the long-term incentive component of the compensation of our NEOs consisted solely of stock options.</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or Compensation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“Employment Agreements.”</w:t>
      </w:r>
    </w:p>
    <w:p>
      <w:pPr>
        <w:spacing w:after="0" w:line="9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We awarded stock options to our NEOs during 2018 in the following amounts and subject generally to vesting in accordance with our standard time-based vesting schedule described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b w:val="1"/>
                <w:bCs w:val="1"/>
                <w:color w:val="auto"/>
              </w:rPr>
              <w:t>Name</w:t>
            </w:r>
          </w:p>
        </w:tc>
        <w:tc>
          <w:tcPr>
            <w:tcW w:w="5760" w:type="dxa"/>
            <w:vAlign w:val="bottom"/>
            <w:tcBorders>
              <w:bottom w:val="single" w:sz="8" w:color="auto"/>
            </w:tcBorders>
            <w:shd w:val="clear" w:color="auto" w:fill="D8D8D8"/>
          </w:tcPr>
          <w:p>
            <w:pPr>
              <w:ind w:left="4180"/>
              <w:spacing w:after="0"/>
              <w:rPr>
                <w:sz w:val="20"/>
                <w:szCs w:val="20"/>
                <w:color w:val="auto"/>
              </w:rPr>
            </w:pPr>
            <w:r>
              <w:rPr>
                <w:rFonts w:ascii="Arial" w:cs="Arial" w:eastAsia="Arial" w:hAnsi="Arial"/>
                <w:sz w:val="14"/>
                <w:szCs w:val="14"/>
                <w:b w:val="1"/>
                <w:bCs w:val="1"/>
                <w:color w:val="auto"/>
              </w:rPr>
              <w:t>Options Granted (#)</w:t>
            </w:r>
          </w:p>
        </w:tc>
      </w:tr>
      <w:tr>
        <w:trPr>
          <w:trHeight w:val="142"/>
        </w:trPr>
        <w:tc>
          <w:tcPr>
            <w:tcW w:w="2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Arial" w:cs="Arial" w:eastAsia="Arial" w:hAnsi="Arial"/>
                <w:sz w:val="14"/>
                <w:szCs w:val="14"/>
                <w:color w:val="auto"/>
              </w:rPr>
              <w:t>Roger J. Pomerantz, M.D.</w:t>
            </w:r>
          </w:p>
        </w:tc>
        <w:tc>
          <w:tcPr>
            <w:tcW w:w="5760" w:type="dxa"/>
            <w:vAlign w:val="bottom"/>
          </w:tcPr>
          <w:p>
            <w:pPr>
              <w:ind w:left="3720"/>
              <w:spacing w:after="0" w:line="142" w:lineRule="exact"/>
              <w:rPr>
                <w:sz w:val="20"/>
                <w:szCs w:val="20"/>
                <w:color w:val="auto"/>
              </w:rPr>
            </w:pPr>
            <w:r>
              <w:rPr>
                <w:rFonts w:ascii="Arial" w:cs="Arial" w:eastAsia="Arial" w:hAnsi="Arial"/>
                <w:sz w:val="14"/>
                <w:szCs w:val="14"/>
                <w:color w:val="auto"/>
              </w:rPr>
              <w:t>278,000</w:t>
            </w:r>
          </w:p>
        </w:tc>
      </w:tr>
      <w:tr>
        <w:trPr>
          <w:trHeight w:val="149"/>
        </w:trPr>
        <w:tc>
          <w:tcPr>
            <w:tcW w:w="20" w:type="dxa"/>
            <w:vAlign w:val="bottom"/>
          </w:tcPr>
          <w:p>
            <w:pPr>
              <w:spacing w:after="0"/>
              <w:rPr>
                <w:sz w:val="12"/>
                <w:szCs w:val="12"/>
                <w:color w:val="auto"/>
              </w:rPr>
            </w:pPr>
          </w:p>
        </w:tc>
        <w:tc>
          <w:tcPr>
            <w:tcW w:w="5260" w:type="dxa"/>
            <w:vAlign w:val="bottom"/>
            <w:shd w:val="clear" w:color="auto" w:fill="D8D8D8"/>
          </w:tcPr>
          <w:p>
            <w:pPr>
              <w:spacing w:after="0" w:line="149" w:lineRule="exact"/>
              <w:rPr>
                <w:sz w:val="20"/>
                <w:szCs w:val="20"/>
                <w:color w:val="auto"/>
              </w:rPr>
            </w:pPr>
            <w:r>
              <w:rPr>
                <w:rFonts w:ascii="Arial" w:cs="Arial" w:eastAsia="Arial" w:hAnsi="Arial"/>
                <w:sz w:val="14"/>
                <w:szCs w:val="14"/>
                <w:color w:val="auto"/>
              </w:rPr>
              <w:t>Thomas J. DesRosier</w:t>
            </w:r>
          </w:p>
        </w:tc>
        <w:tc>
          <w:tcPr>
            <w:tcW w:w="5760" w:type="dxa"/>
            <w:vAlign w:val="bottom"/>
            <w:shd w:val="clear" w:color="auto" w:fill="D8D8D8"/>
          </w:tcPr>
          <w:p>
            <w:pPr>
              <w:ind w:left="3720"/>
              <w:spacing w:after="0" w:line="149" w:lineRule="exact"/>
              <w:rPr>
                <w:sz w:val="20"/>
                <w:szCs w:val="20"/>
                <w:color w:val="auto"/>
              </w:rPr>
            </w:pPr>
            <w:r>
              <w:rPr>
                <w:rFonts w:ascii="Arial" w:cs="Arial" w:eastAsia="Arial" w:hAnsi="Arial"/>
                <w:sz w:val="14"/>
                <w:szCs w:val="14"/>
                <w:color w:val="auto"/>
              </w:rPr>
              <w:t>180,000</w:t>
            </w:r>
            <w:r>
              <w:rPr>
                <w:rFonts w:ascii="Arial" w:cs="Arial" w:eastAsia="Arial" w:hAnsi="Arial"/>
                <w:sz w:val="11"/>
                <w:szCs w:val="11"/>
                <w:color w:val="auto"/>
              </w:rPr>
              <w:t>(1)</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Eric D. Shaff</w:t>
            </w:r>
          </w:p>
        </w:tc>
        <w:tc>
          <w:tcPr>
            <w:tcW w:w="5760" w:type="dxa"/>
            <w:vAlign w:val="bottom"/>
          </w:tcPr>
          <w:p>
            <w:pPr>
              <w:ind w:left="3720"/>
              <w:spacing w:after="0"/>
              <w:rPr>
                <w:sz w:val="20"/>
                <w:szCs w:val="20"/>
                <w:color w:val="auto"/>
              </w:rPr>
            </w:pPr>
            <w:r>
              <w:rPr>
                <w:rFonts w:ascii="Arial" w:cs="Arial" w:eastAsia="Arial" w:hAnsi="Arial"/>
                <w:sz w:val="14"/>
                <w:szCs w:val="14"/>
                <w:color w:val="auto"/>
              </w:rPr>
              <w:t>120,000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320" w:right="60" w:hanging="316"/>
        <w:spacing w:after="0" w:line="228"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DesRosier’s option award consisted of two options. One option, covering 100,000 shares, that vests as to one-third of the shares subject to the option on each of the first three anniversaries of the grant date, subject to his continued service with us. The other option, covering 80,000 shares, vests in accordance with our standard time-based vesting schedule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and life insurance, to the same extent as our other full-time employees, subject to the terms and eligibility requirements of those plans. We also sponsor a 401(k) defined contribution plan in which our NEOs may participate, subject to limits imposed by the Internal Revenue Code, to the same extent as all of our other full -time employees. During 2018,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040"/>
          </w:cols>
          <w:pgMar w:left="440" w:top="287" w:right="4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3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retirement savings through our 401(k) plan adds to the overall desirability of our executive compensation package and further incentivizes our employees, including our NEOs, in accordance with our compensation policies.</w:t>
      </w:r>
    </w:p>
    <w:p>
      <w:pPr>
        <w:spacing w:after="0" w:line="4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2018, we reimbursed Dr. Pomerantz’s expenses incurred for travel between his current residence and our headquarters in Cambridge, Massachusetts and lodging near Cambridge, Massachusetts when performing services for us, as well as for taxes related to the reimbursements. We did not otherwise provide any perquisites or special personal benefits to our NEOs.</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2018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8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1300" w:type="dxa"/>
            <w:vAlign w:val="bottom"/>
            <w:gridSpan w:val="3"/>
            <w:shd w:val="clear" w:color="auto" w:fill="D8D8D8"/>
          </w:tcPr>
          <w:p>
            <w:pPr>
              <w:ind w:left="280"/>
              <w:spacing w:after="0"/>
              <w:rPr>
                <w:sz w:val="20"/>
                <w:szCs w:val="20"/>
                <w:color w:val="auto"/>
              </w:rPr>
            </w:pPr>
            <w:r>
              <w:rPr>
                <w:rFonts w:ascii="Arial" w:cs="Arial" w:eastAsia="Arial" w:hAnsi="Arial"/>
                <w:sz w:val="14"/>
                <w:szCs w:val="14"/>
                <w:b w:val="1"/>
                <w:bCs w:val="1"/>
                <w:color w:val="auto"/>
              </w:rPr>
              <w:t>Option Awards</w:t>
            </w:r>
          </w:p>
        </w:tc>
        <w:tc>
          <w:tcPr>
            <w:tcW w:w="40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1800" w:type="dxa"/>
            <w:vAlign w:val="bottom"/>
            <w:gridSpan w:val="4"/>
            <w:shd w:val="clear" w:color="auto" w:fill="D8D8D8"/>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780" w:type="dxa"/>
            <w:vAlign w:val="bottom"/>
            <w:tcBorders>
              <w:top w:val="single" w:sz="8" w:color="D8D8D8"/>
            </w:tcBorders>
            <w:shd w:val="clear" w:color="auto" w:fill="D8D8D8"/>
          </w:tcPr>
          <w:p>
            <w:pPr>
              <w:spacing w:after="0"/>
              <w:rPr>
                <w:sz w:val="10"/>
                <w:szCs w:val="10"/>
                <w:color w:val="auto"/>
              </w:rPr>
            </w:pPr>
          </w:p>
        </w:tc>
        <w:tc>
          <w:tcPr>
            <w:tcW w:w="180" w:type="dxa"/>
            <w:vAlign w:val="bottom"/>
            <w:tcBorders>
              <w:top w:val="single" w:sz="8" w:color="D8D8D8"/>
            </w:tcBorders>
            <w:shd w:val="clear" w:color="auto" w:fill="D8D8D8"/>
          </w:tcPr>
          <w:p>
            <w:pPr>
              <w:spacing w:after="0"/>
              <w:rPr>
                <w:sz w:val="10"/>
                <w:szCs w:val="10"/>
                <w:color w:val="auto"/>
              </w:rPr>
            </w:pPr>
          </w:p>
        </w:tc>
        <w:tc>
          <w:tcPr>
            <w:tcW w:w="1060" w:type="dxa"/>
            <w:vAlign w:val="bottom"/>
            <w:tcBorders>
              <w:top w:val="single" w:sz="8" w:color="D8D8D8"/>
            </w:tcBorders>
            <w:shd w:val="clear" w:color="auto" w:fill="D8D8D8"/>
          </w:tcPr>
          <w:p>
            <w:pPr>
              <w:spacing w:after="0"/>
              <w:rPr>
                <w:sz w:val="10"/>
                <w:szCs w:val="10"/>
                <w:color w:val="auto"/>
              </w:rPr>
            </w:pPr>
          </w:p>
        </w:tc>
        <w:tc>
          <w:tcPr>
            <w:tcW w:w="240" w:type="dxa"/>
            <w:vAlign w:val="bottom"/>
            <w:tcBorders>
              <w:top w:val="single" w:sz="8" w:color="D8D8D8"/>
            </w:tcBorders>
            <w:shd w:val="clear" w:color="auto" w:fill="D8D8D8"/>
          </w:tcPr>
          <w:p>
            <w:pPr>
              <w:spacing w:after="0"/>
              <w:rPr>
                <w:sz w:val="10"/>
                <w:szCs w:val="10"/>
                <w:color w:val="auto"/>
              </w:rPr>
            </w:pPr>
          </w:p>
        </w:tc>
        <w:tc>
          <w:tcPr>
            <w:tcW w:w="140" w:type="dxa"/>
            <w:vAlign w:val="bottom"/>
            <w:tcBorders>
              <w:top w:val="single" w:sz="8" w:color="D8D8D8"/>
            </w:tcBorders>
            <w:shd w:val="clear" w:color="auto" w:fill="D8D8D8"/>
          </w:tcPr>
          <w:p>
            <w:pPr>
              <w:spacing w:after="0"/>
              <w:rPr>
                <w:sz w:val="10"/>
                <w:szCs w:val="10"/>
                <w:color w:val="auto"/>
              </w:rPr>
            </w:pPr>
          </w:p>
        </w:tc>
        <w:tc>
          <w:tcPr>
            <w:tcW w:w="780" w:type="dxa"/>
            <w:vAlign w:val="bottom"/>
            <w:tcBorders>
              <w:top w:val="single" w:sz="8" w:color="auto"/>
            </w:tcBorders>
            <w:shd w:val="clear" w:color="auto" w:fill="D8D8D8"/>
          </w:tcPr>
          <w:p>
            <w:pPr>
              <w:spacing w:after="0"/>
              <w:rPr>
                <w:sz w:val="10"/>
                <w:szCs w:val="10"/>
                <w:color w:val="auto"/>
              </w:rPr>
            </w:pPr>
          </w:p>
        </w:tc>
        <w:tc>
          <w:tcPr>
            <w:tcW w:w="240" w:type="dxa"/>
            <w:vAlign w:val="bottom"/>
            <w:tcBorders>
              <w:top w:val="single" w:sz="8" w:color="auto"/>
            </w:tcBorders>
            <w:shd w:val="clear" w:color="auto" w:fill="D8D8D8"/>
          </w:tcPr>
          <w:p>
            <w:pPr>
              <w:spacing w:after="0"/>
              <w:rPr>
                <w:sz w:val="10"/>
                <w:szCs w:val="10"/>
                <w:color w:val="auto"/>
              </w:rPr>
            </w:pPr>
          </w:p>
        </w:tc>
        <w:tc>
          <w:tcPr>
            <w:tcW w:w="920" w:type="dxa"/>
            <w:vAlign w:val="bottom"/>
            <w:tcBorders>
              <w:top w:val="single" w:sz="8" w:color="auto"/>
            </w:tcBorders>
            <w:shd w:val="clear" w:color="auto" w:fill="D8D8D8"/>
          </w:tcPr>
          <w:p>
            <w:pPr>
              <w:spacing w:after="0"/>
              <w:rPr>
                <w:sz w:val="10"/>
                <w:szCs w:val="10"/>
                <w:color w:val="auto"/>
              </w:rPr>
            </w:pPr>
          </w:p>
        </w:tc>
        <w:tc>
          <w:tcPr>
            <w:tcW w:w="220" w:type="dxa"/>
            <w:vAlign w:val="bottom"/>
            <w:tcBorders>
              <w:top w:val="single" w:sz="8" w:color="auto"/>
            </w:tcBorders>
            <w:shd w:val="clear" w:color="auto" w:fill="D8D8D8"/>
          </w:tcPr>
          <w:p>
            <w:pPr>
              <w:spacing w:after="0"/>
              <w:rPr>
                <w:sz w:val="10"/>
                <w:szCs w:val="10"/>
                <w:color w:val="auto"/>
              </w:rPr>
            </w:pPr>
          </w:p>
        </w:tc>
        <w:tc>
          <w:tcPr>
            <w:tcW w:w="160" w:type="dxa"/>
            <w:vAlign w:val="bottom"/>
            <w:tcBorders>
              <w:top w:val="single" w:sz="8" w:color="auto"/>
            </w:tcBorders>
            <w:shd w:val="clear" w:color="auto" w:fill="D8D8D8"/>
          </w:tcPr>
          <w:p>
            <w:pPr>
              <w:spacing w:after="0"/>
              <w:rPr>
                <w:sz w:val="10"/>
                <w:szCs w:val="10"/>
                <w:color w:val="auto"/>
              </w:rPr>
            </w:pPr>
          </w:p>
        </w:tc>
        <w:tc>
          <w:tcPr>
            <w:tcW w:w="400" w:type="dxa"/>
            <w:vAlign w:val="bottom"/>
            <w:tcBorders>
              <w:top w:val="single" w:sz="8" w:color="auto"/>
            </w:tcBorders>
            <w:shd w:val="clear" w:color="auto" w:fill="D8D8D8"/>
          </w:tcPr>
          <w:p>
            <w:pPr>
              <w:spacing w:after="0"/>
              <w:rPr>
                <w:sz w:val="10"/>
                <w:szCs w:val="10"/>
                <w:color w:val="auto"/>
              </w:rPr>
            </w:pPr>
          </w:p>
        </w:tc>
        <w:tc>
          <w:tcPr>
            <w:tcW w:w="240" w:type="dxa"/>
            <w:vAlign w:val="bottom"/>
            <w:tcBorders>
              <w:top w:val="single" w:sz="8" w:color="auto"/>
            </w:tcBorders>
            <w:shd w:val="clear" w:color="auto" w:fill="D8D8D8"/>
          </w:tcPr>
          <w:p>
            <w:pPr>
              <w:spacing w:after="0"/>
              <w:rPr>
                <w:sz w:val="10"/>
                <w:szCs w:val="10"/>
                <w:color w:val="auto"/>
              </w:rPr>
            </w:pPr>
          </w:p>
        </w:tc>
        <w:tc>
          <w:tcPr>
            <w:tcW w:w="640" w:type="dxa"/>
            <w:vAlign w:val="bottom"/>
            <w:tcBorders>
              <w:top w:val="single" w:sz="8" w:color="auto"/>
            </w:tcBorders>
            <w:shd w:val="clear" w:color="auto" w:fill="D8D8D8"/>
          </w:tcPr>
          <w:p>
            <w:pPr>
              <w:spacing w:after="0"/>
              <w:rPr>
                <w:sz w:val="10"/>
                <w:szCs w:val="10"/>
                <w:color w:val="auto"/>
              </w:rPr>
            </w:pPr>
          </w:p>
        </w:tc>
        <w:tc>
          <w:tcPr>
            <w:tcW w:w="220" w:type="dxa"/>
            <w:vAlign w:val="bottom"/>
            <w:tcBorders>
              <w:top w:val="single" w:sz="8" w:color="D8D8D8"/>
            </w:tcBorders>
            <w:shd w:val="clear" w:color="auto" w:fill="D8D8D8"/>
          </w:tcPr>
          <w:p>
            <w:pPr>
              <w:spacing w:after="0"/>
              <w:rPr>
                <w:sz w:val="10"/>
                <w:szCs w:val="10"/>
                <w:color w:val="auto"/>
              </w:rPr>
            </w:pPr>
          </w:p>
        </w:tc>
        <w:tc>
          <w:tcPr>
            <w:tcW w:w="700" w:type="dxa"/>
            <w:vAlign w:val="bottom"/>
            <w:tcBorders>
              <w:top w:val="single" w:sz="8" w:color="auto"/>
            </w:tcBorders>
            <w:shd w:val="clear" w:color="auto" w:fill="D8D8D8"/>
          </w:tcPr>
          <w:p>
            <w:pPr>
              <w:jc w:val="center"/>
              <w:spacing w:after="0" w:line="125" w:lineRule="exact"/>
              <w:rPr>
                <w:sz w:val="20"/>
                <w:szCs w:val="20"/>
                <w:color w:val="auto"/>
              </w:rPr>
            </w:pPr>
            <w:r>
              <w:rPr>
                <w:rFonts w:ascii="Arial" w:cs="Arial" w:eastAsia="Arial" w:hAnsi="Arial"/>
                <w:sz w:val="14"/>
                <w:szCs w:val="14"/>
                <w:b w:val="1"/>
                <w:bCs w:val="1"/>
                <w:color w:val="auto"/>
                <w:w w:val="94"/>
              </w:rPr>
              <w:t>Number</w:t>
            </w:r>
          </w:p>
        </w:tc>
        <w:tc>
          <w:tcPr>
            <w:tcW w:w="900" w:type="dxa"/>
            <w:vAlign w:val="bottom"/>
            <w:tcBorders>
              <w:top w:val="single" w:sz="8" w:color="auto"/>
            </w:tcBorders>
            <w:gridSpan w:val="2"/>
            <w:shd w:val="clear" w:color="auto" w:fill="D8D8D8"/>
          </w:tcPr>
          <w:p>
            <w:pPr>
              <w:jc w:val="center"/>
              <w:ind w:left="12"/>
              <w:spacing w:after="0" w:line="125" w:lineRule="exact"/>
              <w:rPr>
                <w:sz w:val="20"/>
                <w:szCs w:val="20"/>
                <w:color w:val="auto"/>
              </w:rPr>
            </w:pPr>
            <w:r>
              <w:rPr>
                <w:rFonts w:ascii="Arial" w:cs="Arial" w:eastAsia="Arial" w:hAnsi="Arial"/>
                <w:sz w:val="14"/>
                <w:szCs w:val="14"/>
                <w:b w:val="1"/>
                <w:bCs w:val="1"/>
                <w:color w:val="auto"/>
                <w:w w:val="96"/>
              </w:rPr>
              <w:t>Market value</w:t>
            </w:r>
          </w:p>
        </w:tc>
        <w:tc>
          <w:tcPr>
            <w:tcW w:w="200" w:type="dxa"/>
            <w:vAlign w:val="bottom"/>
            <w:tcBorders>
              <w:top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06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7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of shares</w:t>
            </w:r>
          </w:p>
        </w:tc>
        <w:tc>
          <w:tcPr>
            <w:tcW w:w="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of shares</w:t>
            </w: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06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7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securities</w:t>
            </w:r>
          </w:p>
        </w:tc>
        <w:tc>
          <w:tcPr>
            <w:tcW w:w="24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securities</w:t>
            </w:r>
          </w:p>
        </w:tc>
        <w:tc>
          <w:tcPr>
            <w:tcW w:w="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or units</w:t>
            </w:r>
          </w:p>
        </w:tc>
        <w:tc>
          <w:tcPr>
            <w:tcW w:w="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or units of</w:t>
            </w: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06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7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24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underlying</w:t>
            </w:r>
          </w:p>
        </w:tc>
        <w:tc>
          <w:tcPr>
            <w:tcW w:w="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of stock</w:t>
            </w:r>
          </w:p>
        </w:tc>
        <w:tc>
          <w:tcPr>
            <w:tcW w:w="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stock that</w:t>
            </w: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300" w:type="dxa"/>
            <w:vAlign w:val="bottom"/>
            <w:gridSpan w:val="2"/>
            <w:shd w:val="clear" w:color="auto" w:fill="D8D8D8"/>
          </w:tcPr>
          <w:p>
            <w:pPr>
              <w:jc w:val="center"/>
              <w:ind w:right="203"/>
              <w:spacing w:after="0" w:line="149" w:lineRule="exact"/>
              <w:rPr>
                <w:sz w:val="20"/>
                <w:szCs w:val="20"/>
                <w:color w:val="auto"/>
              </w:rPr>
            </w:pPr>
            <w:r>
              <w:rPr>
                <w:rFonts w:ascii="Arial" w:cs="Arial" w:eastAsia="Arial" w:hAnsi="Arial"/>
                <w:sz w:val="14"/>
                <w:szCs w:val="14"/>
                <w:b w:val="1"/>
                <w:bCs w:val="1"/>
                <w:color w:val="auto"/>
                <w:w w:val="94"/>
              </w:rPr>
              <w:t>Vesting</w:t>
            </w:r>
          </w:p>
        </w:tc>
        <w:tc>
          <w:tcPr>
            <w:tcW w:w="920" w:type="dxa"/>
            <w:vAlign w:val="bottom"/>
            <w:gridSpan w:val="2"/>
            <w:shd w:val="clear" w:color="auto" w:fill="D8D8D8"/>
          </w:tcPr>
          <w:p>
            <w:pPr>
              <w:jc w:val="center"/>
              <w:ind w:left="72"/>
              <w:spacing w:after="0" w:line="149" w:lineRule="exact"/>
              <w:rPr>
                <w:sz w:val="20"/>
                <w:szCs w:val="20"/>
                <w:color w:val="auto"/>
              </w:rPr>
            </w:pPr>
            <w:r>
              <w:rPr>
                <w:rFonts w:ascii="Arial" w:cs="Arial" w:eastAsia="Arial" w:hAnsi="Arial"/>
                <w:sz w:val="14"/>
                <w:szCs w:val="14"/>
                <w:b w:val="1"/>
                <w:bCs w:val="1"/>
                <w:color w:val="auto"/>
                <w:w w:val="95"/>
              </w:rPr>
              <w:t>unexercised</w:t>
            </w:r>
          </w:p>
        </w:tc>
        <w:tc>
          <w:tcPr>
            <w:tcW w:w="24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unexercised</w:t>
            </w:r>
          </w:p>
        </w:tc>
        <w:tc>
          <w:tcPr>
            <w:tcW w:w="220" w:type="dxa"/>
            <w:vAlign w:val="bottom"/>
            <w:shd w:val="clear" w:color="auto" w:fill="D8D8D8"/>
          </w:tcPr>
          <w:p>
            <w:pPr>
              <w:spacing w:after="0"/>
              <w:rPr>
                <w:sz w:val="12"/>
                <w:szCs w:val="12"/>
                <w:color w:val="auto"/>
              </w:rPr>
            </w:pPr>
          </w:p>
        </w:tc>
        <w:tc>
          <w:tcPr>
            <w:tcW w:w="5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24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7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that have</w:t>
            </w:r>
          </w:p>
        </w:tc>
        <w:tc>
          <w:tcPr>
            <w:tcW w:w="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have not</w:t>
            </w:r>
          </w:p>
        </w:tc>
        <w:tc>
          <w:tcPr>
            <w:tcW w:w="0" w:type="dxa"/>
            <w:vAlign w:val="bottom"/>
          </w:tcPr>
          <w:p>
            <w:pPr>
              <w:spacing w:after="0"/>
              <w:rPr>
                <w:sz w:val="1"/>
                <w:szCs w:val="1"/>
                <w:color w:val="auto"/>
              </w:rPr>
            </w:pPr>
          </w:p>
        </w:tc>
      </w:tr>
      <w:tr>
        <w:trPr>
          <w:trHeight w:val="149"/>
        </w:trPr>
        <w:tc>
          <w:tcPr>
            <w:tcW w:w="3780" w:type="dxa"/>
            <w:vAlign w:val="bottom"/>
            <w:vMerge w:val="restart"/>
            <w:shd w:val="clear" w:color="auto" w:fill="D8D8D8"/>
          </w:tcPr>
          <w:p>
            <w:pPr>
              <w:ind w:left="60"/>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3"/>
            <w:shd w:val="clear" w:color="auto" w:fill="D8D8D8"/>
          </w:tcPr>
          <w:p>
            <w:pPr>
              <w:jc w:val="center"/>
              <w:ind w:right="23"/>
              <w:spacing w:after="0" w:line="149" w:lineRule="exact"/>
              <w:rPr>
                <w:sz w:val="20"/>
                <w:szCs w:val="20"/>
                <w:color w:val="auto"/>
              </w:rPr>
            </w:pPr>
            <w:r>
              <w:rPr>
                <w:rFonts w:ascii="Arial" w:cs="Arial" w:eastAsia="Arial" w:hAnsi="Arial"/>
                <w:sz w:val="14"/>
                <w:szCs w:val="14"/>
                <w:b w:val="1"/>
                <w:bCs w:val="1"/>
                <w:color w:val="auto"/>
                <w:w w:val="95"/>
              </w:rPr>
              <w:t>Commencement</w:t>
            </w:r>
          </w:p>
        </w:tc>
        <w:tc>
          <w:tcPr>
            <w:tcW w:w="140" w:type="dxa"/>
            <w:vAlign w:val="bottom"/>
            <w:shd w:val="clear" w:color="auto" w:fill="D8D8D8"/>
          </w:tcPr>
          <w:p>
            <w:pPr>
              <w:spacing w:after="0"/>
              <w:rPr>
                <w:sz w:val="12"/>
                <w:szCs w:val="12"/>
                <w:color w:val="auto"/>
              </w:rPr>
            </w:pPr>
          </w:p>
        </w:tc>
        <w:tc>
          <w:tcPr>
            <w:tcW w:w="7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options (#):</w:t>
            </w:r>
          </w:p>
        </w:tc>
        <w:tc>
          <w:tcPr>
            <w:tcW w:w="24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options (#):</w:t>
            </w:r>
          </w:p>
        </w:tc>
        <w:tc>
          <w:tcPr>
            <w:tcW w:w="780" w:type="dxa"/>
            <w:vAlign w:val="bottom"/>
            <w:gridSpan w:val="3"/>
            <w:shd w:val="clear" w:color="auto" w:fill="D8D8D8"/>
          </w:tcPr>
          <w:p>
            <w:pPr>
              <w:ind w:left="220"/>
              <w:spacing w:after="0" w:line="149" w:lineRule="exact"/>
              <w:rPr>
                <w:sz w:val="20"/>
                <w:szCs w:val="20"/>
                <w:color w:val="auto"/>
              </w:rPr>
            </w:pPr>
            <w:r>
              <w:rPr>
                <w:rFonts w:ascii="Arial" w:cs="Arial" w:eastAsia="Arial" w:hAnsi="Arial"/>
                <w:sz w:val="14"/>
                <w:szCs w:val="14"/>
                <w:b w:val="1"/>
                <w:bCs w:val="1"/>
                <w:color w:val="auto"/>
                <w:w w:val="96"/>
              </w:rPr>
              <w:t>exercise</w:t>
            </w:r>
          </w:p>
        </w:tc>
        <w:tc>
          <w:tcPr>
            <w:tcW w:w="1100" w:type="dxa"/>
            <w:vAlign w:val="bottom"/>
            <w:gridSpan w:val="3"/>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8"/>
              </w:rPr>
              <w:t>expiration</w:t>
            </w:r>
          </w:p>
        </w:tc>
        <w:tc>
          <w:tcPr>
            <w:tcW w:w="7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not vested</w:t>
            </w:r>
          </w:p>
        </w:tc>
        <w:tc>
          <w:tcPr>
            <w:tcW w:w="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vested</w:t>
            </w:r>
          </w:p>
        </w:tc>
        <w:tc>
          <w:tcPr>
            <w:tcW w:w="0" w:type="dxa"/>
            <w:vAlign w:val="bottom"/>
          </w:tcPr>
          <w:p>
            <w:pPr>
              <w:spacing w:after="0"/>
              <w:rPr>
                <w:sz w:val="1"/>
                <w:szCs w:val="1"/>
                <w:color w:val="auto"/>
              </w:rPr>
            </w:pPr>
          </w:p>
        </w:tc>
      </w:tr>
      <w:tr>
        <w:trPr>
          <w:trHeight w:val="165"/>
        </w:trPr>
        <w:tc>
          <w:tcPr>
            <w:tcW w:w="3780" w:type="dxa"/>
            <w:vAlign w:val="bottom"/>
            <w:vMerge w:val="continue"/>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300" w:type="dxa"/>
            <w:vAlign w:val="bottom"/>
            <w:gridSpan w:val="2"/>
            <w:shd w:val="clear" w:color="auto" w:fill="D8D8D8"/>
          </w:tcPr>
          <w:p>
            <w:pPr>
              <w:jc w:val="center"/>
              <w:ind w:right="203"/>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shd w:val="clear" w:color="auto" w:fill="D8D8D8"/>
          </w:tcPr>
          <w:p>
            <w:pPr>
              <w:spacing w:after="0"/>
              <w:rPr>
                <w:sz w:val="14"/>
                <w:szCs w:val="14"/>
                <w:color w:val="auto"/>
              </w:rPr>
            </w:pPr>
          </w:p>
        </w:tc>
        <w:tc>
          <w:tcPr>
            <w:tcW w:w="78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exercisable</w:t>
            </w:r>
          </w:p>
        </w:tc>
        <w:tc>
          <w:tcPr>
            <w:tcW w:w="1160" w:type="dxa"/>
            <w:vAlign w:val="bottom"/>
            <w:gridSpan w:val="2"/>
            <w:shd w:val="clear" w:color="auto" w:fill="D8D8D8"/>
          </w:tcPr>
          <w:p>
            <w:pPr>
              <w:jc w:val="center"/>
              <w:ind w:left="152"/>
              <w:spacing w:after="0"/>
              <w:rPr>
                <w:sz w:val="20"/>
                <w:szCs w:val="20"/>
                <w:color w:val="auto"/>
              </w:rPr>
            </w:pPr>
            <w:r>
              <w:rPr>
                <w:rFonts w:ascii="Arial" w:cs="Arial" w:eastAsia="Arial" w:hAnsi="Arial"/>
                <w:sz w:val="14"/>
                <w:szCs w:val="14"/>
                <w:b w:val="1"/>
                <w:bCs w:val="1"/>
                <w:color w:val="auto"/>
                <w:w w:val="94"/>
              </w:rPr>
              <w:t>Unexercisable</w:t>
            </w:r>
          </w:p>
        </w:tc>
        <w:tc>
          <w:tcPr>
            <w:tcW w:w="220" w:type="dxa"/>
            <w:vAlign w:val="bottom"/>
            <w:shd w:val="clear" w:color="auto" w:fill="D8D8D8"/>
          </w:tcPr>
          <w:p>
            <w:pPr>
              <w:spacing w:after="0"/>
              <w:rPr>
                <w:sz w:val="14"/>
                <w:szCs w:val="14"/>
                <w:color w:val="auto"/>
              </w:rPr>
            </w:pPr>
          </w:p>
        </w:tc>
        <w:tc>
          <w:tcPr>
            <w:tcW w:w="560" w:type="dxa"/>
            <w:vAlign w:val="bottom"/>
            <w:gridSpan w:val="2"/>
            <w:shd w:val="clear" w:color="auto" w:fill="D8D8D8"/>
          </w:tcPr>
          <w:p>
            <w:pPr>
              <w:ind w:left="20"/>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240" w:type="dxa"/>
            <w:vAlign w:val="bottom"/>
            <w:shd w:val="clear" w:color="auto" w:fill="D8D8D8"/>
          </w:tcPr>
          <w:p>
            <w:pPr>
              <w:spacing w:after="0"/>
              <w:rPr>
                <w:sz w:val="14"/>
                <w:szCs w:val="14"/>
                <w:color w:val="auto"/>
              </w:rPr>
            </w:pPr>
          </w:p>
        </w:tc>
        <w:tc>
          <w:tcPr>
            <w:tcW w:w="860" w:type="dxa"/>
            <w:vAlign w:val="bottom"/>
            <w:gridSpan w:val="2"/>
            <w:shd w:val="clear" w:color="auto" w:fill="D8D8D8"/>
          </w:tcPr>
          <w:p>
            <w:pPr>
              <w:jc w:val="center"/>
              <w:ind w:right="260"/>
              <w:spacing w:after="0"/>
              <w:rPr>
                <w:sz w:val="20"/>
                <w:szCs w:val="20"/>
                <w:color w:val="auto"/>
              </w:rPr>
            </w:pPr>
            <w:r>
              <w:rPr>
                <w:rFonts w:ascii="Arial" w:cs="Arial" w:eastAsia="Arial" w:hAnsi="Arial"/>
                <w:sz w:val="14"/>
                <w:szCs w:val="14"/>
                <w:b w:val="1"/>
                <w:bCs w:val="1"/>
                <w:color w:val="auto"/>
                <w:w w:val="97"/>
              </w:rPr>
              <w:t>date</w:t>
            </w:r>
          </w:p>
        </w:tc>
        <w:tc>
          <w:tcPr>
            <w:tcW w:w="70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shd w:val="clear" w:color="auto" w:fill="D8D8D8"/>
          </w:tcPr>
          <w:p>
            <w:pPr>
              <w:ind w:left="4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80" w:type="dxa"/>
            <w:vAlign w:val="bottom"/>
            <w:tcBorders>
              <w:top w:val="single" w:sz="8" w:color="auto"/>
            </w:tcBorders>
          </w:tcPr>
          <w:p>
            <w:pPr>
              <w:ind w:left="60"/>
              <w:spacing w:after="0" w:line="141" w:lineRule="exact"/>
              <w:rPr>
                <w:sz w:val="20"/>
                <w:szCs w:val="20"/>
                <w:color w:val="auto"/>
              </w:rPr>
            </w:pPr>
            <w:r>
              <w:rPr>
                <w:rFonts w:ascii="Arial" w:cs="Arial" w:eastAsia="Arial" w:hAnsi="Arial"/>
                <w:sz w:val="14"/>
                <w:szCs w:val="14"/>
                <w:color w:val="auto"/>
              </w:rPr>
              <w:t>Roger J. Pomerantz, M.D.</w:t>
            </w:r>
          </w:p>
        </w:tc>
        <w:tc>
          <w:tcPr>
            <w:tcW w:w="180" w:type="dxa"/>
            <w:vAlign w:val="bottom"/>
          </w:tcPr>
          <w:p>
            <w:pPr>
              <w:spacing w:after="0"/>
              <w:rPr>
                <w:sz w:val="12"/>
                <w:szCs w:val="12"/>
                <w:color w:val="auto"/>
              </w:rPr>
            </w:pPr>
          </w:p>
        </w:tc>
        <w:tc>
          <w:tcPr>
            <w:tcW w:w="10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1/30/2018</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w w:val="74"/>
              </w:rPr>
              <w:t>(1)</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278,000</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10.42</w:t>
            </w:r>
          </w:p>
        </w:tc>
        <w:tc>
          <w:tcPr>
            <w:tcW w:w="240" w:type="dxa"/>
            <w:vAlign w:val="bottom"/>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9"/>
              </w:rPr>
              <w:t>1/29/2028</w:t>
            </w: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114,187</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146,813</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1/25/2027</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2/1/2016</w:t>
            </w:r>
            <w:r>
              <w:rPr>
                <w:rFonts w:ascii="Arial" w:cs="Arial" w:eastAsia="Arial" w:hAnsi="Arial"/>
                <w:sz w:val="11"/>
                <w:szCs w:val="11"/>
                <w:color w:val="auto"/>
              </w:rPr>
              <w:t>(1)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121,343</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55,157</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26.20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1/31/2026</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6/1/2014</w:t>
            </w:r>
            <w:r>
              <w:rPr>
                <w:rFonts w:ascii="Arial" w:cs="Arial" w:eastAsia="Arial" w:hAnsi="Arial"/>
                <w:sz w:val="11"/>
                <w:szCs w:val="11"/>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797,536</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0.71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8/6/2024</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9/9/2013</w:t>
            </w:r>
            <w:r>
              <w:rPr>
                <w:rFonts w:ascii="Arial" w:cs="Arial" w:eastAsia="Arial" w:hAnsi="Arial"/>
                <w:sz w:val="11"/>
                <w:szCs w:val="11"/>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0.48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11/5/2023</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D8D8D8"/>
          </w:tcPr>
          <w:p>
            <w:pPr>
              <w:ind w:left="60"/>
              <w:spacing w:after="0" w:line="148" w:lineRule="exact"/>
              <w:rPr>
                <w:sz w:val="20"/>
                <w:szCs w:val="20"/>
                <w:color w:val="auto"/>
              </w:rPr>
            </w:pPr>
            <w:r>
              <w:rPr>
                <w:rFonts w:ascii="Arial" w:cs="Arial" w:eastAsia="Arial" w:hAnsi="Arial"/>
                <w:sz w:val="14"/>
                <w:szCs w:val="14"/>
                <w:color w:val="auto"/>
              </w:rPr>
              <w:t>Thomas J. DesRosier</w:t>
            </w:r>
          </w:p>
        </w:tc>
        <w:tc>
          <w:tcPr>
            <w:tcW w:w="1480" w:type="dxa"/>
            <w:vAlign w:val="bottom"/>
            <w:gridSpan w:val="3"/>
            <w:shd w:val="clear" w:color="auto" w:fill="D8D8D8"/>
          </w:tcPr>
          <w:p>
            <w:pPr>
              <w:jc w:val="right"/>
              <w:ind w:right="63"/>
              <w:spacing w:after="0" w:line="148" w:lineRule="exact"/>
              <w:rPr>
                <w:sz w:val="20"/>
                <w:szCs w:val="20"/>
                <w:color w:val="auto"/>
              </w:rPr>
            </w:pPr>
            <w:r>
              <w:rPr>
                <w:rFonts w:ascii="Arial" w:cs="Arial" w:eastAsia="Arial" w:hAnsi="Arial"/>
                <w:sz w:val="14"/>
                <w:szCs w:val="14"/>
                <w:color w:val="auto"/>
              </w:rPr>
              <w:t>1/30/2018</w:t>
            </w:r>
            <w:r>
              <w:rPr>
                <w:rFonts w:ascii="Arial" w:cs="Arial" w:eastAsia="Arial" w:hAnsi="Arial"/>
                <w:sz w:val="11"/>
                <w:szCs w:val="11"/>
                <w:color w:val="auto"/>
              </w:rPr>
              <w:t>(1)</w:t>
            </w:r>
          </w:p>
        </w:tc>
        <w:tc>
          <w:tcPr>
            <w:tcW w:w="920" w:type="dxa"/>
            <w:vAlign w:val="bottom"/>
            <w:gridSpan w:val="2"/>
            <w:shd w:val="clear" w:color="auto" w:fill="D8D8D8"/>
          </w:tcPr>
          <w:p>
            <w:pPr>
              <w:jc w:val="right"/>
              <w:spacing w:after="0" w:line="148"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D8D8D8"/>
          </w:tcPr>
          <w:p>
            <w:pPr>
              <w:jc w:val="right"/>
              <w:spacing w:after="0" w:line="148" w:lineRule="exact"/>
              <w:rPr>
                <w:sz w:val="20"/>
                <w:szCs w:val="20"/>
                <w:color w:val="auto"/>
              </w:rPr>
            </w:pPr>
            <w:r>
              <w:rPr>
                <w:rFonts w:ascii="Arial" w:cs="Arial" w:eastAsia="Arial" w:hAnsi="Arial"/>
                <w:sz w:val="14"/>
                <w:szCs w:val="14"/>
                <w:color w:val="auto"/>
              </w:rPr>
              <w:t>80,000</w:t>
            </w:r>
          </w:p>
        </w:tc>
        <w:tc>
          <w:tcPr>
            <w:tcW w:w="380" w:type="dxa"/>
            <w:vAlign w:val="bottom"/>
            <w:gridSpan w:val="2"/>
            <w:shd w:val="clear" w:color="auto" w:fill="D8D8D8"/>
          </w:tcPr>
          <w:p>
            <w:pPr>
              <w:ind w:left="220"/>
              <w:spacing w:after="0" w:line="148" w:lineRule="exact"/>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jc w:val="right"/>
              <w:spacing w:after="0" w:line="148" w:lineRule="exact"/>
              <w:rPr>
                <w:sz w:val="20"/>
                <w:szCs w:val="20"/>
                <w:color w:val="auto"/>
              </w:rPr>
            </w:pPr>
            <w:r>
              <w:rPr>
                <w:rFonts w:ascii="Arial" w:cs="Arial" w:eastAsia="Arial" w:hAnsi="Arial"/>
                <w:sz w:val="14"/>
                <w:szCs w:val="14"/>
                <w:color w:val="auto"/>
              </w:rPr>
              <w:t>10.42</w:t>
            </w:r>
          </w:p>
        </w:tc>
        <w:tc>
          <w:tcPr>
            <w:tcW w:w="880" w:type="dxa"/>
            <w:vAlign w:val="bottom"/>
            <w:gridSpan w:val="2"/>
            <w:shd w:val="clear" w:color="auto" w:fill="D8D8D8"/>
          </w:tcPr>
          <w:p>
            <w:pPr>
              <w:jc w:val="right"/>
              <w:spacing w:after="0" w:line="148" w:lineRule="exact"/>
              <w:rPr>
                <w:sz w:val="20"/>
                <w:szCs w:val="20"/>
                <w:color w:val="auto"/>
              </w:rPr>
            </w:pPr>
            <w:r>
              <w:rPr>
                <w:rFonts w:ascii="Arial" w:cs="Arial" w:eastAsia="Arial" w:hAnsi="Arial"/>
                <w:sz w:val="14"/>
                <w:szCs w:val="14"/>
                <w:color w:val="auto"/>
              </w:rPr>
              <w:t>1/29/2028</w:t>
            </w: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300" w:type="dxa"/>
            <w:vAlign w:val="bottom"/>
            <w:gridSpan w:val="2"/>
            <w:shd w:val="clear" w:color="auto" w:fill="D8D8D8"/>
          </w:tcPr>
          <w:p>
            <w:pPr>
              <w:jc w:val="right"/>
              <w:ind w:right="63"/>
              <w:spacing w:after="0" w:line="149" w:lineRule="exact"/>
              <w:rPr>
                <w:sz w:val="20"/>
                <w:szCs w:val="20"/>
                <w:color w:val="auto"/>
              </w:rPr>
            </w:pPr>
            <w:r>
              <w:rPr>
                <w:rFonts w:ascii="Arial" w:cs="Arial" w:eastAsia="Arial" w:hAnsi="Arial"/>
                <w:sz w:val="14"/>
                <w:szCs w:val="14"/>
                <w:color w:val="auto"/>
              </w:rPr>
              <w:t>1/30/2018</w:t>
            </w:r>
            <w:r>
              <w:rPr>
                <w:rFonts w:ascii="Arial" w:cs="Arial" w:eastAsia="Arial" w:hAnsi="Arial"/>
                <w:sz w:val="11"/>
                <w:szCs w:val="11"/>
                <w:color w:val="auto"/>
              </w:rPr>
              <w:t>(3)</w:t>
            </w:r>
          </w:p>
        </w:tc>
        <w:tc>
          <w:tcPr>
            <w:tcW w:w="92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100,000</w:t>
            </w:r>
          </w:p>
        </w:tc>
        <w:tc>
          <w:tcPr>
            <w:tcW w:w="38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10.42</w:t>
            </w:r>
          </w:p>
        </w:tc>
        <w:tc>
          <w:tcPr>
            <w:tcW w:w="88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1/29/2028</w:t>
            </w: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300" w:type="dxa"/>
            <w:vAlign w:val="bottom"/>
            <w:gridSpan w:val="2"/>
            <w:shd w:val="clear" w:color="auto" w:fill="D8D8D8"/>
          </w:tcPr>
          <w:p>
            <w:pPr>
              <w:jc w:val="right"/>
              <w:ind w:right="63"/>
              <w:spacing w:after="0" w:line="149"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(4)</w:t>
            </w:r>
          </w:p>
        </w:tc>
        <w:tc>
          <w:tcPr>
            <w:tcW w:w="14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9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40,000</w:t>
            </w:r>
          </w:p>
        </w:tc>
        <w:tc>
          <w:tcPr>
            <w:tcW w:w="900" w:type="dxa"/>
            <w:vAlign w:val="bottom"/>
            <w:gridSpan w:val="2"/>
            <w:shd w:val="clear" w:color="auto" w:fill="D8D8D8"/>
          </w:tcPr>
          <w:p>
            <w:pPr>
              <w:ind w:left="400"/>
              <w:spacing w:after="0" w:line="149" w:lineRule="exact"/>
              <w:rPr>
                <w:sz w:val="20"/>
                <w:szCs w:val="20"/>
                <w:color w:val="auto"/>
              </w:rPr>
            </w:pPr>
            <w:r>
              <w:rPr>
                <w:rFonts w:ascii="Arial" w:cs="Arial" w:eastAsia="Arial" w:hAnsi="Arial"/>
                <w:sz w:val="14"/>
                <w:szCs w:val="14"/>
                <w:color w:val="auto"/>
                <w:w w:val="94"/>
              </w:rPr>
              <w:t>180,800</w:t>
            </w: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06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1/26/2017</w:t>
            </w:r>
          </w:p>
        </w:tc>
        <w:tc>
          <w:tcPr>
            <w:tcW w:w="240" w:type="dxa"/>
            <w:vAlign w:val="bottom"/>
            <w:shd w:val="clear" w:color="auto" w:fill="D8D8D8"/>
          </w:tcPr>
          <w:p>
            <w:pPr>
              <w:jc w:val="right"/>
              <w:ind w:right="63"/>
              <w:spacing w:after="0"/>
              <w:rPr>
                <w:sz w:val="20"/>
                <w:szCs w:val="20"/>
                <w:color w:val="auto"/>
              </w:rPr>
            </w:pPr>
            <w:r>
              <w:rPr>
                <w:rFonts w:ascii="Arial" w:cs="Arial" w:eastAsia="Arial" w:hAnsi="Arial"/>
                <w:sz w:val="11"/>
                <w:szCs w:val="11"/>
                <w:color w:val="auto"/>
                <w:w w:val="74"/>
              </w:rPr>
              <w:t>(1)</w:t>
            </w:r>
          </w:p>
        </w:tc>
        <w:tc>
          <w:tcPr>
            <w:tcW w:w="92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26,250</w:t>
            </w:r>
          </w:p>
        </w:tc>
        <w:tc>
          <w:tcPr>
            <w:tcW w:w="11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33,750</w:t>
            </w:r>
          </w:p>
        </w:tc>
        <w:tc>
          <w:tcPr>
            <w:tcW w:w="38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9.89</w:t>
            </w:r>
          </w:p>
        </w:tc>
        <w:tc>
          <w:tcPr>
            <w:tcW w:w="88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1/25/2027</w:t>
            </w: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06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6/1/2016</w:t>
            </w:r>
          </w:p>
        </w:tc>
        <w:tc>
          <w:tcPr>
            <w:tcW w:w="240" w:type="dxa"/>
            <w:vAlign w:val="bottom"/>
            <w:shd w:val="clear" w:color="auto" w:fill="D8D8D8"/>
          </w:tcPr>
          <w:p>
            <w:pPr>
              <w:jc w:val="right"/>
              <w:ind w:right="63"/>
              <w:spacing w:after="0"/>
              <w:rPr>
                <w:sz w:val="20"/>
                <w:szCs w:val="20"/>
                <w:color w:val="auto"/>
              </w:rPr>
            </w:pPr>
            <w:r>
              <w:rPr>
                <w:rFonts w:ascii="Arial" w:cs="Arial" w:eastAsia="Arial" w:hAnsi="Arial"/>
                <w:sz w:val="11"/>
                <w:szCs w:val="11"/>
                <w:color w:val="auto"/>
                <w:w w:val="74"/>
              </w:rPr>
              <w:t>(1)</w:t>
            </w:r>
          </w:p>
        </w:tc>
        <w:tc>
          <w:tcPr>
            <w:tcW w:w="92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62,500</w:t>
            </w:r>
          </w:p>
        </w:tc>
        <w:tc>
          <w:tcPr>
            <w:tcW w:w="11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37,500</w:t>
            </w:r>
          </w:p>
        </w:tc>
        <w:tc>
          <w:tcPr>
            <w:tcW w:w="38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30.90</w:t>
            </w:r>
          </w:p>
        </w:tc>
        <w:tc>
          <w:tcPr>
            <w:tcW w:w="88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5/31/2026</w:t>
            </w:r>
          </w:p>
        </w:tc>
        <w:tc>
          <w:tcPr>
            <w:tcW w:w="22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60"/>
              <w:spacing w:after="0" w:line="148" w:lineRule="exact"/>
              <w:rPr>
                <w:sz w:val="20"/>
                <w:szCs w:val="20"/>
                <w:color w:val="auto"/>
              </w:rPr>
            </w:pPr>
            <w:r>
              <w:rPr>
                <w:rFonts w:ascii="Arial" w:cs="Arial" w:eastAsia="Arial" w:hAnsi="Arial"/>
                <w:sz w:val="14"/>
                <w:szCs w:val="14"/>
                <w:color w:val="auto"/>
              </w:rPr>
              <w:t>Eric D. Shaff</w:t>
            </w:r>
          </w:p>
        </w:tc>
        <w:tc>
          <w:tcPr>
            <w:tcW w:w="180" w:type="dxa"/>
            <w:vAlign w:val="bottom"/>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1/30/2018</w:t>
            </w:r>
          </w:p>
        </w:tc>
        <w:tc>
          <w:tcPr>
            <w:tcW w:w="240" w:type="dxa"/>
            <w:vAlign w:val="bottom"/>
          </w:tcPr>
          <w:p>
            <w:pPr>
              <w:jc w:val="right"/>
              <w:ind w:right="63"/>
              <w:spacing w:after="0"/>
              <w:rPr>
                <w:sz w:val="20"/>
                <w:szCs w:val="20"/>
                <w:color w:val="auto"/>
              </w:rPr>
            </w:pPr>
            <w:r>
              <w:rPr>
                <w:rFonts w:ascii="Arial" w:cs="Arial" w:eastAsia="Arial" w:hAnsi="Arial"/>
                <w:sz w:val="11"/>
                <w:szCs w:val="11"/>
                <w:color w:val="auto"/>
                <w:w w:val="74"/>
              </w:rPr>
              <w:t>(1)</w:t>
            </w:r>
          </w:p>
        </w:tc>
        <w:tc>
          <w:tcPr>
            <w:tcW w:w="9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120,000</w:t>
            </w:r>
          </w:p>
        </w:tc>
        <w:tc>
          <w:tcPr>
            <w:tcW w:w="380" w:type="dxa"/>
            <w:vAlign w:val="bottom"/>
            <w:gridSpan w:val="2"/>
          </w:tcPr>
          <w:p>
            <w:pPr>
              <w:ind w:left="220"/>
              <w:spacing w:after="0" w:line="148"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8" w:lineRule="exact"/>
              <w:rPr>
                <w:sz w:val="20"/>
                <w:szCs w:val="20"/>
                <w:color w:val="auto"/>
              </w:rPr>
            </w:pPr>
            <w:r>
              <w:rPr>
                <w:rFonts w:ascii="Arial" w:cs="Arial" w:eastAsia="Arial" w:hAnsi="Arial"/>
                <w:sz w:val="14"/>
                <w:szCs w:val="14"/>
                <w:color w:val="auto"/>
              </w:rPr>
              <w:t>10.42</w:t>
            </w:r>
          </w:p>
        </w:tc>
        <w:tc>
          <w:tcPr>
            <w:tcW w:w="8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1/29/2028</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45,937</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59,063</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1/25/2027</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32,000</w:t>
            </w: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94"/>
              </w:rPr>
              <w:t>144,640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2/1/2016</w:t>
            </w:r>
            <w:r>
              <w:rPr>
                <w:rFonts w:ascii="Arial" w:cs="Arial" w:eastAsia="Arial" w:hAnsi="Arial"/>
                <w:sz w:val="11"/>
                <w:szCs w:val="11"/>
                <w:color w:val="auto"/>
              </w:rPr>
              <w:t>(1)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53,968</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24,532</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26.20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1/31/2026</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gridSpan w:val="3"/>
          </w:tcPr>
          <w:p>
            <w:pPr>
              <w:jc w:val="right"/>
              <w:ind w:right="63"/>
              <w:spacing w:after="0" w:line="149" w:lineRule="exact"/>
              <w:rPr>
                <w:sz w:val="20"/>
                <w:szCs w:val="20"/>
                <w:color w:val="auto"/>
              </w:rPr>
            </w:pPr>
            <w:r>
              <w:rPr>
                <w:rFonts w:ascii="Arial" w:cs="Arial" w:eastAsia="Arial" w:hAnsi="Arial"/>
                <w:sz w:val="14"/>
                <w:szCs w:val="14"/>
                <w:color w:val="auto"/>
              </w:rPr>
              <w:t>6/26/2015</w:t>
            </w:r>
            <w:r>
              <w:rPr>
                <w:rFonts w:ascii="Arial" w:cs="Arial" w:eastAsia="Arial" w:hAnsi="Arial"/>
                <w:sz w:val="11"/>
                <w:szCs w:val="11"/>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93,750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6/25/2025</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80" w:type="dxa"/>
            <w:vAlign w:val="bottom"/>
            <w:gridSpan w:val="3"/>
          </w:tcPr>
          <w:p>
            <w:pPr>
              <w:jc w:val="right"/>
              <w:ind w:right="63"/>
              <w:spacing w:after="0"/>
              <w:rPr>
                <w:sz w:val="20"/>
                <w:szCs w:val="20"/>
                <w:color w:val="auto"/>
              </w:rPr>
            </w:pPr>
            <w:r>
              <w:rPr>
                <w:rFonts w:ascii="Arial" w:cs="Arial" w:eastAsia="Arial" w:hAnsi="Arial"/>
                <w:sz w:val="14"/>
                <w:szCs w:val="14"/>
                <w:color w:val="auto"/>
              </w:rPr>
              <w:t>12/9/2014</w:t>
            </w:r>
            <w:r>
              <w:rPr>
                <w:rFonts w:ascii="Arial" w:cs="Arial" w:eastAsia="Arial" w:hAnsi="Arial"/>
                <w:sz w:val="11"/>
                <w:szCs w:val="11"/>
                <w:color w:val="auto"/>
              </w:rPr>
              <w:t>(2)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233,454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7.79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12/8/2024</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0" w:lineRule="exact"/>
        <w:rPr>
          <w:sz w:val="20"/>
          <w:szCs w:val="20"/>
          <w:color w:val="auto"/>
        </w:rPr>
      </w:pPr>
    </w:p>
    <w:p>
      <w:pPr>
        <w:ind w:left="320" w:right="60" w:hanging="316"/>
        <w:spacing w:after="0" w:line="250"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23" w:lineRule="exact"/>
        <w:rPr>
          <w:rFonts w:ascii="Arial" w:cs="Arial" w:eastAsia="Arial" w:hAnsi="Arial"/>
          <w:sz w:val="14"/>
          <w:szCs w:val="14"/>
          <w:color w:val="auto"/>
        </w:rPr>
      </w:pPr>
    </w:p>
    <w:p>
      <w:pPr>
        <w:ind w:left="320" w:right="60" w:hanging="316"/>
        <w:spacing w:after="0" w:line="250"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spacing w:after="0" w:line="23" w:lineRule="exact"/>
        <w:rPr>
          <w:rFonts w:ascii="Arial" w:cs="Arial" w:eastAsia="Arial" w:hAnsi="Arial"/>
          <w:sz w:val="14"/>
          <w:szCs w:val="14"/>
          <w:color w:val="auto"/>
        </w:rPr>
      </w:pPr>
    </w:p>
    <w:p>
      <w:pPr>
        <w:ind w:left="320" w:right="180" w:hanging="316"/>
        <w:spacing w:after="0" w:line="258"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 vests as to one-third of the total shares subject to the option on each of the first three anniversaries of the vesting commencement date, subject to the holder’s continued employment with us through the applicable vesting date and potential accelerated vesting as described in the section titled “Employment Agreements.”</w:t>
      </w:r>
    </w:p>
    <w:p>
      <w:pPr>
        <w:spacing w:after="0" w:line="18" w:lineRule="exact"/>
        <w:rPr>
          <w:rFonts w:ascii="Arial" w:cs="Arial" w:eastAsia="Arial" w:hAnsi="Arial"/>
          <w:sz w:val="14"/>
          <w:szCs w:val="14"/>
          <w:color w:val="auto"/>
        </w:rPr>
      </w:pPr>
    </w:p>
    <w:p>
      <w:pPr>
        <w:ind w:left="320" w:right="20" w:hanging="316"/>
        <w:spacing w:after="0" w:line="250"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restricted stock units vest as to 20% of the award on the first anniversary of the vesting commencement date, 30% on the second anniversary of the vesting commencement date and 50% on the third anniversary of the vesting commencement date, subject to the holder’s continued employment with us through the applicable vesting date and potential accelerated vesting as described in the section titled “Employment Agreements.”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040"/>
          </w:cols>
          <w:pgMar w:left="440" w:top="287" w:right="4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AND SEPARATION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D. Shaff</w:t>
      </w:r>
    </w:p>
    <w:p>
      <w:pPr>
        <w:spacing w:after="0" w:line="8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January 2019, in connection with Mr. Shaff’s appointment as the Company’s President and Chief Executive Officer and as a member of the Board, we entered into a new employment agreement with Mr. Shaff that supersedes the terms of his prior employment agreement with us. The new employment agreement entitles Mr. Shaff to receive an annual base salary of $540,000, subject to periodic review and adjustment by the Board or its compensation committee, and an annual target bonus opportunity of 55% of his annual base salary. In connection with his appointment as the Company’s President and Chief Executive Officer, we also granted Mr. Shaff a stock option under our 2015 Incentive Award Plan to purchase 275,000 shares of our common stock, which will vest in accordance with our standard four-year vesting schedule, subject to Mr. Shaff’s continued service.</w:t>
      </w:r>
    </w:p>
    <w:p>
      <w:pPr>
        <w:spacing w:after="0" w:line="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terms of his new employment agreement, if we terminate Mr. Shaff’s employment without cause or he resigns for good reason, subject to his timely executing a release of claims in our favor, Mr. Shaff is entitled to receive 12 months of continued base salary and up to 12 months of continued medical, dental or vision coverage pursuant to COBRA, if elected. If the termination occurs within 60 days prior to or 12 months following a change in control, in lieu of the foregoing, he is entitled to receive 18 months of continued base salary, up to 18 months of continued medical, dental or vision coverage pursuant to COBRA, if elected, and accelerated vesting of time-based equity awards that he holds.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employment agreement:</w:t>
      </w:r>
    </w:p>
    <w:p>
      <w:pPr>
        <w:spacing w:after="0" w:line="36" w:lineRule="exact"/>
        <w:rPr>
          <w:sz w:val="20"/>
          <w:szCs w:val="20"/>
          <w:color w:val="auto"/>
        </w:rPr>
      </w:pPr>
    </w:p>
    <w:p>
      <w:pPr>
        <w:ind w:left="860" w:right="80" w:hanging="316"/>
        <w:spacing w:after="0" w:line="23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generally means Mr. Shaff’s (i) failure to substantially perform his duties with us (other than due to disability) or materially comply with our policies; (ii) material failure to carry out or comply with any lawful and reasonable directive of the Board; (iii) breach of a material provision of his employment agreement; (iv) conviction, plea of no contest or imposition of unadjudicated probation for any felony or crime involving moral turpitude; (v) unlawful use (including being under the influence) or possession of illegal drugs on our (or our affiliate’s) premises or while performing his duties and responsibilities under his employment agreement; or (vi) commission of an act of fraud, embezzlement, misappropriation, willful misconduct or breach of fiduciary duty against us or any of our affiliates.</w:t>
      </w:r>
    </w:p>
    <w:p>
      <w:pPr>
        <w:spacing w:after="0" w:line="27" w:lineRule="exact"/>
        <w:rPr>
          <w:rFonts w:ascii="Arial" w:cs="Arial" w:eastAsia="Arial" w:hAnsi="Arial"/>
          <w:sz w:val="18"/>
          <w:szCs w:val="18"/>
          <w:color w:val="auto"/>
        </w:rPr>
      </w:pPr>
    </w:p>
    <w:p>
      <w:pPr>
        <w:ind w:left="860" w:right="380" w:hanging="316"/>
        <w:spacing w:after="0" w:line="239"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“Good reason” generally means, subject to certain notice requirements and cure rights, without Mr. Shaff’s consent, (i) a reduction in his base salary (except for a reduction of less than 10% contemporaneously affecting other senior executives); (ii) a material reduction in his authority or areas of responsibility; or (iii) a relocation of his primary office more than 50 miles outside of the Boston metropolitan area.</w:t>
      </w:r>
    </w:p>
    <w:p>
      <w:pPr>
        <w:spacing w:after="0" w:line="5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J. DesRosier</w:t>
      </w:r>
    </w:p>
    <w:p>
      <w:pPr>
        <w:spacing w:after="0" w:line="8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the terms of our employment agreement with Mr. DesRosier, if we terminate Mr. DesRosier’s employment without cause or he resigns for good reason, subject to his timely executing a release of claims in our favor, he is entitled to receive 12 months of continued base salary and up to 12 months of continued medical, dental or vision coverage pursuant to COBRA, if elected. If the termination occurs within 60 days prior to or 12 months following a change in control, Mr. DesRosier is also entitled to accelerated vesting of his time-based equity awards.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020"/>
          </w:cols>
          <w:pgMar w:left="440" w:top="287" w:right="4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36"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For purposes of the employment agreement, “cause” and “good reason” have the same meanings as in Mr. Shaff’s new employment agreement. Mr. DesRosier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J. Pomerantz, M.D.</w:t>
      </w:r>
    </w:p>
    <w:p>
      <w:pPr>
        <w:spacing w:after="0" w:line="12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Dr. Pomerantz’s employment with us terminated on January 14, 2019. In connection with his resignation, we and Dr. Pomerantz entered into a separation agreement and release under which is entitled to receive 12 months of continued base salary, his full 2018 annual cash bonus amount and up to 12 months of continued medical, dental or vision coverage pursuant to COBRA, if elected.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Dr. Pomerantz continues to serve as a director and as Chairman of the Board and is eligible to receive compensation in accordance with and subject to the terms of our non-employee director compensation program, as described below, including an annual retainer of $55,000 and an option to purchase 15,000 shares of our common stock on the date of the Annual Meeting.</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Directors who are also our employees do not receive compensation for their service on our board of directors. Dr. Pomerantz served as a director and executive officer of our company during 2018. Refer to the 2018 Summary Compensation Table and related narrative disclosure above for information regarding the compensation he received from us during 2018.</w:t>
      </w:r>
    </w:p>
    <w:p>
      <w:pPr>
        <w:spacing w:after="0" w:line="5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 of directors:</w:t>
      </w:r>
    </w:p>
    <w:p>
      <w:pPr>
        <w:spacing w:after="0" w:line="62" w:lineRule="exact"/>
        <w:rPr>
          <w:sz w:val="20"/>
          <w:szCs w:val="20"/>
          <w:color w:val="auto"/>
        </w:rPr>
      </w:pPr>
    </w:p>
    <w:p>
      <w:pPr>
        <w:ind w:left="860" w:right="380" w:hanging="316"/>
        <w:spacing w:after="0" w:line="246"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option to purchase 30,000 shares of our common stock upon the director’s initial election or appointment to our board of directors;</w:t>
      </w:r>
    </w:p>
    <w:p>
      <w:pPr>
        <w:spacing w:after="0" w:line="21" w:lineRule="exact"/>
        <w:rPr>
          <w:rFonts w:ascii="Arial" w:cs="Arial" w:eastAsia="Arial" w:hAnsi="Arial"/>
          <w:sz w:val="18"/>
          <w:szCs w:val="18"/>
          <w:color w:val="auto"/>
        </w:rPr>
      </w:pPr>
    </w:p>
    <w:p>
      <w:pPr>
        <w:ind w:left="860" w:right="180" w:hanging="316"/>
        <w:spacing w:after="0" w:line="246"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director has served on our board of directors for at least six months as of the date of an annual meeting of stockholders, an option to purchase 15,000 shares of our common stock on the date of the annual meeting;</w:t>
      </w:r>
    </w:p>
    <w:p>
      <w:pPr>
        <w:spacing w:after="0" w:line="21" w:lineRule="exact"/>
        <w:rPr>
          <w:rFonts w:ascii="Arial" w:cs="Arial" w:eastAsia="Arial" w:hAnsi="Arial"/>
          <w:sz w:val="18"/>
          <w:szCs w:val="18"/>
          <w:color w:val="auto"/>
        </w:rPr>
      </w:pPr>
    </w:p>
    <w:p>
      <w:pPr>
        <w:ind w:left="860" w:right="120" w:hanging="316"/>
        <w:spacing w:after="0" w:line="246"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of directors or lead independent director, an additional annual director fee of $20,000; and</w:t>
      </w:r>
    </w:p>
    <w:p>
      <w:pPr>
        <w:spacing w:after="0" w:line="21"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an additional annual fee as follows:</w:t>
      </w:r>
    </w:p>
    <w:p>
      <w:pPr>
        <w:spacing w:after="0" w:line="49" w:lineRule="exact"/>
        <w:rPr>
          <w:rFonts w:ascii="Arial" w:cs="Arial" w:eastAsia="Arial" w:hAnsi="Arial"/>
          <w:sz w:val="18"/>
          <w:szCs w:val="18"/>
          <w:color w:val="auto"/>
        </w:rPr>
      </w:pPr>
    </w:p>
    <w:p>
      <w:pPr>
        <w:ind w:left="1100" w:hanging="218"/>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49" w:lineRule="exact"/>
        <w:rPr>
          <w:rFonts w:ascii="Arial" w:cs="Arial" w:eastAsia="Arial" w:hAnsi="Arial"/>
          <w:sz w:val="18"/>
          <w:szCs w:val="18"/>
          <w:color w:val="auto"/>
        </w:rPr>
      </w:pPr>
    </w:p>
    <w:p>
      <w:pPr>
        <w:ind w:left="1100" w:hanging="218"/>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49" w:lineRule="exact"/>
        <w:rPr>
          <w:rFonts w:ascii="Arial" w:cs="Arial" w:eastAsia="Arial" w:hAnsi="Arial"/>
          <w:sz w:val="18"/>
          <w:szCs w:val="18"/>
          <w:color w:val="auto"/>
        </w:rPr>
      </w:pPr>
    </w:p>
    <w:p>
      <w:pPr>
        <w:ind w:left="1100" w:hanging="218"/>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chairman of the compensation committee—$10,000;</w:t>
      </w:r>
    </w:p>
    <w:p>
      <w:pPr>
        <w:spacing w:after="0" w:line="49" w:lineRule="exact"/>
        <w:rPr>
          <w:rFonts w:ascii="Arial" w:cs="Arial" w:eastAsia="Arial" w:hAnsi="Arial"/>
          <w:sz w:val="18"/>
          <w:szCs w:val="18"/>
          <w:color w:val="auto"/>
        </w:rPr>
      </w:pPr>
    </w:p>
    <w:p>
      <w:pPr>
        <w:ind w:left="1100" w:hanging="218"/>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chairman—$5,000;</w:t>
      </w:r>
    </w:p>
    <w:p>
      <w:pPr>
        <w:spacing w:after="0" w:line="49" w:lineRule="exact"/>
        <w:rPr>
          <w:rFonts w:ascii="Arial" w:cs="Arial" w:eastAsia="Arial" w:hAnsi="Arial"/>
          <w:sz w:val="18"/>
          <w:szCs w:val="18"/>
          <w:color w:val="auto"/>
        </w:rPr>
      </w:pPr>
    </w:p>
    <w:p>
      <w:pPr>
        <w:ind w:left="1100" w:hanging="218"/>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49" w:lineRule="exact"/>
        <w:rPr>
          <w:rFonts w:ascii="Arial" w:cs="Arial" w:eastAsia="Arial" w:hAnsi="Arial"/>
          <w:sz w:val="18"/>
          <w:szCs w:val="18"/>
          <w:color w:val="auto"/>
        </w:rPr>
      </w:pPr>
    </w:p>
    <w:p>
      <w:pPr>
        <w:ind w:left="1100" w:hanging="218"/>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5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020"/>
          </w:cols>
          <w:pgMar w:left="440" w:top="287" w:right="4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3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6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Name</w:t>
            </w:r>
          </w:p>
        </w:tc>
        <w:tc>
          <w:tcPr>
            <w:tcW w:w="4400" w:type="dxa"/>
            <w:vAlign w:val="bottom"/>
            <w:tcBorders>
              <w:bottom w:val="single" w:sz="8" w:color="auto"/>
            </w:tcBorders>
            <w:gridSpan w:val="2"/>
            <w:shd w:val="clear" w:color="auto" w:fill="D8D8D8"/>
          </w:tcPr>
          <w:p>
            <w:pPr>
              <w:ind w:left="2100"/>
              <w:spacing w:after="0"/>
              <w:rPr>
                <w:sz w:val="20"/>
                <w:szCs w:val="20"/>
                <w:color w:val="auto"/>
              </w:rPr>
            </w:pPr>
            <w:r>
              <w:rPr>
                <w:rFonts w:ascii="Arial" w:cs="Arial" w:eastAsia="Arial" w:hAnsi="Arial"/>
                <w:sz w:val="14"/>
                <w:szCs w:val="14"/>
                <w:b w:val="1"/>
                <w:bCs w:val="1"/>
                <w:color w:val="auto"/>
              </w:rPr>
              <w:t>Fees Earned or Paid in Cash ($)</w:t>
            </w:r>
          </w:p>
        </w:tc>
        <w:tc>
          <w:tcPr>
            <w:tcW w:w="140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4"/>
                <w:szCs w:val="14"/>
                <w:b w:val="1"/>
                <w:bCs w:val="1"/>
                <w:color w:val="auto"/>
                <w:w w:val="95"/>
              </w:rPr>
              <w:t>Option Awards ($)</w:t>
            </w:r>
            <w:r>
              <w:rPr>
                <w:rFonts w:ascii="Arial" w:cs="Arial" w:eastAsia="Arial" w:hAnsi="Arial"/>
                <w:sz w:val="11"/>
                <w:szCs w:val="11"/>
                <w:b w:val="1"/>
                <w:bCs w:val="1"/>
                <w:color w:val="auto"/>
                <w:w w:val="95"/>
              </w:rPr>
              <w:t>(1)</w:t>
            </w:r>
          </w:p>
        </w:tc>
        <w:tc>
          <w:tcPr>
            <w:tcW w:w="580" w:type="dxa"/>
            <w:vAlign w:val="bottom"/>
            <w:tcBorders>
              <w:bottom w:val="single" w:sz="8" w:color="auto"/>
            </w:tcBorders>
            <w:shd w:val="clear" w:color="auto" w:fill="D8D8D8"/>
          </w:tcPr>
          <w:p>
            <w:pPr>
              <w:spacing w:after="0"/>
              <w:rPr>
                <w:sz w:val="14"/>
                <w:szCs w:val="14"/>
                <w:color w:val="auto"/>
              </w:rPr>
            </w:pPr>
          </w:p>
        </w:tc>
        <w:tc>
          <w:tcPr>
            <w:tcW w:w="980" w:type="dxa"/>
            <w:vAlign w:val="bottom"/>
            <w:tcBorders>
              <w:bottom w:val="single" w:sz="8" w:color="auto"/>
            </w:tcBorders>
            <w:gridSpan w:val="2"/>
            <w:shd w:val="clear" w:color="auto" w:fill="D8D8D8"/>
          </w:tcPr>
          <w:p>
            <w:pPr>
              <w:ind w:left="100"/>
              <w:spacing w:after="0"/>
              <w:rPr>
                <w:sz w:val="20"/>
                <w:szCs w:val="20"/>
                <w:color w:val="auto"/>
              </w:rPr>
            </w:pPr>
            <w:r>
              <w:rPr>
                <w:rFonts w:ascii="Arial" w:cs="Arial" w:eastAsia="Arial" w:hAnsi="Arial"/>
                <w:sz w:val="14"/>
                <w:szCs w:val="14"/>
                <w:b w:val="1"/>
                <w:bCs w:val="1"/>
                <w:color w:val="auto"/>
              </w:rPr>
              <w:t>Total ($)</w:t>
            </w:r>
          </w:p>
        </w:tc>
      </w:tr>
      <w:tr>
        <w:trPr>
          <w:trHeight w:val="142"/>
        </w:trPr>
        <w:tc>
          <w:tcPr>
            <w:tcW w:w="3660" w:type="dxa"/>
            <w:vAlign w:val="bottom"/>
          </w:tcPr>
          <w:p>
            <w:pPr>
              <w:ind w:left="60"/>
              <w:spacing w:after="0" w:line="142" w:lineRule="exact"/>
              <w:rPr>
                <w:sz w:val="20"/>
                <w:szCs w:val="20"/>
                <w:color w:val="auto"/>
              </w:rPr>
            </w:pPr>
            <w:r>
              <w:rPr>
                <w:rFonts w:ascii="Arial" w:cs="Arial" w:eastAsia="Arial" w:hAnsi="Arial"/>
                <w:sz w:val="14"/>
                <w:szCs w:val="14"/>
                <w:color w:val="auto"/>
              </w:rPr>
              <w:t>Noubar B. Afeyan, Ph.D.</w:t>
            </w:r>
          </w:p>
        </w:tc>
        <w:tc>
          <w:tcPr>
            <w:tcW w:w="3020" w:type="dxa"/>
            <w:vAlign w:val="bottom"/>
          </w:tcPr>
          <w:p>
            <w:pPr>
              <w:ind w:left="2100"/>
              <w:spacing w:after="0" w:line="142"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2"/>
              <w:spacing w:after="0" w:line="142" w:lineRule="exact"/>
              <w:rPr>
                <w:sz w:val="20"/>
                <w:szCs w:val="20"/>
                <w:color w:val="auto"/>
              </w:rPr>
            </w:pPr>
            <w:r>
              <w:rPr>
                <w:rFonts w:ascii="Arial" w:cs="Arial" w:eastAsia="Arial" w:hAnsi="Arial"/>
                <w:sz w:val="14"/>
                <w:szCs w:val="14"/>
                <w:color w:val="auto"/>
              </w:rPr>
              <w:t>62,000</w:t>
            </w:r>
          </w:p>
        </w:tc>
        <w:tc>
          <w:tcPr>
            <w:tcW w:w="140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2" w:lineRule="exact"/>
              <w:rPr>
                <w:sz w:val="20"/>
                <w:szCs w:val="20"/>
                <w:color w:val="auto"/>
              </w:rPr>
            </w:pPr>
            <w:r>
              <w:rPr>
                <w:rFonts w:ascii="Arial" w:cs="Arial" w:eastAsia="Arial" w:hAnsi="Arial"/>
                <w:sz w:val="14"/>
                <w:szCs w:val="14"/>
                <w:color w:val="auto"/>
              </w:rPr>
              <w:t>92,174</w:t>
            </w:r>
          </w:p>
        </w:tc>
        <w:tc>
          <w:tcPr>
            <w:tcW w:w="28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154,174</w:t>
            </w:r>
          </w:p>
        </w:tc>
      </w:tr>
      <w:tr>
        <w:trPr>
          <w:trHeight w:val="149"/>
        </w:trPr>
        <w:tc>
          <w:tcPr>
            <w:tcW w:w="366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color w:val="auto"/>
              </w:rPr>
              <w:t>Willard H. Dere, M.D.</w:t>
            </w:r>
          </w:p>
        </w:tc>
        <w:tc>
          <w:tcPr>
            <w:tcW w:w="3020" w:type="dxa"/>
            <w:vAlign w:val="bottom"/>
            <w:shd w:val="clear" w:color="auto" w:fill="D8D8D8"/>
          </w:tcPr>
          <w:p>
            <w:pPr>
              <w:ind w:left="210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42,500</w:t>
            </w:r>
          </w:p>
        </w:tc>
        <w:tc>
          <w:tcPr>
            <w:tcW w:w="140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92,174</w:t>
            </w:r>
          </w:p>
        </w:tc>
        <w:tc>
          <w:tcPr>
            <w:tcW w:w="28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134,674</w:t>
            </w:r>
          </w:p>
        </w:tc>
      </w:tr>
      <w:tr>
        <w:trPr>
          <w:trHeight w:val="149"/>
        </w:trPr>
        <w:tc>
          <w:tcPr>
            <w:tcW w:w="3660" w:type="dxa"/>
            <w:vAlign w:val="bottom"/>
          </w:tcPr>
          <w:p>
            <w:pPr>
              <w:ind w:left="60"/>
              <w:spacing w:after="0" w:line="149" w:lineRule="exact"/>
              <w:rPr>
                <w:sz w:val="20"/>
                <w:szCs w:val="20"/>
                <w:color w:val="auto"/>
              </w:rPr>
            </w:pPr>
            <w:r>
              <w:rPr>
                <w:rFonts w:ascii="Arial" w:cs="Arial" w:eastAsia="Arial" w:hAnsi="Arial"/>
                <w:sz w:val="14"/>
                <w:szCs w:val="14"/>
                <w:color w:val="auto"/>
              </w:rPr>
              <w:t>Lorence H. Kim, M.D.</w:t>
            </w:r>
          </w:p>
        </w:tc>
        <w:tc>
          <w:tcPr>
            <w:tcW w:w="3020" w:type="dxa"/>
            <w:vAlign w:val="bottom"/>
          </w:tcPr>
          <w:p>
            <w:pPr>
              <w:ind w:left="210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43,500</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92,174</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135,674</w:t>
            </w:r>
          </w:p>
        </w:tc>
      </w:tr>
      <w:tr>
        <w:trPr>
          <w:trHeight w:val="149"/>
        </w:trPr>
        <w:tc>
          <w:tcPr>
            <w:tcW w:w="366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color w:val="auto"/>
              </w:rPr>
              <w:t>Richard N. Kender</w:t>
            </w:r>
          </w:p>
        </w:tc>
        <w:tc>
          <w:tcPr>
            <w:tcW w:w="3020" w:type="dxa"/>
            <w:vAlign w:val="bottom"/>
            <w:shd w:val="clear" w:color="auto" w:fill="D8D8D8"/>
          </w:tcPr>
          <w:p>
            <w:pPr>
              <w:ind w:left="210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55,000</w:t>
            </w:r>
          </w:p>
        </w:tc>
        <w:tc>
          <w:tcPr>
            <w:tcW w:w="140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92,174</w:t>
            </w:r>
          </w:p>
        </w:tc>
        <w:tc>
          <w:tcPr>
            <w:tcW w:w="28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147,174</w:t>
            </w:r>
          </w:p>
        </w:tc>
      </w:tr>
      <w:tr>
        <w:trPr>
          <w:trHeight w:val="149"/>
        </w:trPr>
        <w:tc>
          <w:tcPr>
            <w:tcW w:w="3660" w:type="dxa"/>
            <w:vAlign w:val="bottom"/>
          </w:tcPr>
          <w:p>
            <w:pPr>
              <w:ind w:left="60"/>
              <w:spacing w:after="0" w:line="149" w:lineRule="exact"/>
              <w:rPr>
                <w:sz w:val="20"/>
                <w:szCs w:val="20"/>
                <w:color w:val="auto"/>
              </w:rPr>
            </w:pPr>
            <w:r>
              <w:rPr>
                <w:rFonts w:ascii="Arial" w:cs="Arial" w:eastAsia="Arial" w:hAnsi="Arial"/>
                <w:sz w:val="14"/>
                <w:szCs w:val="14"/>
                <w:color w:val="auto"/>
              </w:rPr>
              <w:t>Grégory Behar</w:t>
            </w:r>
          </w:p>
        </w:tc>
        <w:tc>
          <w:tcPr>
            <w:tcW w:w="3020" w:type="dxa"/>
            <w:vAlign w:val="bottom"/>
          </w:tcPr>
          <w:p>
            <w:pPr>
              <w:ind w:left="210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38,500</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92,174</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130,674</w:t>
            </w:r>
          </w:p>
        </w:tc>
      </w:tr>
      <w:tr>
        <w:trPr>
          <w:trHeight w:val="149"/>
        </w:trPr>
        <w:tc>
          <w:tcPr>
            <w:tcW w:w="366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color w:val="auto"/>
              </w:rPr>
              <w:t>Dennis A. Ausiello, M.D.</w:t>
            </w:r>
          </w:p>
        </w:tc>
        <w:tc>
          <w:tcPr>
            <w:tcW w:w="3020" w:type="dxa"/>
            <w:vAlign w:val="bottom"/>
            <w:shd w:val="clear" w:color="auto" w:fill="D8D8D8"/>
          </w:tcPr>
          <w:p>
            <w:pPr>
              <w:ind w:left="210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38,920</w:t>
            </w:r>
          </w:p>
        </w:tc>
        <w:tc>
          <w:tcPr>
            <w:tcW w:w="140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92,174</w:t>
            </w:r>
          </w:p>
        </w:tc>
        <w:tc>
          <w:tcPr>
            <w:tcW w:w="28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131,094</w:t>
            </w:r>
          </w:p>
        </w:tc>
      </w:tr>
      <w:tr>
        <w:trPr>
          <w:trHeight w:val="149"/>
        </w:trPr>
        <w:tc>
          <w:tcPr>
            <w:tcW w:w="3660" w:type="dxa"/>
            <w:vAlign w:val="bottom"/>
          </w:tcPr>
          <w:p>
            <w:pPr>
              <w:ind w:left="60"/>
              <w:spacing w:after="0" w:line="149" w:lineRule="exact"/>
              <w:rPr>
                <w:sz w:val="20"/>
                <w:szCs w:val="20"/>
                <w:color w:val="auto"/>
              </w:rPr>
            </w:pPr>
            <w:r>
              <w:rPr>
                <w:rFonts w:ascii="Arial" w:cs="Arial" w:eastAsia="Arial" w:hAnsi="Arial"/>
                <w:sz w:val="14"/>
                <w:szCs w:val="14"/>
                <w:color w:val="auto"/>
              </w:rPr>
              <w:t>Kurt C. Graves</w:t>
            </w:r>
          </w:p>
        </w:tc>
        <w:tc>
          <w:tcPr>
            <w:tcW w:w="3020" w:type="dxa"/>
            <w:vAlign w:val="bottom"/>
          </w:tcPr>
          <w:p>
            <w:pPr>
              <w:ind w:left="210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45,000</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92,174</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137,174</w:t>
            </w:r>
          </w:p>
        </w:tc>
      </w:tr>
      <w:tr>
        <w:trPr>
          <w:trHeight w:val="149"/>
        </w:trPr>
        <w:tc>
          <w:tcPr>
            <w:tcW w:w="366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color w:val="auto"/>
              </w:rPr>
              <w:t>Meryl S. Zausner</w:t>
            </w:r>
          </w:p>
        </w:tc>
        <w:tc>
          <w:tcPr>
            <w:tcW w:w="3020" w:type="dxa"/>
            <w:vAlign w:val="bottom"/>
            <w:shd w:val="clear" w:color="auto" w:fill="D8D8D8"/>
          </w:tcPr>
          <w:p>
            <w:pPr>
              <w:ind w:left="210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14,321</w:t>
            </w:r>
          </w:p>
        </w:tc>
        <w:tc>
          <w:tcPr>
            <w:tcW w:w="140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w w:val="94"/>
              </w:rPr>
              <w:t>171,774</w:t>
            </w:r>
          </w:p>
        </w:tc>
        <w:tc>
          <w:tcPr>
            <w:tcW w:w="28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186,095</w:t>
            </w:r>
          </w:p>
        </w:tc>
      </w:tr>
      <w:tr>
        <w:trPr>
          <w:trHeight w:val="54"/>
        </w:trPr>
        <w:tc>
          <w:tcPr>
            <w:tcW w:w="366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bl>
    <w:p>
      <w:pPr>
        <w:spacing w:after="0" w:line="26" w:lineRule="exact"/>
        <w:rPr>
          <w:sz w:val="20"/>
          <w:szCs w:val="20"/>
          <w:color w:val="auto"/>
        </w:rPr>
      </w:pPr>
    </w:p>
    <w:p>
      <w:pPr>
        <w:ind w:left="320" w:right="40" w:hanging="316"/>
        <w:spacing w:after="0" w:line="226" w:lineRule="auto"/>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granted during 2018 computed in accordance with FASB ASC Topic 718. For a description of the assumptions used in valuing these awards, see Notes 2 and 8 to our audited consolidated financial statements included in the Company’s Annual Report on Form 10-K for the fiscal year ended December 31, 2018. The table below shows the number of option awards held as of December 31, 2018 by each of our directors who are not NEOs. None of our directors held unvested stock awards as of that date.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bottom w:val="single" w:sz="8" w:color="auto"/>
            </w:tcBorders>
            <w:shd w:val="clear" w:color="auto" w:fill="D8D8D8"/>
          </w:tcPr>
          <w:p>
            <w:pPr>
              <w:spacing w:after="0"/>
              <w:rPr>
                <w:sz w:val="14"/>
                <w:szCs w:val="14"/>
                <w:color w:val="auto"/>
              </w:rPr>
            </w:pPr>
          </w:p>
        </w:tc>
        <w:tc>
          <w:tcPr>
            <w:tcW w:w="660" w:type="dxa"/>
            <w:vAlign w:val="bottom"/>
            <w:tcBorders>
              <w:bottom w:val="single" w:sz="8" w:color="auto"/>
            </w:tcBorders>
            <w:shd w:val="clear" w:color="auto" w:fill="D8D8D8"/>
          </w:tcPr>
          <w:p>
            <w:pPr>
              <w:spacing w:after="0"/>
              <w:rPr>
                <w:sz w:val="14"/>
                <w:szCs w:val="14"/>
                <w:color w:val="auto"/>
              </w:rPr>
            </w:pPr>
          </w:p>
        </w:tc>
        <w:tc>
          <w:tcPr>
            <w:tcW w:w="2840" w:type="dxa"/>
            <w:vAlign w:val="bottom"/>
            <w:tcBorders>
              <w:bottom w:val="single" w:sz="8" w:color="auto"/>
            </w:tcBorders>
            <w:shd w:val="clear" w:color="auto" w:fill="D8D8D8"/>
          </w:tcPr>
          <w:p>
            <w:pPr>
              <w:spacing w:after="0"/>
              <w:rPr>
                <w:sz w:val="14"/>
                <w:szCs w:val="14"/>
                <w:color w:val="auto"/>
              </w:rPr>
            </w:pPr>
          </w:p>
        </w:tc>
        <w:tc>
          <w:tcPr>
            <w:tcW w:w="25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Option Awards (#)</w:t>
            </w:r>
          </w:p>
        </w:tc>
        <w:tc>
          <w:tcPr>
            <w:tcW w:w="3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ind w:left="80"/>
              <w:spacing w:after="0" w:line="142" w:lineRule="exact"/>
              <w:rPr>
                <w:sz w:val="20"/>
                <w:szCs w:val="20"/>
                <w:color w:val="auto"/>
              </w:rPr>
            </w:pPr>
            <w:r>
              <w:rPr>
                <w:rFonts w:ascii="Arial" w:cs="Arial" w:eastAsia="Arial" w:hAnsi="Arial"/>
                <w:sz w:val="14"/>
                <w:szCs w:val="14"/>
                <w:color w:val="auto"/>
              </w:rPr>
              <w:t>Noubar B. Afeyan, Ph.D.</w:t>
            </w: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20" w:type="dxa"/>
            <w:vAlign w:val="bottom"/>
          </w:tcPr>
          <w:p>
            <w:pPr>
              <w:jc w:val="right"/>
              <w:ind w:right="12"/>
              <w:spacing w:after="0" w:line="142" w:lineRule="exact"/>
              <w:rPr>
                <w:sz w:val="20"/>
                <w:szCs w:val="20"/>
                <w:color w:val="auto"/>
              </w:rPr>
            </w:pPr>
            <w:r>
              <w:rPr>
                <w:rFonts w:ascii="Arial" w:cs="Arial" w:eastAsia="Arial" w:hAnsi="Arial"/>
                <w:sz w:val="14"/>
                <w:szCs w:val="14"/>
                <w:color w:val="auto"/>
              </w:rPr>
              <w:t>60,000</w:t>
            </w: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shd w:val="clear" w:color="auto" w:fill="D8D8D8"/>
          </w:tcPr>
          <w:p>
            <w:pPr>
              <w:ind w:left="80"/>
              <w:spacing w:after="0" w:line="149" w:lineRule="exact"/>
              <w:rPr>
                <w:sz w:val="20"/>
                <w:szCs w:val="20"/>
                <w:color w:val="auto"/>
              </w:rPr>
            </w:pPr>
            <w:r>
              <w:rPr>
                <w:rFonts w:ascii="Arial" w:cs="Arial" w:eastAsia="Arial" w:hAnsi="Arial"/>
                <w:sz w:val="14"/>
                <w:szCs w:val="14"/>
                <w:color w:val="auto"/>
              </w:rPr>
              <w:t>Willard H. Dere, M.D.</w:t>
            </w:r>
          </w:p>
        </w:tc>
        <w:tc>
          <w:tcPr>
            <w:tcW w:w="26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52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45,000</w:t>
            </w: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ind w:left="80"/>
              <w:spacing w:after="0" w:line="149" w:lineRule="exact"/>
              <w:rPr>
                <w:sz w:val="20"/>
                <w:szCs w:val="20"/>
                <w:color w:val="auto"/>
              </w:rPr>
            </w:pPr>
            <w:r>
              <w:rPr>
                <w:rFonts w:ascii="Arial" w:cs="Arial" w:eastAsia="Arial" w:hAnsi="Arial"/>
                <w:sz w:val="14"/>
                <w:szCs w:val="14"/>
                <w:color w:val="auto"/>
              </w:rPr>
              <w:t>Lorence H. Kim, M.D.</w:t>
            </w: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135,000</w:t>
            </w: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shd w:val="clear" w:color="auto" w:fill="D8D8D8"/>
          </w:tcPr>
          <w:p>
            <w:pPr>
              <w:ind w:left="80"/>
              <w:spacing w:after="0" w:line="149" w:lineRule="exact"/>
              <w:rPr>
                <w:sz w:val="20"/>
                <w:szCs w:val="20"/>
                <w:color w:val="auto"/>
              </w:rPr>
            </w:pPr>
            <w:r>
              <w:rPr>
                <w:rFonts w:ascii="Arial" w:cs="Arial" w:eastAsia="Arial" w:hAnsi="Arial"/>
                <w:sz w:val="14"/>
                <w:szCs w:val="14"/>
                <w:color w:val="auto"/>
              </w:rPr>
              <w:t>Richard N. Kender</w:t>
            </w:r>
          </w:p>
        </w:tc>
        <w:tc>
          <w:tcPr>
            <w:tcW w:w="26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52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135,000</w:t>
            </w: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ind w:left="80"/>
              <w:spacing w:after="0" w:line="149" w:lineRule="exact"/>
              <w:rPr>
                <w:sz w:val="20"/>
                <w:szCs w:val="20"/>
                <w:color w:val="auto"/>
              </w:rPr>
            </w:pPr>
            <w:r>
              <w:rPr>
                <w:rFonts w:ascii="Arial" w:cs="Arial" w:eastAsia="Arial" w:hAnsi="Arial"/>
                <w:sz w:val="14"/>
                <w:szCs w:val="14"/>
                <w:color w:val="auto"/>
              </w:rPr>
              <w:t>Grégory Behar</w:t>
            </w: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w:t>
            </w: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shd w:val="clear" w:color="auto" w:fill="D8D8D8"/>
          </w:tcPr>
          <w:p>
            <w:pPr>
              <w:ind w:left="80"/>
              <w:spacing w:after="0" w:line="149" w:lineRule="exact"/>
              <w:rPr>
                <w:sz w:val="20"/>
                <w:szCs w:val="20"/>
                <w:color w:val="auto"/>
              </w:rPr>
            </w:pPr>
            <w:r>
              <w:rPr>
                <w:rFonts w:ascii="Arial" w:cs="Arial" w:eastAsia="Arial" w:hAnsi="Arial"/>
                <w:sz w:val="14"/>
                <w:szCs w:val="14"/>
                <w:color w:val="auto"/>
              </w:rPr>
              <w:t>Dennis A. Ausiello, M.D.</w:t>
            </w:r>
          </w:p>
        </w:tc>
        <w:tc>
          <w:tcPr>
            <w:tcW w:w="26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52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120,000</w:t>
            </w: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ind w:left="80"/>
              <w:spacing w:after="0" w:line="149" w:lineRule="exact"/>
              <w:rPr>
                <w:sz w:val="20"/>
                <w:szCs w:val="20"/>
                <w:color w:val="auto"/>
              </w:rPr>
            </w:pPr>
            <w:r>
              <w:rPr>
                <w:rFonts w:ascii="Arial" w:cs="Arial" w:eastAsia="Arial" w:hAnsi="Arial"/>
                <w:sz w:val="14"/>
                <w:szCs w:val="14"/>
                <w:color w:val="auto"/>
              </w:rPr>
              <w:t>Kurt C. Graves</w:t>
            </w: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75,000</w:t>
            </w: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shd w:val="clear" w:color="auto" w:fill="D8D8D8"/>
          </w:tcPr>
          <w:p>
            <w:pPr>
              <w:ind w:left="80"/>
              <w:spacing w:after="0" w:line="149" w:lineRule="exact"/>
              <w:rPr>
                <w:sz w:val="20"/>
                <w:szCs w:val="20"/>
                <w:color w:val="auto"/>
              </w:rPr>
            </w:pPr>
            <w:r>
              <w:rPr>
                <w:rFonts w:ascii="Arial" w:cs="Arial" w:eastAsia="Arial" w:hAnsi="Arial"/>
                <w:sz w:val="14"/>
                <w:szCs w:val="14"/>
                <w:color w:val="auto"/>
              </w:rPr>
              <w:t>Meryl S. Zausner</w:t>
            </w:r>
          </w:p>
        </w:tc>
        <w:tc>
          <w:tcPr>
            <w:tcW w:w="26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520" w:type="dxa"/>
            <w:vAlign w:val="bottom"/>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30,000</w:t>
            </w:r>
          </w:p>
        </w:tc>
        <w:tc>
          <w:tcPr>
            <w:tcW w:w="300" w:type="dxa"/>
            <w:vAlign w:val="bottom"/>
          </w:tcPr>
          <w:p>
            <w:pPr>
              <w:spacing w:after="0"/>
              <w:rPr>
                <w:sz w:val="12"/>
                <w:szCs w:val="12"/>
                <w:color w:val="auto"/>
              </w:rPr>
            </w:pPr>
          </w:p>
        </w:tc>
      </w:tr>
      <w:tr>
        <w:trPr>
          <w:trHeight w:val="486"/>
        </w:trPr>
        <w:tc>
          <w:tcPr>
            <w:tcW w:w="4720" w:type="dxa"/>
            <w:vAlign w:val="bottom"/>
            <w:gridSpan w:val="4"/>
          </w:tcPr>
          <w:p>
            <w:pPr>
              <w:spacing w:after="0"/>
              <w:rPr>
                <w:sz w:val="20"/>
                <w:szCs w:val="20"/>
                <w:color w:val="auto"/>
              </w:rPr>
            </w:pPr>
            <w:r>
              <w:rPr>
                <w:rFonts w:ascii="Arial" w:cs="Arial" w:eastAsia="Arial" w:hAnsi="Arial"/>
                <w:sz w:val="14"/>
                <w:szCs w:val="14"/>
                <w:b w:val="1"/>
                <w:bCs w:val="1"/>
                <w:color w:val="auto"/>
              </w:rPr>
              <w:t>EQUITY COMPENSATION PLAN INFORMATION</w:t>
            </w:r>
          </w:p>
        </w:tc>
        <w:tc>
          <w:tcPr>
            <w:tcW w:w="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8200" w:type="dxa"/>
            <w:vAlign w:val="bottom"/>
            <w:tcBorders>
              <w:bottom w:val="single" w:sz="8" w:color="auto"/>
            </w:tcBorders>
            <w:gridSpan w:val="5"/>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250"/>
        </w:trPr>
        <w:tc>
          <w:tcPr>
            <w:tcW w:w="8220" w:type="dxa"/>
            <w:vAlign w:val="bottom"/>
            <w:gridSpan w:val="6"/>
          </w:tcPr>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2018.</w:t>
            </w:r>
          </w:p>
        </w:tc>
        <w:tc>
          <w:tcPr>
            <w:tcW w:w="25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32"/>
        </w:trPr>
        <w:tc>
          <w:tcPr>
            <w:tcW w:w="20" w:type="dxa"/>
            <w:vAlign w:val="bottom"/>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1840" w:type="dxa"/>
            <w:vAlign w:val="bottom"/>
            <w:shd w:val="clear" w:color="auto" w:fill="D8D8D8"/>
          </w:tcPr>
          <w:p>
            <w:pPr>
              <w:spacing w:after="0"/>
              <w:rPr>
                <w:sz w:val="11"/>
                <w:szCs w:val="11"/>
                <w:color w:val="auto"/>
              </w:rPr>
            </w:pPr>
          </w:p>
        </w:tc>
        <w:tc>
          <w:tcPr>
            <w:tcW w:w="2600" w:type="dxa"/>
            <w:vAlign w:val="bottom"/>
            <w:shd w:val="clear" w:color="auto" w:fill="D8D8D8"/>
          </w:tcPr>
          <w:p>
            <w:pPr>
              <w:jc w:val="center"/>
              <w:ind w:right="252"/>
              <w:spacing w:after="0" w:line="132" w:lineRule="exact"/>
              <w:rPr>
                <w:sz w:val="20"/>
                <w:szCs w:val="20"/>
                <w:color w:val="auto"/>
              </w:rPr>
            </w:pPr>
            <w:r>
              <w:rPr>
                <w:rFonts w:ascii="Arial" w:cs="Arial" w:eastAsia="Arial" w:hAnsi="Arial"/>
                <w:sz w:val="14"/>
                <w:szCs w:val="14"/>
                <w:b w:val="1"/>
                <w:bCs w:val="1"/>
                <w:color w:val="auto"/>
                <w:w w:val="96"/>
              </w:rPr>
              <w:t>Number of Securities to be</w:t>
            </w:r>
          </w:p>
        </w:tc>
        <w:tc>
          <w:tcPr>
            <w:tcW w:w="660" w:type="dxa"/>
            <w:vAlign w:val="bottom"/>
            <w:shd w:val="clear" w:color="auto" w:fill="D8D8D8"/>
          </w:tcPr>
          <w:p>
            <w:pPr>
              <w:spacing w:after="0"/>
              <w:rPr>
                <w:sz w:val="11"/>
                <w:szCs w:val="11"/>
                <w:color w:val="auto"/>
              </w:rPr>
            </w:pPr>
          </w:p>
        </w:tc>
        <w:tc>
          <w:tcPr>
            <w:tcW w:w="2840" w:type="dxa"/>
            <w:vAlign w:val="bottom"/>
            <w:shd w:val="clear" w:color="auto" w:fill="D8D8D8"/>
          </w:tcPr>
          <w:p>
            <w:pPr>
              <w:spacing w:after="0"/>
              <w:rPr>
                <w:sz w:val="11"/>
                <w:szCs w:val="11"/>
                <w:color w:val="auto"/>
              </w:rPr>
            </w:pPr>
          </w:p>
        </w:tc>
        <w:tc>
          <w:tcPr>
            <w:tcW w:w="252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1840" w:type="dxa"/>
            <w:vAlign w:val="bottom"/>
            <w:shd w:val="clear" w:color="auto" w:fill="D8D8D8"/>
          </w:tcPr>
          <w:p>
            <w:pPr>
              <w:spacing w:after="0"/>
              <w:rPr>
                <w:sz w:val="12"/>
                <w:szCs w:val="12"/>
                <w:color w:val="auto"/>
              </w:rPr>
            </w:pPr>
          </w:p>
        </w:tc>
        <w:tc>
          <w:tcPr>
            <w:tcW w:w="2600" w:type="dxa"/>
            <w:vAlign w:val="bottom"/>
            <w:shd w:val="clear" w:color="auto" w:fill="D8D8D8"/>
          </w:tcPr>
          <w:p>
            <w:pPr>
              <w:jc w:val="center"/>
              <w:ind w:right="252"/>
              <w:spacing w:after="0" w:line="149" w:lineRule="exact"/>
              <w:rPr>
                <w:sz w:val="20"/>
                <w:szCs w:val="20"/>
                <w:color w:val="auto"/>
              </w:rPr>
            </w:pPr>
            <w:r>
              <w:rPr>
                <w:rFonts w:ascii="Arial" w:cs="Arial" w:eastAsia="Arial" w:hAnsi="Arial"/>
                <w:sz w:val="14"/>
                <w:szCs w:val="14"/>
                <w:b w:val="1"/>
                <w:bCs w:val="1"/>
                <w:color w:val="auto"/>
                <w:w w:val="95"/>
              </w:rPr>
              <w:t>Issued Upon Exercise of</w:t>
            </w:r>
          </w:p>
        </w:tc>
        <w:tc>
          <w:tcPr>
            <w:tcW w:w="3500" w:type="dxa"/>
            <w:vAlign w:val="bottom"/>
            <w:gridSpan w:val="2"/>
            <w:shd w:val="clear" w:color="auto" w:fill="D8D8D8"/>
          </w:tcPr>
          <w:p>
            <w:pPr>
              <w:ind w:left="480"/>
              <w:spacing w:after="0" w:line="149" w:lineRule="exact"/>
              <w:rPr>
                <w:sz w:val="20"/>
                <w:szCs w:val="20"/>
                <w:color w:val="auto"/>
              </w:rPr>
            </w:pPr>
            <w:r>
              <w:rPr>
                <w:rFonts w:ascii="Arial" w:cs="Arial" w:eastAsia="Arial" w:hAnsi="Arial"/>
                <w:sz w:val="14"/>
                <w:szCs w:val="14"/>
                <w:b w:val="1"/>
                <w:bCs w:val="1"/>
                <w:color w:val="auto"/>
              </w:rPr>
              <w:t>Weighted Average Exercise Price</w:t>
            </w:r>
          </w:p>
        </w:tc>
        <w:tc>
          <w:tcPr>
            <w:tcW w:w="2820" w:type="dxa"/>
            <w:vAlign w:val="bottom"/>
            <w:gridSpan w:val="2"/>
            <w:shd w:val="clear" w:color="auto" w:fill="D8D8D8"/>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Number of Securities</w:t>
            </w:r>
          </w:p>
        </w:tc>
      </w:tr>
      <w:tr>
        <w:trPr>
          <w:trHeight w:val="149"/>
        </w:trPr>
        <w:tc>
          <w:tcPr>
            <w:tcW w:w="20" w:type="dxa"/>
            <w:vAlign w:val="bottom"/>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1840" w:type="dxa"/>
            <w:vAlign w:val="bottom"/>
            <w:shd w:val="clear" w:color="auto" w:fill="D8D8D8"/>
          </w:tcPr>
          <w:p>
            <w:pPr>
              <w:spacing w:after="0"/>
              <w:rPr>
                <w:sz w:val="12"/>
                <w:szCs w:val="12"/>
                <w:color w:val="auto"/>
              </w:rPr>
            </w:pPr>
          </w:p>
        </w:tc>
        <w:tc>
          <w:tcPr>
            <w:tcW w:w="2600" w:type="dxa"/>
            <w:vAlign w:val="bottom"/>
            <w:shd w:val="clear" w:color="auto" w:fill="D8D8D8"/>
          </w:tcPr>
          <w:p>
            <w:pPr>
              <w:jc w:val="center"/>
              <w:ind w:right="272"/>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jc w:val="center"/>
              <w:ind w:right="1012"/>
              <w:spacing w:after="0" w:line="149" w:lineRule="exact"/>
              <w:rPr>
                <w:sz w:val="20"/>
                <w:szCs w:val="20"/>
                <w:color w:val="auto"/>
              </w:rPr>
            </w:pPr>
            <w:r>
              <w:rPr>
                <w:rFonts w:ascii="Arial" w:cs="Arial" w:eastAsia="Arial" w:hAnsi="Arial"/>
                <w:sz w:val="14"/>
                <w:szCs w:val="14"/>
                <w:b w:val="1"/>
                <w:bCs w:val="1"/>
                <w:color w:val="auto"/>
                <w:w w:val="97"/>
              </w:rPr>
              <w:t>of Outstanding Options</w:t>
            </w:r>
          </w:p>
        </w:tc>
        <w:tc>
          <w:tcPr>
            <w:tcW w:w="2820" w:type="dxa"/>
            <w:vAlign w:val="bottom"/>
            <w:gridSpan w:val="2"/>
            <w:shd w:val="clear" w:color="auto" w:fill="D8D8D8"/>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Available for Future Issuance</w:t>
            </w:r>
          </w:p>
        </w:tc>
      </w:tr>
      <w:tr>
        <w:trPr>
          <w:trHeight w:val="179"/>
        </w:trPr>
        <w:tc>
          <w:tcPr>
            <w:tcW w:w="20" w:type="dxa"/>
            <w:vAlign w:val="bottom"/>
          </w:tcPr>
          <w:p>
            <w:pPr>
              <w:spacing w:after="0"/>
              <w:rPr>
                <w:sz w:val="15"/>
                <w:szCs w:val="15"/>
                <w:color w:val="auto"/>
              </w:rPr>
            </w:pPr>
          </w:p>
        </w:tc>
        <w:tc>
          <w:tcPr>
            <w:tcW w:w="2100" w:type="dxa"/>
            <w:vAlign w:val="bottom"/>
            <w:tcBorders>
              <w:bottom w:val="single" w:sz="8" w:color="auto"/>
            </w:tcBorders>
            <w:gridSpan w:val="2"/>
            <w:shd w:val="clear" w:color="auto" w:fill="D8D8D8"/>
          </w:tcPr>
          <w:p>
            <w:pPr>
              <w:ind w:left="20"/>
              <w:spacing w:after="0"/>
              <w:rPr>
                <w:sz w:val="20"/>
                <w:szCs w:val="20"/>
                <w:color w:val="auto"/>
              </w:rPr>
            </w:pPr>
            <w:r>
              <w:rPr>
                <w:rFonts w:ascii="Arial" w:cs="Arial" w:eastAsia="Arial" w:hAnsi="Arial"/>
                <w:sz w:val="14"/>
                <w:szCs w:val="14"/>
                <w:b w:val="1"/>
                <w:bCs w:val="1"/>
                <w:color w:val="auto"/>
              </w:rPr>
              <w:t>Plan Category</w:t>
            </w:r>
          </w:p>
        </w:tc>
        <w:tc>
          <w:tcPr>
            <w:tcW w:w="2600" w:type="dxa"/>
            <w:vAlign w:val="bottom"/>
            <w:tcBorders>
              <w:bottom w:val="single" w:sz="8" w:color="auto"/>
            </w:tcBorders>
            <w:shd w:val="clear" w:color="auto" w:fill="D8D8D8"/>
          </w:tcPr>
          <w:p>
            <w:pPr>
              <w:jc w:val="center"/>
              <w:ind w:right="252"/>
              <w:spacing w:after="0"/>
              <w:rPr>
                <w:sz w:val="20"/>
                <w:szCs w:val="20"/>
                <w:color w:val="auto"/>
              </w:rPr>
            </w:pPr>
            <w:r>
              <w:rPr>
                <w:rFonts w:ascii="Arial" w:cs="Arial" w:eastAsia="Arial" w:hAnsi="Arial"/>
                <w:sz w:val="14"/>
                <w:szCs w:val="14"/>
                <w:b w:val="1"/>
                <w:bCs w:val="1"/>
                <w:color w:val="auto"/>
                <w:w w:val="96"/>
              </w:rPr>
              <w:t>Warrants and Rights</w:t>
            </w:r>
          </w:p>
        </w:tc>
        <w:tc>
          <w:tcPr>
            <w:tcW w:w="660" w:type="dxa"/>
            <w:vAlign w:val="bottom"/>
            <w:tcBorders>
              <w:bottom w:val="single" w:sz="8" w:color="auto"/>
            </w:tcBorders>
            <w:shd w:val="clear" w:color="auto" w:fill="D8D8D8"/>
          </w:tcPr>
          <w:p>
            <w:pPr>
              <w:spacing w:after="0"/>
              <w:rPr>
                <w:sz w:val="15"/>
                <w:szCs w:val="15"/>
                <w:color w:val="auto"/>
              </w:rPr>
            </w:pPr>
          </w:p>
        </w:tc>
        <w:tc>
          <w:tcPr>
            <w:tcW w:w="2840" w:type="dxa"/>
            <w:vAlign w:val="bottom"/>
            <w:tcBorders>
              <w:bottom w:val="single" w:sz="8" w:color="auto"/>
            </w:tcBorders>
            <w:shd w:val="clear" w:color="auto" w:fill="D8D8D8"/>
          </w:tcPr>
          <w:p>
            <w:pPr>
              <w:jc w:val="center"/>
              <w:ind w:right="1012"/>
              <w:spacing w:after="0"/>
              <w:rPr>
                <w:sz w:val="20"/>
                <w:szCs w:val="20"/>
                <w:color w:val="auto"/>
              </w:rPr>
            </w:pPr>
            <w:r>
              <w:rPr>
                <w:rFonts w:ascii="Arial" w:cs="Arial" w:eastAsia="Arial" w:hAnsi="Arial"/>
                <w:sz w:val="14"/>
                <w:szCs w:val="14"/>
                <w:b w:val="1"/>
                <w:bCs w:val="1"/>
                <w:color w:val="auto"/>
                <w:w w:val="96"/>
              </w:rPr>
              <w:t>Warrants and Rights</w:t>
            </w:r>
          </w:p>
        </w:tc>
        <w:tc>
          <w:tcPr>
            <w:tcW w:w="2820" w:type="dxa"/>
            <w:vAlign w:val="bottom"/>
            <w:tcBorders>
              <w:bottom w:val="single" w:sz="8" w:color="auto"/>
            </w:tcBorders>
            <w:gridSpan w:val="2"/>
            <w:shd w:val="clear" w:color="auto" w:fill="D8D8D8"/>
          </w:tcPr>
          <w:p>
            <w:pPr>
              <w:ind w:left="180"/>
              <w:spacing w:after="0"/>
              <w:rPr>
                <w:sz w:val="20"/>
                <w:szCs w:val="20"/>
                <w:color w:val="auto"/>
              </w:rPr>
            </w:pPr>
            <w:r>
              <w:rPr>
                <w:rFonts w:ascii="Arial" w:cs="Arial" w:eastAsia="Arial" w:hAnsi="Arial"/>
                <w:sz w:val="14"/>
                <w:szCs w:val="14"/>
                <w:b w:val="1"/>
                <w:bCs w:val="1"/>
                <w:color w:val="auto"/>
              </w:rPr>
              <w:t>Under Equity Compensation Plans</w:t>
            </w:r>
            <w:r>
              <w:rPr>
                <w:rFonts w:ascii="Arial" w:cs="Arial" w:eastAsia="Arial" w:hAnsi="Arial"/>
                <w:sz w:val="11"/>
                <w:szCs w:val="11"/>
                <w:b w:val="1"/>
                <w:bCs w:val="1"/>
                <w:color w:val="auto"/>
              </w:rPr>
              <w:t>(1)</w:t>
            </w:r>
          </w:p>
        </w:tc>
      </w:tr>
      <w:tr>
        <w:trPr>
          <w:trHeight w:val="141"/>
        </w:trPr>
        <w:tc>
          <w:tcPr>
            <w:tcW w:w="20" w:type="dxa"/>
            <w:vAlign w:val="bottom"/>
          </w:tcPr>
          <w:p>
            <w:pPr>
              <w:spacing w:after="0"/>
              <w:rPr>
                <w:sz w:val="12"/>
                <w:szCs w:val="12"/>
                <w:color w:val="auto"/>
              </w:rPr>
            </w:pPr>
          </w:p>
        </w:tc>
        <w:tc>
          <w:tcPr>
            <w:tcW w:w="210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Equity compensation</w:t>
            </w: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plans approved by</w:t>
            </w: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security holders</w:t>
            </w:r>
            <w:r>
              <w:rPr>
                <w:rFonts w:ascii="Arial" w:cs="Arial" w:eastAsia="Arial" w:hAnsi="Arial"/>
                <w:sz w:val="11"/>
                <w:szCs w:val="11"/>
                <w:color w:val="auto"/>
              </w:rPr>
              <w:t>(2)</w:t>
            </w:r>
          </w:p>
        </w:tc>
        <w:tc>
          <w:tcPr>
            <w:tcW w:w="2600" w:type="dxa"/>
            <w:vAlign w:val="bottom"/>
          </w:tcPr>
          <w:p>
            <w:pPr>
              <w:ind w:left="1400"/>
              <w:spacing w:after="0" w:line="149" w:lineRule="exact"/>
              <w:rPr>
                <w:sz w:val="20"/>
                <w:szCs w:val="20"/>
                <w:color w:val="auto"/>
              </w:rPr>
            </w:pPr>
            <w:r>
              <w:rPr>
                <w:rFonts w:ascii="Arial" w:cs="Arial" w:eastAsia="Arial" w:hAnsi="Arial"/>
                <w:sz w:val="14"/>
                <w:szCs w:val="14"/>
                <w:color w:val="auto"/>
              </w:rPr>
              <w:t>7,788,619</w:t>
            </w:r>
            <w:r>
              <w:rPr>
                <w:rFonts w:ascii="Arial" w:cs="Arial" w:eastAsia="Arial" w:hAnsi="Arial"/>
                <w:sz w:val="11"/>
                <w:szCs w:val="11"/>
                <w:color w:val="auto"/>
              </w:rPr>
              <w:t>(3)</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840" w:type="dxa"/>
            <w:vAlign w:val="bottom"/>
          </w:tcPr>
          <w:p>
            <w:pPr>
              <w:ind w:left="1600"/>
              <w:spacing w:after="0" w:line="149" w:lineRule="exact"/>
              <w:rPr>
                <w:sz w:val="20"/>
                <w:szCs w:val="20"/>
                <w:color w:val="auto"/>
              </w:rPr>
            </w:pPr>
            <w:r>
              <w:rPr>
                <w:rFonts w:ascii="Arial" w:cs="Arial" w:eastAsia="Arial" w:hAnsi="Arial"/>
                <w:sz w:val="14"/>
                <w:szCs w:val="14"/>
                <w:color w:val="auto"/>
              </w:rPr>
              <w:t>12.56</w:t>
            </w:r>
            <w:r>
              <w:rPr>
                <w:rFonts w:ascii="Arial" w:cs="Arial" w:eastAsia="Arial" w:hAnsi="Arial"/>
                <w:sz w:val="11"/>
                <w:szCs w:val="11"/>
                <w:color w:val="auto"/>
              </w:rPr>
              <w:t>(4)</w:t>
            </w:r>
          </w:p>
        </w:tc>
        <w:tc>
          <w:tcPr>
            <w:tcW w:w="2820" w:type="dxa"/>
            <w:vAlign w:val="bottom"/>
            <w:gridSpan w:val="2"/>
          </w:tcPr>
          <w:p>
            <w:pPr>
              <w:ind w:left="2020"/>
              <w:spacing w:after="0" w:line="149" w:lineRule="exact"/>
              <w:rPr>
                <w:sz w:val="20"/>
                <w:szCs w:val="20"/>
                <w:color w:val="auto"/>
              </w:rPr>
            </w:pPr>
            <w:r>
              <w:rPr>
                <w:rFonts w:ascii="Arial" w:cs="Arial" w:eastAsia="Arial" w:hAnsi="Arial"/>
                <w:sz w:val="14"/>
                <w:szCs w:val="14"/>
                <w:color w:val="auto"/>
              </w:rPr>
              <w:t>2,876,068</w:t>
            </w:r>
            <w:r>
              <w:rPr>
                <w:rFonts w:ascii="Arial" w:cs="Arial" w:eastAsia="Arial" w:hAnsi="Arial"/>
                <w:sz w:val="11"/>
                <w:szCs w:val="11"/>
                <w:color w:val="auto"/>
              </w:rPr>
              <w:t>(5)</w:t>
            </w:r>
          </w:p>
        </w:tc>
      </w:tr>
      <w:tr>
        <w:trPr>
          <w:trHeight w:val="148"/>
        </w:trPr>
        <w:tc>
          <w:tcPr>
            <w:tcW w:w="20" w:type="dxa"/>
            <w:vAlign w:val="bottom"/>
          </w:tcPr>
          <w:p>
            <w:pPr>
              <w:spacing w:after="0"/>
              <w:rPr>
                <w:sz w:val="12"/>
                <w:szCs w:val="12"/>
                <w:color w:val="auto"/>
              </w:rPr>
            </w:pPr>
          </w:p>
        </w:tc>
        <w:tc>
          <w:tcPr>
            <w:tcW w:w="2100" w:type="dxa"/>
            <w:vAlign w:val="bottom"/>
            <w:gridSpan w:val="2"/>
            <w:shd w:val="clear" w:color="auto" w:fill="D8D8D8"/>
          </w:tcPr>
          <w:p>
            <w:pPr>
              <w:ind w:left="20"/>
              <w:spacing w:after="0" w:line="148" w:lineRule="exact"/>
              <w:rPr>
                <w:sz w:val="20"/>
                <w:szCs w:val="20"/>
                <w:color w:val="auto"/>
              </w:rPr>
            </w:pPr>
            <w:r>
              <w:rPr>
                <w:rFonts w:ascii="Arial" w:cs="Arial" w:eastAsia="Arial" w:hAnsi="Arial"/>
                <w:sz w:val="14"/>
                <w:szCs w:val="14"/>
                <w:color w:val="auto"/>
              </w:rPr>
              <w:t>Equity compensation</w:t>
            </w:r>
          </w:p>
        </w:tc>
        <w:tc>
          <w:tcPr>
            <w:tcW w:w="26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52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D8D8D8"/>
          </w:tcPr>
          <w:p>
            <w:pPr>
              <w:ind w:left="120"/>
              <w:spacing w:after="0" w:line="149" w:lineRule="exact"/>
              <w:rPr>
                <w:sz w:val="20"/>
                <w:szCs w:val="20"/>
                <w:color w:val="auto"/>
              </w:rPr>
            </w:pPr>
            <w:r>
              <w:rPr>
                <w:rFonts w:ascii="Arial" w:cs="Arial" w:eastAsia="Arial" w:hAnsi="Arial"/>
                <w:sz w:val="14"/>
                <w:szCs w:val="14"/>
                <w:color w:val="auto"/>
              </w:rPr>
              <w:t>plans not approved by</w:t>
            </w:r>
          </w:p>
        </w:tc>
        <w:tc>
          <w:tcPr>
            <w:tcW w:w="26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52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D8D8D8"/>
          </w:tcPr>
          <w:p>
            <w:pPr>
              <w:ind w:left="120"/>
              <w:spacing w:after="0" w:line="149" w:lineRule="exact"/>
              <w:rPr>
                <w:sz w:val="20"/>
                <w:szCs w:val="20"/>
                <w:color w:val="auto"/>
              </w:rPr>
            </w:pPr>
            <w:r>
              <w:rPr>
                <w:rFonts w:ascii="Arial" w:cs="Arial" w:eastAsia="Arial" w:hAnsi="Arial"/>
                <w:sz w:val="14"/>
                <w:szCs w:val="14"/>
                <w:color w:val="auto"/>
              </w:rPr>
              <w:t>security holders</w:t>
            </w:r>
          </w:p>
        </w:tc>
        <w:tc>
          <w:tcPr>
            <w:tcW w:w="2600" w:type="dxa"/>
            <w:vAlign w:val="bottom"/>
            <w:shd w:val="clear" w:color="auto" w:fill="D8D8D8"/>
          </w:tcPr>
          <w:p>
            <w:pPr>
              <w:ind w:left="1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D8D8D8"/>
          </w:tcPr>
          <w:p>
            <w:pPr>
              <w:spacing w:after="0"/>
              <w:rPr>
                <w:sz w:val="12"/>
                <w:szCs w:val="12"/>
                <w:color w:val="auto"/>
              </w:rPr>
            </w:pPr>
          </w:p>
        </w:tc>
        <w:tc>
          <w:tcPr>
            <w:tcW w:w="2840" w:type="dxa"/>
            <w:vAlign w:val="bottom"/>
            <w:shd w:val="clear" w:color="auto" w:fill="D8D8D8"/>
          </w:tcPr>
          <w:p>
            <w:pPr>
              <w:ind w:left="1000"/>
              <w:spacing w:after="0" w:line="149" w:lineRule="exact"/>
              <w:rPr>
                <w:sz w:val="20"/>
                <w:szCs w:val="20"/>
                <w:color w:val="auto"/>
              </w:rPr>
            </w:pPr>
            <w:r>
              <w:rPr>
                <w:rFonts w:ascii="Arial" w:cs="Arial" w:eastAsia="Arial" w:hAnsi="Arial"/>
                <w:sz w:val="14"/>
                <w:szCs w:val="14"/>
                <w:color w:val="auto"/>
              </w:rPr>
              <w:t>—</w:t>
            </w:r>
          </w:p>
        </w:tc>
        <w:tc>
          <w:tcPr>
            <w:tcW w:w="2820" w:type="dxa"/>
            <w:vAlign w:val="bottom"/>
            <w:gridSpan w:val="2"/>
            <w:shd w:val="clear" w:color="auto" w:fill="D8D8D8"/>
          </w:tcPr>
          <w:p>
            <w:pPr>
              <w:ind w:left="14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10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Total</w:t>
            </w:r>
          </w:p>
        </w:tc>
        <w:tc>
          <w:tcPr>
            <w:tcW w:w="2600" w:type="dxa"/>
            <w:vAlign w:val="bottom"/>
            <w:tcBorders>
              <w:bottom w:val="single" w:sz="8" w:color="auto"/>
            </w:tcBorders>
          </w:tcPr>
          <w:p>
            <w:pPr>
              <w:ind w:left="1400"/>
              <w:spacing w:after="0" w:line="149" w:lineRule="exact"/>
              <w:rPr>
                <w:sz w:val="20"/>
                <w:szCs w:val="20"/>
                <w:color w:val="auto"/>
              </w:rPr>
            </w:pPr>
            <w:r>
              <w:rPr>
                <w:rFonts w:ascii="Arial" w:cs="Arial" w:eastAsia="Arial" w:hAnsi="Arial"/>
                <w:sz w:val="14"/>
                <w:szCs w:val="14"/>
                <w:color w:val="auto"/>
              </w:rPr>
              <w:t>7,788,619</w:t>
            </w:r>
          </w:p>
        </w:tc>
        <w:tc>
          <w:tcPr>
            <w:tcW w:w="66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2840" w:type="dxa"/>
            <w:vAlign w:val="bottom"/>
            <w:tcBorders>
              <w:bottom w:val="single" w:sz="8" w:color="auto"/>
            </w:tcBorders>
          </w:tcPr>
          <w:p>
            <w:pPr>
              <w:ind w:left="1600"/>
              <w:spacing w:after="0" w:line="149" w:lineRule="exact"/>
              <w:rPr>
                <w:sz w:val="20"/>
                <w:szCs w:val="20"/>
                <w:color w:val="auto"/>
              </w:rPr>
            </w:pPr>
            <w:r>
              <w:rPr>
                <w:rFonts w:ascii="Arial" w:cs="Arial" w:eastAsia="Arial" w:hAnsi="Arial"/>
                <w:sz w:val="14"/>
                <w:szCs w:val="14"/>
                <w:color w:val="auto"/>
              </w:rPr>
              <w:t>12.56</w:t>
            </w:r>
          </w:p>
        </w:tc>
        <w:tc>
          <w:tcPr>
            <w:tcW w:w="2820" w:type="dxa"/>
            <w:vAlign w:val="bottom"/>
            <w:tcBorders>
              <w:bottom w:val="single" w:sz="8" w:color="auto"/>
            </w:tcBorders>
            <w:gridSpan w:val="2"/>
          </w:tcPr>
          <w:p>
            <w:pPr>
              <w:ind w:left="2020"/>
              <w:spacing w:after="0" w:line="149" w:lineRule="exact"/>
              <w:rPr>
                <w:sz w:val="20"/>
                <w:szCs w:val="20"/>
                <w:color w:val="auto"/>
              </w:rPr>
            </w:pPr>
            <w:r>
              <w:rPr>
                <w:rFonts w:ascii="Arial" w:cs="Arial" w:eastAsia="Arial" w:hAnsi="Arial"/>
                <w:sz w:val="14"/>
                <w:szCs w:val="14"/>
                <w:color w:val="auto"/>
              </w:rPr>
              <w:t>2,876,068</w:t>
            </w:r>
          </w:p>
        </w:tc>
      </w:tr>
    </w:tbl>
    <w:p>
      <w:pPr>
        <w:spacing w:after="0" w:line="45" w:lineRule="exact"/>
        <w:rPr>
          <w:sz w:val="20"/>
          <w:szCs w:val="20"/>
          <w:color w:val="auto"/>
        </w:rPr>
      </w:pPr>
    </w:p>
    <w:p>
      <w:pPr>
        <w:ind w:right="60" w:firstLine="4"/>
        <w:spacing w:after="0" w:line="208" w:lineRule="auto"/>
        <w:tabs>
          <w:tab w:leader="none" w:pos="108"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Pursuant to the terms of the 2015 Incentive Award Plan, or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of directors. Pursuant to the terms of the 2015 Employee Stock Purchase Plan, or the 2015 ESPP, the number of shares of common stock available for issuance under the</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040"/>
          </w:cols>
          <w:pgMar w:left="440" w:top="287" w:right="4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AND DIRECTOR COMPENSATION</w:t>
      </w:r>
    </w:p>
    <w:p>
      <w:pPr>
        <w:spacing w:after="0" w:line="14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2015 ESPP automatically increases on each January 1 until and including January 1, 2025, by an amount equal to the least of: (a) 400,000 shares, (b) 1% of the shares of common stock outstanding on the final day of the immediately preceding calendar year and (c) such smaller number of shares as is determined by our board of directors.</w:t>
      </w:r>
    </w:p>
    <w:p>
      <w:pPr>
        <w:ind w:left="120" w:hanging="116"/>
        <w:spacing w:after="0" w:line="181" w:lineRule="auto"/>
        <w:tabs>
          <w:tab w:leader="none" w:pos="120" w:val="left"/>
        </w:tabs>
        <w:numPr>
          <w:ilvl w:val="0"/>
          <w:numId w:val="29"/>
        </w:numPr>
        <w:rPr>
          <w:rFonts w:ascii="Arial" w:cs="Arial" w:eastAsia="Arial" w:hAnsi="Arial"/>
          <w:sz w:val="22"/>
          <w:szCs w:val="22"/>
          <w:color w:val="auto"/>
          <w:vertAlign w:val="superscript"/>
        </w:rPr>
      </w:pPr>
      <w:r>
        <w:rPr>
          <w:rFonts w:ascii="Arial" w:cs="Arial" w:eastAsia="Arial" w:hAnsi="Arial"/>
          <w:sz w:val="13"/>
          <w:szCs w:val="13"/>
          <w:color w:val="auto"/>
        </w:rPr>
        <w:t>Consists of the 2012 Stock Incentive Plan, or the 2012 Plan, the 2015 Plan, and the 2015 ESPP.</w:t>
      </w:r>
    </w:p>
    <w:p>
      <w:pPr>
        <w:spacing w:after="0" w:line="17" w:lineRule="exact"/>
        <w:rPr>
          <w:sz w:val="20"/>
          <w:szCs w:val="20"/>
          <w:color w:val="auto"/>
        </w:rPr>
      </w:pPr>
    </w:p>
    <w:p>
      <w:pPr>
        <w:ind w:right="320" w:firstLine="4"/>
        <w:spacing w:after="0" w:line="183" w:lineRule="auto"/>
        <w:tabs>
          <w:tab w:leader="none" w:pos="108"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Includes 2,210,453 outstanding options to purchase stock under the 2012 Plan, 5,351,266 outstanding options to purchase stock under the 2015 Plan, and 226,900 restricted stock units under the 2015 Plan.</w:t>
      </w:r>
    </w:p>
    <w:p>
      <w:pPr>
        <w:spacing w:after="0" w:line="31" w:lineRule="exact"/>
        <w:rPr>
          <w:sz w:val="20"/>
          <w:szCs w:val="20"/>
          <w:color w:val="auto"/>
        </w:rPr>
      </w:pPr>
    </w:p>
    <w:p>
      <w:pPr>
        <w:ind w:right="440" w:firstLine="4"/>
        <w:spacing w:after="0" w:line="183" w:lineRule="auto"/>
        <w:tabs>
          <w:tab w:leader="none" w:pos="108"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As of December 31, 2018, the weighted-average exercise price of outstanding options under the 2012 Plan was $5.40 and the weighted-average exercise price of outstanding options under the 2015 Plan was $15.10.</w:t>
      </w:r>
    </w:p>
    <w:p>
      <w:pPr>
        <w:spacing w:after="0" w:line="31" w:lineRule="exact"/>
        <w:rPr>
          <w:sz w:val="20"/>
          <w:szCs w:val="20"/>
          <w:color w:val="auto"/>
        </w:rPr>
      </w:pPr>
    </w:p>
    <w:p>
      <w:pPr>
        <w:ind w:right="200" w:firstLine="4"/>
        <w:spacing w:after="0" w:line="183" w:lineRule="auto"/>
        <w:tabs>
          <w:tab w:leader="none" w:pos="108"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As of December 31, 2018, a total of 2,876,086 shares of stock were available for issuance (of which 46,472 shares were issued with respect to the purchase period in effect as of December 31, 2018, which ended March 8, 2019) under the 2015 ESPP and 1,353,580 securities available for future issuance under the 2015 Plan.</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840"/>
          </w:cols>
          <w:pgMar w:left="440" w:top="287" w:right="6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March 31, 2019,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41,094,832 shares of Common Stock outstanding as of March 31, 2019. In computing the number of shares beneficially owned by a person and the percentage ownership of that person, shares of Common Stock subject to options, or other rights held by such person that are currently exercisable or will become exercisable within 60 days of March 31, 2019 are considered outstanding, although these shares are not considered outstanding for purposes of computing the percentage ownership of any other person.</w:t>
      </w:r>
    </w:p>
    <w:p>
      <w:pPr>
        <w:spacing w:after="0" w:line="4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6960" w:type="dxa"/>
            <w:vAlign w:val="bottom"/>
            <w:gridSpan w:val="3"/>
            <w:shd w:val="clear" w:color="auto" w:fill="D8D8D8"/>
          </w:tcPr>
          <w:p>
            <w:pPr>
              <w:ind w:left="2280"/>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gridSpan w:val="2"/>
            <w:shd w:val="clear" w:color="auto" w:fill="D8D8D8"/>
          </w:tcPr>
          <w:p>
            <w:pPr>
              <w:ind w:left="240"/>
              <w:spacing w:after="0"/>
              <w:rPr>
                <w:sz w:val="20"/>
                <w:szCs w:val="20"/>
                <w:color w:val="auto"/>
              </w:rPr>
            </w:pPr>
            <w:r>
              <w:rPr>
                <w:rFonts w:ascii="Arial" w:cs="Arial" w:eastAsia="Arial" w:hAnsi="Arial"/>
                <w:sz w:val="14"/>
                <w:szCs w:val="14"/>
                <w:b w:val="1"/>
                <w:bCs w:val="1"/>
                <w:color w:val="auto"/>
              </w:rPr>
              <w:t>NUMBER</w:t>
            </w:r>
          </w:p>
        </w:tc>
        <w:tc>
          <w:tcPr>
            <w:tcW w:w="1180" w:type="dxa"/>
            <w:vAlign w:val="bottom"/>
            <w:shd w:val="clear" w:color="auto" w:fill="D8D8D8"/>
          </w:tcPr>
          <w:p>
            <w:pPr>
              <w:ind w:lef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6700" w:type="dxa"/>
            <w:vAlign w:val="bottom"/>
            <w:tcBorders>
              <w:top w:val="single" w:sz="8" w:color="auto"/>
            </w:tcBorders>
            <w:shd w:val="clear" w:color="auto" w:fill="BFBFBF"/>
          </w:tcPr>
          <w:p>
            <w:pPr>
              <w:ind w:left="80"/>
              <w:spacing w:after="0" w:line="155" w:lineRule="exact"/>
              <w:rPr>
                <w:sz w:val="20"/>
                <w:szCs w:val="20"/>
                <w:color w:val="auto"/>
              </w:rPr>
            </w:pPr>
            <w:r>
              <w:rPr>
                <w:rFonts w:ascii="Arial" w:cs="Arial" w:eastAsia="Arial" w:hAnsi="Arial"/>
                <w:sz w:val="14"/>
                <w:szCs w:val="14"/>
                <w:b w:val="1"/>
                <w:bCs w:val="1"/>
                <w:i w:val="1"/>
                <w:iCs w:val="1"/>
                <w:color w:val="auto"/>
              </w:rPr>
              <w:t>5% or Greater Stockholders</w:t>
            </w:r>
          </w:p>
        </w:tc>
        <w:tc>
          <w:tcPr>
            <w:tcW w:w="260" w:type="dxa"/>
            <w:vAlign w:val="bottom"/>
            <w:tcBorders>
              <w:top w:val="single" w:sz="8" w:color="BFBFBF"/>
            </w:tcBorders>
            <w:gridSpan w:val="2"/>
            <w:shd w:val="clear" w:color="auto" w:fill="BFBFBF"/>
          </w:tcPr>
          <w:p>
            <w:pPr>
              <w:spacing w:after="0"/>
              <w:rPr>
                <w:sz w:val="13"/>
                <w:szCs w:val="13"/>
                <w:color w:val="auto"/>
              </w:rPr>
            </w:pPr>
          </w:p>
        </w:tc>
        <w:tc>
          <w:tcPr>
            <w:tcW w:w="960" w:type="dxa"/>
            <w:vAlign w:val="bottom"/>
            <w:tcBorders>
              <w:top w:val="single" w:sz="8" w:color="auto"/>
            </w:tcBorders>
            <w:shd w:val="clear" w:color="auto" w:fill="BFBFBF"/>
          </w:tcPr>
          <w:p>
            <w:pPr>
              <w:spacing w:after="0"/>
              <w:rPr>
                <w:sz w:val="13"/>
                <w:szCs w:val="13"/>
                <w:color w:val="auto"/>
              </w:rPr>
            </w:pPr>
          </w:p>
        </w:tc>
        <w:tc>
          <w:tcPr>
            <w:tcW w:w="160" w:type="dxa"/>
            <w:vAlign w:val="bottom"/>
            <w:tcBorders>
              <w:top w:val="single" w:sz="8" w:color="BFBFBF"/>
            </w:tcBorders>
            <w:shd w:val="clear" w:color="auto" w:fill="BFBFBF"/>
          </w:tcPr>
          <w:p>
            <w:pPr>
              <w:spacing w:after="0"/>
              <w:rPr>
                <w:sz w:val="13"/>
                <w:szCs w:val="13"/>
                <w:color w:val="auto"/>
              </w:rPr>
            </w:pPr>
          </w:p>
        </w:tc>
        <w:tc>
          <w:tcPr>
            <w:tcW w:w="1180" w:type="dxa"/>
            <w:vAlign w:val="bottom"/>
            <w:tcBorders>
              <w:top w:val="single" w:sz="8" w:color="auto"/>
            </w:tcBorders>
            <w:shd w:val="clear" w:color="auto" w:fill="BFBFBF"/>
          </w:tcPr>
          <w:p>
            <w:pPr>
              <w:spacing w:after="0"/>
              <w:rPr>
                <w:sz w:val="13"/>
                <w:szCs w:val="13"/>
                <w:color w:val="auto"/>
              </w:rPr>
            </w:pPr>
          </w:p>
        </w:tc>
      </w:tr>
      <w:tr>
        <w:trPr>
          <w:trHeight w:val="162"/>
        </w:trPr>
        <w:tc>
          <w:tcPr>
            <w:tcW w:w="6960" w:type="dxa"/>
            <w:vAlign w:val="bottom"/>
            <w:gridSpan w:val="3"/>
          </w:tcPr>
          <w:p>
            <w:pPr>
              <w:ind w:left="80"/>
              <w:spacing w:after="0"/>
              <w:rPr>
                <w:sz w:val="20"/>
                <w:szCs w:val="20"/>
                <w:color w:val="auto"/>
              </w:rPr>
            </w:pPr>
            <w:r>
              <w:rPr>
                <w:rFonts w:ascii="Arial" w:cs="Arial" w:eastAsia="Arial" w:hAnsi="Arial"/>
                <w:sz w:val="14"/>
                <w:szCs w:val="14"/>
                <w:color w:val="auto"/>
              </w:rPr>
              <w:t>Entities affiliated with Flagship Pioneering</w:t>
            </w:r>
          </w:p>
        </w:tc>
        <w:tc>
          <w:tcPr>
            <w:tcW w:w="960" w:type="dxa"/>
            <w:vAlign w:val="bottom"/>
          </w:tcPr>
          <w:p>
            <w:pPr>
              <w:jc w:val="right"/>
              <w:spacing w:after="0"/>
              <w:rPr>
                <w:sz w:val="20"/>
                <w:szCs w:val="20"/>
                <w:color w:val="auto"/>
              </w:rPr>
            </w:pPr>
            <w:r>
              <w:rPr>
                <w:rFonts w:ascii="Arial" w:cs="Arial" w:eastAsia="Arial" w:hAnsi="Arial"/>
                <w:sz w:val="14"/>
                <w:szCs w:val="14"/>
                <w:color w:val="auto"/>
              </w:rPr>
              <w:t>12,682,876</w:t>
            </w:r>
          </w:p>
        </w:tc>
        <w:tc>
          <w:tcPr>
            <w:tcW w:w="16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30.9%</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Nestlé Health Science US Holdings, Inc.</w:t>
            </w:r>
            <w:r>
              <w:rPr>
                <w:rFonts w:ascii="Arial" w:cs="Arial" w:eastAsia="Arial" w:hAnsi="Arial"/>
                <w:sz w:val="18"/>
                <w:szCs w:val="18"/>
                <w:color w:val="auto"/>
                <w:vertAlign w:val="superscript"/>
              </w:rPr>
              <w:t>2</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6,899,201</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16.8%</w:t>
            </w:r>
          </w:p>
        </w:tc>
      </w:tr>
      <w:tr>
        <w:trPr>
          <w:trHeight w:val="162"/>
        </w:trPr>
        <w:tc>
          <w:tcPr>
            <w:tcW w:w="6960" w:type="dxa"/>
            <w:vAlign w:val="bottom"/>
            <w:gridSpan w:val="3"/>
          </w:tcPr>
          <w:p>
            <w:pPr>
              <w:ind w:left="80"/>
              <w:spacing w:after="0" w:line="162" w:lineRule="exact"/>
              <w:rPr>
                <w:sz w:val="20"/>
                <w:szCs w:val="20"/>
                <w:color w:val="auto"/>
              </w:rPr>
            </w:pPr>
            <w:r>
              <w:rPr>
                <w:rFonts w:ascii="Arial" w:cs="Arial" w:eastAsia="Arial" w:hAnsi="Arial"/>
                <w:sz w:val="11"/>
                <w:szCs w:val="11"/>
                <w:color w:val="auto"/>
              </w:rPr>
              <w:t>FMR LLC</w:t>
            </w:r>
            <w:r>
              <w:rPr>
                <w:rFonts w:ascii="Arial" w:cs="Arial" w:eastAsia="Arial" w:hAnsi="Arial"/>
                <w:sz w:val="18"/>
                <w:szCs w:val="18"/>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4"/>
                <w:szCs w:val="14"/>
                <w:color w:val="auto"/>
              </w:rPr>
              <w:t>6,128,386</w:t>
            </w:r>
          </w:p>
        </w:tc>
        <w:tc>
          <w:tcPr>
            <w:tcW w:w="16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14.9%</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ARK Investment Management LLC</w:t>
            </w:r>
            <w:r>
              <w:rPr>
                <w:rFonts w:ascii="Arial" w:cs="Arial" w:eastAsia="Arial" w:hAnsi="Arial"/>
                <w:sz w:val="18"/>
                <w:szCs w:val="18"/>
                <w:color w:val="auto"/>
                <w:vertAlign w:val="superscript"/>
              </w:rPr>
              <w:t>4</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4,119,479</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10.0%</w:t>
            </w:r>
          </w:p>
        </w:tc>
      </w:tr>
      <w:tr>
        <w:trPr>
          <w:trHeight w:val="162"/>
        </w:trPr>
        <w:tc>
          <w:tcPr>
            <w:tcW w:w="6960" w:type="dxa"/>
            <w:vAlign w:val="bottom"/>
            <w:gridSpan w:val="3"/>
          </w:tcPr>
          <w:p>
            <w:pPr>
              <w:ind w:left="80"/>
              <w:spacing w:after="0" w:line="162" w:lineRule="exact"/>
              <w:rPr>
                <w:sz w:val="20"/>
                <w:szCs w:val="20"/>
                <w:color w:val="auto"/>
              </w:rPr>
            </w:pPr>
            <w:r>
              <w:rPr>
                <w:rFonts w:ascii="Arial" w:cs="Arial" w:eastAsia="Arial" w:hAnsi="Arial"/>
                <w:sz w:val="11"/>
                <w:szCs w:val="11"/>
                <w:color w:val="auto"/>
              </w:rPr>
              <w:t>BlackRock, Inc.</w:t>
            </w:r>
            <w:r>
              <w:rPr>
                <w:rFonts w:ascii="Arial" w:cs="Arial" w:eastAsia="Arial" w:hAnsi="Arial"/>
                <w:sz w:val="18"/>
                <w:szCs w:val="18"/>
                <w:color w:val="auto"/>
                <w:vertAlign w:val="superscript"/>
              </w:rPr>
              <w:t>5</w:t>
            </w:r>
          </w:p>
        </w:tc>
        <w:tc>
          <w:tcPr>
            <w:tcW w:w="960" w:type="dxa"/>
            <w:vAlign w:val="bottom"/>
          </w:tcPr>
          <w:p>
            <w:pPr>
              <w:jc w:val="right"/>
              <w:spacing w:after="0"/>
              <w:rPr>
                <w:sz w:val="20"/>
                <w:szCs w:val="20"/>
                <w:color w:val="auto"/>
              </w:rPr>
            </w:pPr>
            <w:r>
              <w:rPr>
                <w:rFonts w:ascii="Arial" w:cs="Arial" w:eastAsia="Arial" w:hAnsi="Arial"/>
                <w:sz w:val="14"/>
                <w:szCs w:val="14"/>
                <w:color w:val="auto"/>
              </w:rPr>
              <w:t>2,256,858</w:t>
            </w:r>
          </w:p>
        </w:tc>
        <w:tc>
          <w:tcPr>
            <w:tcW w:w="160" w:type="dxa"/>
            <w:vAlign w:val="bottom"/>
          </w:tcPr>
          <w:p>
            <w:pPr>
              <w:spacing w:after="0"/>
              <w:rPr>
                <w:sz w:val="14"/>
                <w:szCs w:val="14"/>
                <w:color w:val="auto"/>
              </w:rPr>
            </w:pPr>
          </w:p>
        </w:tc>
        <w:tc>
          <w:tcPr>
            <w:tcW w:w="1180" w:type="dxa"/>
            <w:vAlign w:val="bottom"/>
          </w:tcPr>
          <w:p>
            <w:pPr>
              <w:jc w:val="center"/>
              <w:ind w:left="168"/>
              <w:spacing w:after="0"/>
              <w:rPr>
                <w:sz w:val="20"/>
                <w:szCs w:val="20"/>
                <w:color w:val="auto"/>
              </w:rPr>
            </w:pPr>
            <w:r>
              <w:rPr>
                <w:rFonts w:ascii="Arial" w:cs="Arial" w:eastAsia="Arial" w:hAnsi="Arial"/>
                <w:sz w:val="14"/>
                <w:szCs w:val="14"/>
                <w:color w:val="auto"/>
              </w:rPr>
              <w:t>5.5%</w:t>
            </w:r>
          </w:p>
        </w:tc>
      </w:tr>
      <w:tr>
        <w:trPr>
          <w:trHeight w:val="162"/>
        </w:trPr>
        <w:tc>
          <w:tcPr>
            <w:tcW w:w="6960" w:type="dxa"/>
            <w:vAlign w:val="bottom"/>
            <w:gridSpan w:val="3"/>
            <w:shd w:val="clear" w:color="auto" w:fill="BFBFBF"/>
          </w:tcPr>
          <w:p>
            <w:pPr>
              <w:ind w:left="8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960" w:type="dxa"/>
            <w:vAlign w:val="bottom"/>
            <w:shd w:val="clear" w:color="auto" w:fill="BFBFBF"/>
          </w:tcPr>
          <w:p>
            <w:pPr>
              <w:spacing w:after="0"/>
              <w:rPr>
                <w:sz w:val="14"/>
                <w:szCs w:val="14"/>
                <w:color w:val="auto"/>
              </w:rPr>
            </w:pPr>
          </w:p>
        </w:tc>
        <w:tc>
          <w:tcPr>
            <w:tcW w:w="160" w:type="dxa"/>
            <w:vAlign w:val="bottom"/>
            <w:shd w:val="clear" w:color="auto" w:fill="BFBFBF"/>
          </w:tcPr>
          <w:p>
            <w:pPr>
              <w:spacing w:after="0"/>
              <w:rPr>
                <w:sz w:val="14"/>
                <w:szCs w:val="14"/>
                <w:color w:val="auto"/>
              </w:rPr>
            </w:pPr>
          </w:p>
        </w:tc>
        <w:tc>
          <w:tcPr>
            <w:tcW w:w="1180" w:type="dxa"/>
            <w:vAlign w:val="bottom"/>
            <w:shd w:val="clear" w:color="auto" w:fill="BFBFBF"/>
          </w:tcPr>
          <w:p>
            <w:pPr>
              <w:spacing w:after="0"/>
              <w:rPr>
                <w:sz w:val="14"/>
                <w:szCs w:val="14"/>
                <w:color w:val="auto"/>
              </w:rPr>
            </w:pPr>
          </w:p>
        </w:tc>
      </w:tr>
      <w:tr>
        <w:trPr>
          <w:trHeight w:val="162"/>
        </w:trPr>
        <w:tc>
          <w:tcPr>
            <w:tcW w:w="6960" w:type="dxa"/>
            <w:vAlign w:val="bottom"/>
            <w:gridSpan w:val="3"/>
          </w:tcPr>
          <w:p>
            <w:pPr>
              <w:ind w:left="80"/>
              <w:spacing w:after="0" w:line="162" w:lineRule="exact"/>
              <w:rPr>
                <w:sz w:val="20"/>
                <w:szCs w:val="20"/>
                <w:color w:val="auto"/>
              </w:rPr>
            </w:pPr>
            <w:r>
              <w:rPr>
                <w:rFonts w:ascii="Arial" w:cs="Arial" w:eastAsia="Arial" w:hAnsi="Arial"/>
                <w:sz w:val="11"/>
                <w:szCs w:val="11"/>
                <w:color w:val="auto"/>
              </w:rPr>
              <w:t>Roger J. Pomerantz, M.D.</w:t>
            </w:r>
            <w:r>
              <w:rPr>
                <w:rFonts w:ascii="Arial" w:cs="Arial" w:eastAsia="Arial" w:hAnsi="Arial"/>
                <w:sz w:val="18"/>
                <w:szCs w:val="18"/>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4"/>
                <w:szCs w:val="14"/>
                <w:color w:val="auto"/>
              </w:rPr>
              <w:t>1,329,542</w:t>
            </w:r>
          </w:p>
        </w:tc>
        <w:tc>
          <w:tcPr>
            <w:tcW w:w="160" w:type="dxa"/>
            <w:vAlign w:val="bottom"/>
          </w:tcPr>
          <w:p>
            <w:pPr>
              <w:spacing w:after="0"/>
              <w:rPr>
                <w:sz w:val="14"/>
                <w:szCs w:val="14"/>
                <w:color w:val="auto"/>
              </w:rPr>
            </w:pPr>
          </w:p>
        </w:tc>
        <w:tc>
          <w:tcPr>
            <w:tcW w:w="1180" w:type="dxa"/>
            <w:vAlign w:val="bottom"/>
          </w:tcPr>
          <w:p>
            <w:pPr>
              <w:jc w:val="center"/>
              <w:ind w:left="168"/>
              <w:spacing w:after="0"/>
              <w:rPr>
                <w:sz w:val="20"/>
                <w:szCs w:val="20"/>
                <w:color w:val="auto"/>
              </w:rPr>
            </w:pPr>
            <w:r>
              <w:rPr>
                <w:rFonts w:ascii="Arial" w:cs="Arial" w:eastAsia="Arial" w:hAnsi="Arial"/>
                <w:sz w:val="14"/>
                <w:szCs w:val="14"/>
                <w:color w:val="auto"/>
              </w:rPr>
              <w:t>3.2%</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Noubar B. Afeyan, Ph.D.</w:t>
            </w:r>
            <w:r>
              <w:rPr>
                <w:rFonts w:ascii="Arial" w:cs="Arial" w:eastAsia="Arial" w:hAnsi="Arial"/>
                <w:sz w:val="18"/>
                <w:szCs w:val="18"/>
                <w:color w:val="auto"/>
                <w:vertAlign w:val="superscript"/>
              </w:rPr>
              <w:t>1</w:t>
            </w:r>
            <w:r>
              <w:rPr>
                <w:rFonts w:ascii="Arial" w:cs="Arial" w:eastAsia="Arial" w:hAnsi="Arial"/>
                <w:sz w:val="11"/>
                <w:szCs w:val="11"/>
                <w:color w:val="auto"/>
              </w:rPr>
              <w:t>,</w:t>
            </w:r>
            <w:r>
              <w:rPr>
                <w:rFonts w:ascii="Arial" w:cs="Arial" w:eastAsia="Arial" w:hAnsi="Arial"/>
                <w:sz w:val="18"/>
                <w:szCs w:val="18"/>
                <w:color w:val="auto"/>
                <w:vertAlign w:val="superscript"/>
              </w:rPr>
              <w:t>7</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12,743,017</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31.0%</w:t>
            </w:r>
          </w:p>
        </w:tc>
      </w:tr>
      <w:tr>
        <w:trPr>
          <w:trHeight w:val="162"/>
        </w:trPr>
        <w:tc>
          <w:tcPr>
            <w:tcW w:w="6960" w:type="dxa"/>
            <w:vAlign w:val="bottom"/>
            <w:gridSpan w:val="3"/>
          </w:tcPr>
          <w:p>
            <w:pPr>
              <w:ind w:left="80"/>
              <w:spacing w:after="0" w:line="162" w:lineRule="exact"/>
              <w:rPr>
                <w:sz w:val="20"/>
                <w:szCs w:val="20"/>
                <w:color w:val="auto"/>
              </w:rPr>
            </w:pPr>
            <w:r>
              <w:rPr>
                <w:rFonts w:ascii="Arial" w:cs="Arial" w:eastAsia="Arial" w:hAnsi="Arial"/>
                <w:sz w:val="11"/>
                <w:szCs w:val="11"/>
                <w:color w:val="auto"/>
              </w:rPr>
              <w:t>Dennis A. Ausiello, M.D.</w:t>
            </w:r>
            <w:r>
              <w:rPr>
                <w:rFonts w:ascii="Arial" w:cs="Arial" w:eastAsia="Arial" w:hAnsi="Arial"/>
                <w:sz w:val="18"/>
                <w:szCs w:val="18"/>
                <w:color w:val="auto"/>
                <w:vertAlign w:val="superscript"/>
              </w:rPr>
              <w:t>8</w:t>
            </w:r>
          </w:p>
        </w:tc>
        <w:tc>
          <w:tcPr>
            <w:tcW w:w="960" w:type="dxa"/>
            <w:vAlign w:val="bottom"/>
          </w:tcPr>
          <w:p>
            <w:pPr>
              <w:jc w:val="right"/>
              <w:spacing w:after="0"/>
              <w:rPr>
                <w:sz w:val="20"/>
                <w:szCs w:val="20"/>
                <w:color w:val="auto"/>
              </w:rPr>
            </w:pPr>
            <w:r>
              <w:rPr>
                <w:rFonts w:ascii="Arial" w:cs="Arial" w:eastAsia="Arial" w:hAnsi="Arial"/>
                <w:sz w:val="14"/>
                <w:szCs w:val="14"/>
                <w:color w:val="auto"/>
              </w:rPr>
              <w:t>105,000</w:t>
            </w:r>
          </w:p>
        </w:tc>
        <w:tc>
          <w:tcPr>
            <w:tcW w:w="16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Grégory Behar</w:t>
            </w:r>
            <w:r>
              <w:rPr>
                <w:rFonts w:ascii="Arial" w:cs="Arial" w:eastAsia="Arial" w:hAnsi="Arial"/>
                <w:sz w:val="18"/>
                <w:szCs w:val="18"/>
                <w:color w:val="auto"/>
                <w:vertAlign w:val="superscript"/>
              </w:rPr>
              <w:t>9</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gridSpan w:val="3"/>
          </w:tcPr>
          <w:p>
            <w:pPr>
              <w:ind w:left="80"/>
              <w:spacing w:after="0" w:line="162" w:lineRule="exact"/>
              <w:rPr>
                <w:sz w:val="20"/>
                <w:szCs w:val="20"/>
                <w:color w:val="auto"/>
              </w:rPr>
            </w:pPr>
            <w:r>
              <w:rPr>
                <w:rFonts w:ascii="Arial" w:cs="Arial" w:eastAsia="Arial" w:hAnsi="Arial"/>
                <w:sz w:val="11"/>
                <w:szCs w:val="11"/>
                <w:color w:val="auto"/>
              </w:rPr>
              <w:t>Willard H. Dere, M.D.</w:t>
            </w:r>
            <w:r>
              <w:rPr>
                <w:rFonts w:ascii="Arial" w:cs="Arial" w:eastAsia="Arial" w:hAnsi="Arial"/>
                <w:sz w:val="18"/>
                <w:szCs w:val="18"/>
                <w:color w:val="auto"/>
                <w:vertAlign w:val="superscript"/>
              </w:rPr>
              <w:t>10</w:t>
            </w:r>
          </w:p>
        </w:tc>
        <w:tc>
          <w:tcPr>
            <w:tcW w:w="960" w:type="dxa"/>
            <w:vAlign w:val="bottom"/>
          </w:tcPr>
          <w:p>
            <w:pPr>
              <w:jc w:val="right"/>
              <w:spacing w:after="0"/>
              <w:rPr>
                <w:sz w:val="20"/>
                <w:szCs w:val="20"/>
                <w:color w:val="auto"/>
              </w:rPr>
            </w:pPr>
            <w:r>
              <w:rPr>
                <w:rFonts w:ascii="Arial" w:cs="Arial" w:eastAsia="Arial" w:hAnsi="Arial"/>
                <w:sz w:val="14"/>
                <w:szCs w:val="14"/>
                <w:color w:val="auto"/>
              </w:rPr>
              <w:t>7,500</w:t>
            </w:r>
          </w:p>
        </w:tc>
        <w:tc>
          <w:tcPr>
            <w:tcW w:w="16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Kurt C. Graves</w:t>
            </w:r>
            <w:r>
              <w:rPr>
                <w:rFonts w:ascii="Arial" w:cs="Arial" w:eastAsia="Arial" w:hAnsi="Arial"/>
                <w:sz w:val="18"/>
                <w:szCs w:val="18"/>
                <w:color w:val="auto"/>
                <w:vertAlign w:val="superscript"/>
              </w:rPr>
              <w:t>11</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52,500</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gridSpan w:val="3"/>
          </w:tcPr>
          <w:p>
            <w:pPr>
              <w:ind w:left="80"/>
              <w:spacing w:after="0" w:line="162" w:lineRule="exact"/>
              <w:rPr>
                <w:sz w:val="20"/>
                <w:szCs w:val="20"/>
                <w:color w:val="auto"/>
              </w:rPr>
            </w:pPr>
            <w:r>
              <w:rPr>
                <w:rFonts w:ascii="Arial" w:cs="Arial" w:eastAsia="Arial" w:hAnsi="Arial"/>
                <w:sz w:val="11"/>
                <w:szCs w:val="11"/>
                <w:color w:val="auto"/>
              </w:rPr>
              <w:t>Richard N. Kender</w:t>
            </w:r>
            <w:r>
              <w:rPr>
                <w:rFonts w:ascii="Arial" w:cs="Arial" w:eastAsia="Arial" w:hAnsi="Arial"/>
                <w:sz w:val="18"/>
                <w:szCs w:val="18"/>
                <w:color w:val="auto"/>
                <w:vertAlign w:val="superscript"/>
              </w:rPr>
              <w:t>12</w:t>
            </w:r>
          </w:p>
        </w:tc>
        <w:tc>
          <w:tcPr>
            <w:tcW w:w="960" w:type="dxa"/>
            <w:vAlign w:val="bottom"/>
          </w:tcPr>
          <w:p>
            <w:pPr>
              <w:jc w:val="right"/>
              <w:spacing w:after="0"/>
              <w:rPr>
                <w:sz w:val="20"/>
                <w:szCs w:val="20"/>
                <w:color w:val="auto"/>
              </w:rPr>
            </w:pPr>
            <w:r>
              <w:rPr>
                <w:rFonts w:ascii="Arial" w:cs="Arial" w:eastAsia="Arial" w:hAnsi="Arial"/>
                <w:sz w:val="14"/>
                <w:szCs w:val="14"/>
                <w:color w:val="auto"/>
              </w:rPr>
              <w:t>120,000</w:t>
            </w:r>
          </w:p>
        </w:tc>
        <w:tc>
          <w:tcPr>
            <w:tcW w:w="16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Lorence H. Kim, M.D.</w:t>
            </w:r>
            <w:r>
              <w:rPr>
                <w:rFonts w:ascii="Arial" w:cs="Arial" w:eastAsia="Arial" w:hAnsi="Arial"/>
                <w:sz w:val="18"/>
                <w:szCs w:val="18"/>
                <w:color w:val="auto"/>
                <w:vertAlign w:val="superscript"/>
              </w:rPr>
              <w:t>13</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120,000</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gridSpan w:val="3"/>
          </w:tcPr>
          <w:p>
            <w:pPr>
              <w:ind w:left="80"/>
              <w:spacing w:after="0" w:line="162" w:lineRule="exact"/>
              <w:rPr>
                <w:sz w:val="20"/>
                <w:szCs w:val="20"/>
                <w:color w:val="auto"/>
              </w:rPr>
            </w:pPr>
            <w:r>
              <w:rPr>
                <w:rFonts w:ascii="Arial" w:cs="Arial" w:eastAsia="Arial" w:hAnsi="Arial"/>
                <w:sz w:val="11"/>
                <w:szCs w:val="11"/>
                <w:color w:val="auto"/>
              </w:rPr>
              <w:t>Eric D. Shaff</w:t>
            </w:r>
            <w:r>
              <w:rPr>
                <w:rFonts w:ascii="Arial" w:cs="Arial" w:eastAsia="Arial" w:hAnsi="Arial"/>
                <w:sz w:val="18"/>
                <w:szCs w:val="18"/>
                <w:color w:val="auto"/>
                <w:vertAlign w:val="superscript"/>
              </w:rPr>
              <w:t>14</w:t>
            </w:r>
          </w:p>
        </w:tc>
        <w:tc>
          <w:tcPr>
            <w:tcW w:w="960" w:type="dxa"/>
            <w:vAlign w:val="bottom"/>
          </w:tcPr>
          <w:p>
            <w:pPr>
              <w:jc w:val="right"/>
              <w:spacing w:after="0"/>
              <w:rPr>
                <w:sz w:val="20"/>
                <w:szCs w:val="20"/>
                <w:color w:val="auto"/>
              </w:rPr>
            </w:pPr>
            <w:r>
              <w:rPr>
                <w:rFonts w:ascii="Arial" w:cs="Arial" w:eastAsia="Arial" w:hAnsi="Arial"/>
                <w:sz w:val="14"/>
                <w:szCs w:val="14"/>
                <w:color w:val="auto"/>
              </w:rPr>
              <w:t>506,639</w:t>
            </w:r>
          </w:p>
        </w:tc>
        <w:tc>
          <w:tcPr>
            <w:tcW w:w="160" w:type="dxa"/>
            <w:vAlign w:val="bottom"/>
          </w:tcPr>
          <w:p>
            <w:pPr>
              <w:spacing w:after="0"/>
              <w:rPr>
                <w:sz w:val="14"/>
                <w:szCs w:val="14"/>
                <w:color w:val="auto"/>
              </w:rPr>
            </w:pPr>
          </w:p>
        </w:tc>
        <w:tc>
          <w:tcPr>
            <w:tcW w:w="1180" w:type="dxa"/>
            <w:vAlign w:val="bottom"/>
          </w:tcPr>
          <w:p>
            <w:pPr>
              <w:jc w:val="center"/>
              <w:ind w:left="168"/>
              <w:spacing w:after="0"/>
              <w:rPr>
                <w:sz w:val="20"/>
                <w:szCs w:val="20"/>
                <w:color w:val="auto"/>
              </w:rPr>
            </w:pPr>
            <w:r>
              <w:rPr>
                <w:rFonts w:ascii="Arial" w:cs="Arial" w:eastAsia="Arial" w:hAnsi="Arial"/>
                <w:sz w:val="14"/>
                <w:szCs w:val="14"/>
                <w:color w:val="auto"/>
              </w:rPr>
              <w:t>1.2%</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Thomas DesRosier</w:t>
            </w:r>
            <w:r>
              <w:rPr>
                <w:rFonts w:ascii="Arial" w:cs="Arial" w:eastAsia="Arial" w:hAnsi="Arial"/>
                <w:sz w:val="18"/>
                <w:szCs w:val="18"/>
                <w:color w:val="auto"/>
                <w:vertAlign w:val="superscript"/>
              </w:rPr>
              <w:t>15</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183,137</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gridSpan w:val="3"/>
          </w:tcPr>
          <w:p>
            <w:pPr>
              <w:ind w:left="80"/>
              <w:spacing w:after="0"/>
              <w:rPr>
                <w:sz w:val="20"/>
                <w:szCs w:val="20"/>
                <w:color w:val="auto"/>
              </w:rPr>
            </w:pPr>
            <w:r>
              <w:rPr>
                <w:rFonts w:ascii="Arial" w:cs="Arial" w:eastAsia="Arial" w:hAnsi="Arial"/>
                <w:sz w:val="14"/>
                <w:szCs w:val="14"/>
                <w:color w:val="auto"/>
              </w:rPr>
              <w:t>Meryl S. Zausner</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208"/>
              <w:spacing w:after="0"/>
              <w:rPr>
                <w:sz w:val="20"/>
                <w:szCs w:val="20"/>
                <w:color w:val="auto"/>
              </w:rPr>
            </w:pPr>
            <w:r>
              <w:rPr>
                <w:rFonts w:ascii="Arial" w:cs="Arial" w:eastAsia="Arial" w:hAnsi="Arial"/>
                <w:sz w:val="14"/>
                <w:szCs w:val="14"/>
                <w:color w:val="auto"/>
                <w:w w:val="99"/>
              </w:rPr>
              <w:t>—</w:t>
            </w:r>
          </w:p>
        </w:tc>
      </w:tr>
      <w:tr>
        <w:trPr>
          <w:trHeight w:val="162"/>
        </w:trPr>
        <w:tc>
          <w:tcPr>
            <w:tcW w:w="6960" w:type="dxa"/>
            <w:vAlign w:val="bottom"/>
            <w:gridSpan w:val="3"/>
            <w:shd w:val="clear" w:color="auto" w:fill="D8D8D8"/>
          </w:tcPr>
          <w:p>
            <w:pPr>
              <w:ind w:left="80"/>
              <w:spacing w:after="0" w:line="162" w:lineRule="exact"/>
              <w:rPr>
                <w:sz w:val="20"/>
                <w:szCs w:val="20"/>
                <w:color w:val="auto"/>
              </w:rPr>
            </w:pPr>
            <w:r>
              <w:rPr>
                <w:rFonts w:ascii="Arial" w:cs="Arial" w:eastAsia="Arial" w:hAnsi="Arial"/>
                <w:sz w:val="11"/>
                <w:szCs w:val="11"/>
                <w:color w:val="auto"/>
              </w:rPr>
              <w:t>All executive officers and directors as a group (11 persons)</w:t>
            </w:r>
            <w:r>
              <w:rPr>
                <w:rFonts w:ascii="Arial" w:cs="Arial" w:eastAsia="Arial" w:hAnsi="Arial"/>
                <w:sz w:val="18"/>
                <w:szCs w:val="18"/>
                <w:color w:val="auto"/>
                <w:vertAlign w:val="superscript"/>
              </w:rPr>
              <w:t>16</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15,182,335</w:t>
            </w:r>
          </w:p>
        </w:tc>
        <w:tc>
          <w:tcPr>
            <w:tcW w:w="160" w:type="dxa"/>
            <w:vAlign w:val="bottom"/>
            <w:shd w:val="clear" w:color="auto" w:fill="D8D8D8"/>
          </w:tcPr>
          <w:p>
            <w:pPr>
              <w:spacing w:after="0"/>
              <w:rPr>
                <w:sz w:val="14"/>
                <w:szCs w:val="14"/>
                <w:color w:val="auto"/>
              </w:rPr>
            </w:pPr>
          </w:p>
        </w:tc>
        <w:tc>
          <w:tcPr>
            <w:tcW w:w="1180" w:type="dxa"/>
            <w:vAlign w:val="bottom"/>
            <w:shd w:val="clear" w:color="auto" w:fill="D8D8D8"/>
          </w:tcPr>
          <w:p>
            <w:pPr>
              <w:jc w:val="center"/>
              <w:ind w:left="88"/>
              <w:spacing w:after="0"/>
              <w:rPr>
                <w:sz w:val="20"/>
                <w:szCs w:val="20"/>
                <w:color w:val="auto"/>
              </w:rPr>
            </w:pPr>
            <w:r>
              <w:rPr>
                <w:rFonts w:ascii="Arial" w:cs="Arial" w:eastAsia="Arial" w:hAnsi="Arial"/>
                <w:sz w:val="14"/>
                <w:szCs w:val="14"/>
                <w:color w:val="auto"/>
              </w:rPr>
              <w:t>37.0%</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w:t>
      </w:r>
    </w:p>
    <w:p>
      <w:pPr>
        <w:spacing w:after="0" w:line="28" w:lineRule="exact"/>
        <w:rPr>
          <w:sz w:val="20"/>
          <w:szCs w:val="20"/>
          <w:color w:val="auto"/>
        </w:rPr>
      </w:pPr>
    </w:p>
    <w:p>
      <w:pPr>
        <w:ind w:left="120" w:right="40" w:hanging="116"/>
        <w:spacing w:after="0" w:line="224" w:lineRule="auto"/>
        <w:tabs>
          <w:tab w:leader="none" w:pos="120" w:val="left"/>
        </w:tabs>
        <w:numPr>
          <w:ilvl w:val="0"/>
          <w:numId w:val="33"/>
        </w:numPr>
        <w:rPr>
          <w:rFonts w:ascii="Arial" w:cs="Arial" w:eastAsia="Arial" w:hAnsi="Arial"/>
          <w:sz w:val="11"/>
          <w:szCs w:val="11"/>
          <w:color w:val="auto"/>
        </w:rPr>
      </w:pPr>
      <w:r>
        <w:rPr>
          <w:rFonts w:ascii="Arial" w:cs="Arial" w:eastAsia="Arial" w:hAnsi="Arial"/>
          <w:sz w:val="14"/>
          <w:szCs w:val="14"/>
          <w:color w:val="auto"/>
        </w:rPr>
        <w:t>Based solely on a Schedule 13G/A filed with the SEC on February 13, 2017 by Flagship Ventures Fund IV, L.P. (“Fund IV”), Flagship Ventures Fund IV-Rx, L.P. (“Fund IV-Rx”), Flagship VentureLabs IV, LLC (“VentureLabs IV”), Flagship Ventures Fund IV General Partner LLC (“Fund IV GP”), Noubar B. Afeyan, Ph.D. and Edwin M. Kania, Jr., Fund IV, Fund IV-Rx, VentureLabs IV, Fund IV GP, Noubar Afeyan and Edwin Kania are collectively referred to herein as the “Flagship Reporting Persons.” As the manager of VentureLabs IV, Fund IV may be deemed to beneficially own shares of Common Stock directly held by VentureLabs IV. As the general partner of Fund IV and Fund IV-Rx, Fund IV GP may be deemed to beneficially own shares of Common Stock beneficially owned by Fund IV and directly held by Fund IV-Rx, respectively. Messrs. Afeyan and Kania, as Managers of Fund IV GP, may be deemed to beneficially own shares of Common Stock beneficially owned by Fund IV GP. Fund IV has shared voting and dispositive power over 10,757,414 shares. Fund IV-Rx has shared voting and dispositive power over 1,925,462 shares. VentureLabs IV has shared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020"/>
          </w:cols>
          <w:pgMar w:left="440" w:top="832" w:right="4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36" w:lineRule="exact"/>
        <w:rPr>
          <w:sz w:val="20"/>
          <w:szCs w:val="20"/>
          <w:color w:val="auto"/>
        </w:rPr>
      </w:pPr>
    </w:p>
    <w:p>
      <w:pPr>
        <w:ind w:left="120" w:right="60"/>
        <w:spacing w:after="0" w:line="228" w:lineRule="auto"/>
        <w:rPr>
          <w:sz w:val="20"/>
          <w:szCs w:val="20"/>
          <w:color w:val="auto"/>
        </w:rPr>
      </w:pPr>
      <w:r>
        <w:rPr>
          <w:rFonts w:ascii="Arial" w:cs="Arial" w:eastAsia="Arial" w:hAnsi="Arial"/>
          <w:sz w:val="14"/>
          <w:szCs w:val="14"/>
          <w:color w:val="auto"/>
        </w:rPr>
        <w:t>voting and dispositive power over 2,734,994 shares. Fund IV GP has shared voting and dispositive power over 12,682,876 shares. Messrs. Afeyan and Kania have shared voting and dispositive power over 12,682,876 shares. The address for the Flagship Reporting Persons is c/o Flagship Pioneering, Inc., 55 Cambridge Parkway, Suite 800E, Cambridge, Massachusetts 02142.</w:t>
      </w:r>
    </w:p>
    <w:p>
      <w:pPr>
        <w:spacing w:after="0" w:line="27" w:lineRule="exact"/>
        <w:rPr>
          <w:sz w:val="20"/>
          <w:szCs w:val="20"/>
          <w:color w:val="auto"/>
        </w:rPr>
      </w:pPr>
    </w:p>
    <w:p>
      <w:pPr>
        <w:ind w:left="120" w:hanging="116"/>
        <w:spacing w:after="0" w:line="225" w:lineRule="auto"/>
        <w:tabs>
          <w:tab w:leader="none" w:pos="1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Based solely on a Schedule 13D filed with the SEC on April 11, 2018 by Nestlé Health Science US Holdings, Inc. (“NHS”), NIMCO US, Inc. (“NIMCO”) and Nestlé S.A. (“Nestlé”). NHS is a wholly owned subsidiary of NIMCO, which is a wholly owned subsidiary of Nestlé, a publicly traded company. Each of these entities may be deemed to share voting and investment power with respect to all shares of Common Stock held by NHS. Each of NHS, NIMCO and Nestlé disclaims beneficial ownership of such shares of Common Stock except to the extent of its pecuniary interest therein. The address for NHS and NIMCO is 383 Main Ave., 5th Floor, Norwalk, CT 06851. The address for Nestlé is Avenue Nestlé 55, CH-1800, Vevey Switzerland.</w:t>
      </w:r>
    </w:p>
    <w:p>
      <w:pPr>
        <w:spacing w:after="0" w:line="29" w:lineRule="exact"/>
        <w:rPr>
          <w:sz w:val="20"/>
          <w:szCs w:val="20"/>
          <w:color w:val="auto"/>
        </w:rPr>
      </w:pPr>
    </w:p>
    <w:p>
      <w:pPr>
        <w:ind w:left="120" w:hanging="116"/>
        <w:spacing w:after="0" w:line="223" w:lineRule="auto"/>
        <w:tabs>
          <w:tab w:leader="none" w:pos="1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Based solely on a Schedule 13G/A filed on February 13, 2019 by FMR LLC, Abigail P. Johnson and Select Biotechnology Portfolio.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FMR LLC has sole voting power over 840,660 shares and sole dispositive power over 6,079,521 shares. Abigail P. Johnson has sole dispositive power over 6,079,521 shares. Select Biotechnology Portfolio has sole voting power over 2,320,475 shares. The address for FMR LLC is 245 Summer Street, Boston, Massachusetts 02210.</w:t>
      </w:r>
    </w:p>
    <w:p>
      <w:pPr>
        <w:spacing w:after="0" w:line="30" w:lineRule="exact"/>
        <w:rPr>
          <w:sz w:val="20"/>
          <w:szCs w:val="20"/>
          <w:color w:val="auto"/>
        </w:rPr>
      </w:pPr>
    </w:p>
    <w:p>
      <w:pPr>
        <w:ind w:left="120" w:right="40" w:hanging="116"/>
        <w:spacing w:after="0" w:line="228" w:lineRule="auto"/>
        <w:tabs>
          <w:tab w:leader="none" w:pos="120" w:val="left"/>
        </w:tabs>
        <w:numPr>
          <w:ilvl w:val="0"/>
          <w:numId w:val="36"/>
        </w:numPr>
        <w:rPr>
          <w:rFonts w:ascii="Arial" w:cs="Arial" w:eastAsia="Arial" w:hAnsi="Arial"/>
          <w:sz w:val="11"/>
          <w:szCs w:val="11"/>
          <w:color w:val="auto"/>
        </w:rPr>
      </w:pPr>
      <w:r>
        <w:rPr>
          <w:rFonts w:ascii="Arial" w:cs="Arial" w:eastAsia="Arial" w:hAnsi="Arial"/>
          <w:sz w:val="14"/>
          <w:szCs w:val="14"/>
          <w:color w:val="auto"/>
        </w:rPr>
        <w:t>Based solely on a Schedule 13G filed on February 14, 2019 by ARK Investment Management LLC, or ARK. ARK is an investment adviser and has sole voting and dispositive power over 3,263,090 shares, shared voting power over 223,428 shares and shared dispositive power over 856,389 shares. The address for Ark Investment Management LLC is 3 East 28</w:t>
      </w:r>
      <w:r>
        <w:rPr>
          <w:rFonts w:ascii="Arial" w:cs="Arial" w:eastAsia="Arial" w:hAnsi="Arial"/>
          <w:sz w:val="11"/>
          <w:szCs w:val="11"/>
          <w:color w:val="auto"/>
        </w:rPr>
        <w:t>th</w:t>
      </w:r>
      <w:r>
        <w:rPr>
          <w:rFonts w:ascii="Arial" w:cs="Arial" w:eastAsia="Arial" w:hAnsi="Arial"/>
          <w:sz w:val="14"/>
          <w:szCs w:val="14"/>
          <w:color w:val="auto"/>
        </w:rPr>
        <w:t xml:space="preserve"> Street, 7</w:t>
      </w:r>
      <w:r>
        <w:rPr>
          <w:rFonts w:ascii="Arial" w:cs="Arial" w:eastAsia="Arial" w:hAnsi="Arial"/>
          <w:sz w:val="11"/>
          <w:szCs w:val="11"/>
          <w:color w:val="auto"/>
        </w:rPr>
        <w:t>th</w:t>
      </w:r>
      <w:r>
        <w:rPr>
          <w:rFonts w:ascii="Arial" w:cs="Arial" w:eastAsia="Arial" w:hAnsi="Arial"/>
          <w:sz w:val="14"/>
          <w:szCs w:val="14"/>
          <w:color w:val="auto"/>
        </w:rPr>
        <w:t xml:space="preserve"> Floor, New York, NY 10016.</w:t>
      </w:r>
    </w:p>
    <w:p>
      <w:pPr>
        <w:spacing w:after="0" w:line="27" w:lineRule="exact"/>
        <w:rPr>
          <w:sz w:val="20"/>
          <w:szCs w:val="20"/>
          <w:color w:val="auto"/>
        </w:rPr>
      </w:pPr>
    </w:p>
    <w:p>
      <w:pPr>
        <w:ind w:left="120" w:right="60" w:hanging="115"/>
        <w:spacing w:after="0" w:line="224" w:lineRule="auto"/>
        <w:tabs>
          <w:tab w:leader="none" w:pos="112" w:val="left"/>
        </w:tabs>
        <w:numPr>
          <w:ilvl w:val="0"/>
          <w:numId w:val="37"/>
        </w:numPr>
        <w:rPr>
          <w:rFonts w:ascii="Arial" w:cs="Arial" w:eastAsia="Arial" w:hAnsi="Arial"/>
          <w:sz w:val="11"/>
          <w:szCs w:val="11"/>
          <w:color w:val="auto"/>
        </w:rPr>
      </w:pPr>
      <w:r>
        <w:rPr>
          <w:rFonts w:ascii="Arial" w:cs="Arial" w:eastAsia="Arial" w:hAnsi="Arial"/>
          <w:sz w:val="14"/>
          <w:szCs w:val="14"/>
          <w:color w:val="auto"/>
        </w:rPr>
        <w:t>Based solely on a Schedule 13G filed on February 8, 2019 by BlackRock, Inc. or Blackrock, on behalf of itself and its wholly owned subsidiaries, BlackRock Advisors, LLC, BlackRock Investment Management (UK) Limited, BlackRock Asset Management Canada Limited, BlackRock (Netherlands) B.V., BlackRock Fund Advisors, BlackRock Asset Management Ireland Limited, BlackRock Institutional Trust Company, National Association, BlackRock Financial Management, Inc., BlackRock Japan Co., Ltd., and BlackRock Investment Management, LLC, BlackRock reported that as of December 31, 2018, it had sole voting power with respect to 2,168,453 shares of Common Stock and sole dispositive power with respect to 2,256,858 shares, and that the shares are beneficially owned by BlackRock and its wholly owned subsidiaries identified above. The address of each of the foregoing is 55 East 52nd Street, New York, NY 10055.</w:t>
      </w:r>
    </w:p>
    <w:p>
      <w:pPr>
        <w:spacing w:after="0" w:line="30" w:lineRule="exact"/>
        <w:rPr>
          <w:sz w:val="20"/>
          <w:szCs w:val="20"/>
          <w:color w:val="auto"/>
        </w:rPr>
      </w:pPr>
    </w:p>
    <w:p>
      <w:pPr>
        <w:ind w:left="120" w:hanging="116"/>
        <w:spacing w:after="0" w:line="231" w:lineRule="auto"/>
        <w:tabs>
          <w:tab w:leader="none" w:pos="1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Includes 1,115,566 shares of Common Stock which Dr. Pomerantz has the right to acquire pursuant to outstanding stock options which are or will be immediately exercisable within 60 days of March 31, 2019.</w:t>
      </w:r>
    </w:p>
    <w:p>
      <w:pPr>
        <w:spacing w:after="0" w:line="28" w:lineRule="exact"/>
        <w:rPr>
          <w:sz w:val="20"/>
          <w:szCs w:val="20"/>
          <w:color w:val="auto"/>
        </w:rPr>
      </w:pPr>
    </w:p>
    <w:p>
      <w:pPr>
        <w:ind w:left="120" w:right="120" w:hanging="116"/>
        <w:spacing w:after="0" w:line="231" w:lineRule="auto"/>
        <w:tabs>
          <w:tab w:leader="none" w:pos="120"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Includes 45,000 shares of Common Stock which Dr. Afeyan has the right to acquire pursuant to outstanding stock options which are or will be immediately exercisable within 60 days of March 31, 2019.</w:t>
      </w:r>
    </w:p>
    <w:p>
      <w:pPr>
        <w:spacing w:after="0" w:line="28" w:lineRule="exact"/>
        <w:rPr>
          <w:sz w:val="20"/>
          <w:szCs w:val="20"/>
          <w:color w:val="auto"/>
        </w:rPr>
      </w:pPr>
    </w:p>
    <w:p>
      <w:pPr>
        <w:ind w:left="120" w:right="300" w:hanging="116"/>
        <w:spacing w:after="0" w:line="231" w:lineRule="auto"/>
        <w:tabs>
          <w:tab w:leader="none" w:pos="120" w:val="left"/>
        </w:tabs>
        <w:numPr>
          <w:ilvl w:val="0"/>
          <w:numId w:val="40"/>
        </w:numPr>
        <w:rPr>
          <w:rFonts w:ascii="Arial" w:cs="Arial" w:eastAsia="Arial" w:hAnsi="Arial"/>
          <w:sz w:val="11"/>
          <w:szCs w:val="11"/>
          <w:color w:val="auto"/>
        </w:rPr>
      </w:pPr>
      <w:r>
        <w:rPr>
          <w:rFonts w:ascii="Arial" w:cs="Arial" w:eastAsia="Arial" w:hAnsi="Arial"/>
          <w:sz w:val="14"/>
          <w:szCs w:val="14"/>
          <w:color w:val="auto"/>
        </w:rPr>
        <w:t>Includes 105,000 shares of Common Stock which Dr. Ausiello has the right to acquire pursuant to outstanding stock options which are or will be immediately exercisable within 60 days of March 31, 2019.</w:t>
      </w:r>
    </w:p>
    <w:p>
      <w:pPr>
        <w:spacing w:after="0" w:line="28" w:lineRule="exact"/>
        <w:rPr>
          <w:sz w:val="20"/>
          <w:szCs w:val="20"/>
          <w:color w:val="auto"/>
        </w:rPr>
      </w:pPr>
    </w:p>
    <w:p>
      <w:pPr>
        <w:ind w:left="120" w:hanging="116"/>
        <w:spacing w:after="0" w:line="231" w:lineRule="auto"/>
        <w:tabs>
          <w:tab w:leader="none" w:pos="1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Includes 15,000 shares of Common Stock which Mr. Behar has the right to acquire pursuant to outstanding stock options which are or will be immediately exercisable within 60 days of March 31, 2019.</w:t>
      </w:r>
    </w:p>
    <w:p>
      <w:pPr>
        <w:spacing w:after="0" w:line="28" w:lineRule="exact"/>
        <w:rPr>
          <w:sz w:val="20"/>
          <w:szCs w:val="20"/>
          <w:color w:val="auto"/>
        </w:rPr>
      </w:pPr>
    </w:p>
    <w:p>
      <w:pPr>
        <w:ind w:left="180" w:right="80" w:hanging="176"/>
        <w:spacing w:after="0" w:line="231" w:lineRule="auto"/>
        <w:tabs>
          <w:tab w:leader="none" w:pos="180" w:val="left"/>
        </w:tabs>
        <w:numPr>
          <w:ilvl w:val="0"/>
          <w:numId w:val="42"/>
        </w:numPr>
        <w:rPr>
          <w:rFonts w:ascii="Arial" w:cs="Arial" w:eastAsia="Arial" w:hAnsi="Arial"/>
          <w:sz w:val="11"/>
          <w:szCs w:val="11"/>
          <w:color w:val="auto"/>
        </w:rPr>
      </w:pPr>
      <w:r>
        <w:rPr>
          <w:rFonts w:ascii="Arial" w:cs="Arial" w:eastAsia="Arial" w:hAnsi="Arial"/>
          <w:sz w:val="14"/>
          <w:szCs w:val="14"/>
          <w:color w:val="auto"/>
        </w:rPr>
        <w:t>Includes 7,500 shares of Common Stock which Mr. Dere has the right to acquire pursuant to outstanding stock options which are or will be immediately exercisable within 60 days of March 31, 2019.</w:t>
      </w:r>
    </w:p>
    <w:p>
      <w:pPr>
        <w:spacing w:after="0" w:line="28" w:lineRule="exact"/>
        <w:rPr>
          <w:sz w:val="20"/>
          <w:szCs w:val="20"/>
          <w:color w:val="auto"/>
        </w:rPr>
      </w:pPr>
    </w:p>
    <w:p>
      <w:pPr>
        <w:ind w:left="640" w:right="100" w:hanging="634"/>
        <w:spacing w:after="0" w:line="258" w:lineRule="auto"/>
        <w:rPr>
          <w:sz w:val="20"/>
          <w:szCs w:val="20"/>
          <w:color w:val="auto"/>
        </w:rPr>
      </w:pPr>
      <w:r>
        <w:rPr>
          <w:rFonts w:ascii="Arial" w:cs="Arial" w:eastAsia="Arial" w:hAnsi="Arial"/>
          <w:sz w:val="11"/>
          <w:szCs w:val="11"/>
          <w:color w:val="auto"/>
        </w:rPr>
        <w:t>11</w:t>
      </w:r>
      <w:r>
        <w:rPr>
          <w:rFonts w:ascii="Arial" w:cs="Arial" w:eastAsia="Arial" w:hAnsi="Arial"/>
          <w:sz w:val="13"/>
          <w:szCs w:val="13"/>
          <w:color w:val="auto"/>
        </w:rPr>
        <w:t>Includes52,500 shares of Common Stock which Mr. Graves has the right to acquire pursuant to outstanding stock options which are or will be immediately exercisable within 60 days</w:t>
      </w:r>
      <w:r>
        <w:rPr>
          <w:rFonts w:ascii="Arial" w:cs="Arial" w:eastAsia="Arial" w:hAnsi="Arial"/>
          <w:sz w:val="11"/>
          <w:szCs w:val="11"/>
          <w:color w:val="auto"/>
        </w:rPr>
        <w:t xml:space="preserve"> </w:t>
      </w:r>
      <w:r>
        <w:rPr>
          <w:rFonts w:ascii="Arial" w:cs="Arial" w:eastAsia="Arial" w:hAnsi="Arial"/>
          <w:sz w:val="13"/>
          <w:szCs w:val="13"/>
          <w:color w:val="auto"/>
        </w:rPr>
        <w:t>of March 31, 2019.</w:t>
      </w:r>
    </w:p>
    <w:p>
      <w:pPr>
        <w:spacing w:after="0" w:line="16" w:lineRule="exact"/>
        <w:rPr>
          <w:sz w:val="20"/>
          <w:szCs w:val="20"/>
          <w:color w:val="auto"/>
        </w:rPr>
      </w:pPr>
    </w:p>
    <w:p>
      <w:pPr>
        <w:ind w:left="180" w:right="260" w:hanging="176"/>
        <w:spacing w:after="0" w:line="221" w:lineRule="auto"/>
        <w:tabs>
          <w:tab w:leader="none" w:pos="180" w:val="left"/>
        </w:tabs>
        <w:numPr>
          <w:ilvl w:val="0"/>
          <w:numId w:val="43"/>
        </w:numPr>
        <w:rPr>
          <w:rFonts w:ascii="Arial" w:cs="Arial" w:eastAsia="Arial" w:hAnsi="Arial"/>
          <w:sz w:val="11"/>
          <w:szCs w:val="11"/>
          <w:color w:val="auto"/>
        </w:rPr>
      </w:pPr>
      <w:r>
        <w:rPr>
          <w:rFonts w:ascii="Arial" w:cs="Arial" w:eastAsia="Arial" w:hAnsi="Arial"/>
          <w:sz w:val="14"/>
          <w:szCs w:val="14"/>
          <w:color w:val="auto"/>
        </w:rPr>
        <w:t>Includes 120,000 shares of Common Stock which Mr. Kender has the right to acquire pursuant to outstanding stock options which are or will be immediately exercisable within 60 days of March 31, 2019.</w:t>
      </w:r>
    </w:p>
    <w:p>
      <w:pPr>
        <w:ind w:left="180" w:hanging="176"/>
        <w:spacing w:after="0" w:line="231" w:lineRule="auto"/>
        <w:tabs>
          <w:tab w:leader="none" w:pos="180" w:val="left"/>
        </w:tabs>
        <w:numPr>
          <w:ilvl w:val="0"/>
          <w:numId w:val="43"/>
        </w:numPr>
        <w:rPr>
          <w:rFonts w:ascii="Arial" w:cs="Arial" w:eastAsia="Arial" w:hAnsi="Arial"/>
          <w:sz w:val="11"/>
          <w:szCs w:val="11"/>
          <w:color w:val="auto"/>
        </w:rPr>
      </w:pPr>
      <w:r>
        <w:rPr>
          <w:rFonts w:ascii="Arial" w:cs="Arial" w:eastAsia="Arial" w:hAnsi="Arial"/>
          <w:sz w:val="14"/>
          <w:szCs w:val="14"/>
          <w:color w:val="auto"/>
        </w:rPr>
        <w:t>Includes 200,000 shares of Common Stock which Dr. Kim has the right to acquire pursuant to outstanding stock options which are or will be immediately exercisable within 60 days of March 31, 2019.</w:t>
      </w:r>
    </w:p>
    <w:p>
      <w:pPr>
        <w:spacing w:after="0" w:line="27" w:lineRule="exact"/>
        <w:rPr>
          <w:rFonts w:ascii="Arial" w:cs="Arial" w:eastAsia="Arial" w:hAnsi="Arial"/>
          <w:sz w:val="11"/>
          <w:szCs w:val="11"/>
          <w:color w:val="auto"/>
        </w:rPr>
      </w:pPr>
    </w:p>
    <w:p>
      <w:pPr>
        <w:ind w:left="180" w:right="60" w:hanging="176"/>
        <w:spacing w:after="0" w:line="231" w:lineRule="auto"/>
        <w:tabs>
          <w:tab w:leader="none" w:pos="180" w:val="left"/>
        </w:tabs>
        <w:numPr>
          <w:ilvl w:val="0"/>
          <w:numId w:val="43"/>
        </w:numPr>
        <w:rPr>
          <w:rFonts w:ascii="Arial" w:cs="Arial" w:eastAsia="Arial" w:hAnsi="Arial"/>
          <w:sz w:val="11"/>
          <w:szCs w:val="11"/>
          <w:color w:val="auto"/>
        </w:rPr>
      </w:pPr>
      <w:r>
        <w:rPr>
          <w:rFonts w:ascii="Arial" w:cs="Arial" w:eastAsia="Arial" w:hAnsi="Arial"/>
          <w:sz w:val="14"/>
          <w:szCs w:val="14"/>
          <w:color w:val="auto"/>
        </w:rPr>
        <w:t>Includes 493,797 shares of Common Stock which Mr. Shaff has the right to acquire pursuant to outstanding stock options which are or will be immediately exercisable within 60 days of March 31, 2019.</w:t>
      </w:r>
    </w:p>
    <w:p>
      <w:pPr>
        <w:spacing w:after="0" w:line="27" w:lineRule="exact"/>
        <w:rPr>
          <w:rFonts w:ascii="Arial" w:cs="Arial" w:eastAsia="Arial" w:hAnsi="Arial"/>
          <w:sz w:val="11"/>
          <w:szCs w:val="11"/>
          <w:color w:val="auto"/>
        </w:rPr>
      </w:pPr>
    </w:p>
    <w:p>
      <w:pPr>
        <w:ind w:left="180" w:right="60" w:hanging="176"/>
        <w:spacing w:after="0" w:line="231" w:lineRule="auto"/>
        <w:tabs>
          <w:tab w:leader="none" w:pos="180" w:val="left"/>
        </w:tabs>
        <w:numPr>
          <w:ilvl w:val="0"/>
          <w:numId w:val="43"/>
        </w:numPr>
        <w:rPr>
          <w:rFonts w:ascii="Arial" w:cs="Arial" w:eastAsia="Arial" w:hAnsi="Arial"/>
          <w:sz w:val="11"/>
          <w:szCs w:val="11"/>
          <w:color w:val="auto"/>
        </w:rPr>
      </w:pPr>
      <w:r>
        <w:rPr>
          <w:rFonts w:ascii="Arial" w:cs="Arial" w:eastAsia="Arial" w:hAnsi="Arial"/>
          <w:sz w:val="14"/>
          <w:szCs w:val="14"/>
          <w:color w:val="auto"/>
        </w:rPr>
        <w:t>Includes 167,083 shares of Common Stock which Mr. DesRosier has the right to acquire pursuant to outstanding stock options which are or will be immediately exercisable within 60 days of April 26, 2018.</w:t>
      </w:r>
    </w:p>
    <w:p>
      <w:pPr>
        <w:spacing w:after="0" w:line="27" w:lineRule="exact"/>
        <w:rPr>
          <w:rFonts w:ascii="Arial" w:cs="Arial" w:eastAsia="Arial" w:hAnsi="Arial"/>
          <w:sz w:val="11"/>
          <w:szCs w:val="11"/>
          <w:color w:val="auto"/>
        </w:rPr>
      </w:pPr>
    </w:p>
    <w:p>
      <w:pPr>
        <w:ind w:left="180" w:right="240" w:hanging="176"/>
        <w:spacing w:after="0" w:line="231" w:lineRule="auto"/>
        <w:tabs>
          <w:tab w:leader="none" w:pos="180" w:val="left"/>
        </w:tabs>
        <w:numPr>
          <w:ilvl w:val="0"/>
          <w:numId w:val="43"/>
        </w:numPr>
        <w:rPr>
          <w:rFonts w:ascii="Arial" w:cs="Arial" w:eastAsia="Arial" w:hAnsi="Arial"/>
          <w:sz w:val="11"/>
          <w:szCs w:val="11"/>
          <w:color w:val="auto"/>
        </w:rPr>
      </w:pPr>
      <w:r>
        <w:rPr>
          <w:rFonts w:ascii="Arial" w:cs="Arial" w:eastAsia="Arial" w:hAnsi="Arial"/>
          <w:sz w:val="14"/>
          <w:szCs w:val="14"/>
          <w:color w:val="auto"/>
        </w:rPr>
        <w:t>Consists of (a) 12,940,889 shares of Common Stock and (b) 2,241,446 shares of common stock which the holders have the right to acquire pursuant to outstanding stock options which are or will be immediately exercisable within 60 days of March 31, 2019.</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020"/>
          </w:cols>
          <w:pgMar w:left="440" w:top="287"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397510</wp:posOffset>
            </wp:positionV>
            <wp:extent cx="699770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of the Securities Act of 1933, as amended,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NESTLÉ HEALTH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In January 2016 we entered into a Collaboration and License Agreement, (the “License Agreement”), with Nestec Ltd. (“NHS”), an affiliate of Nestlé Health Science US Holdings, Inc., which holds approximately 16.8% of our Common Stock as of April 29, 2019, for the development and commercialization of certain of our product candidates in development for the treatment and management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(“CDI”), and inflammatory bowel disease (“IBD”), including ulcerative colitis and Crohn’s disease. The License Agreement supports the development of our portfolio of products for CDI and IBD in markets outside of the United States and Canada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7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(the “NHS Collaboration Products”). Upon mutual agreement, one or more other products based on our microbiome technology for CDI or IBD may be added to the License Agreement in lieu of or in addition to the then-existing NHS Collaboration Products. NHS’ exclusive license in the Licensed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000"/>
          </w:cols>
          <w:pgMar w:left="440" w:top="981" w:right="45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Territory to develop and commercialize NHS Collaboration Products extends to any indications for which we and NHS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NHS Collaboration Product in certain non-EU countries within the Licensed Territory may revert to us if NHS either elects not to pursue commercialization of such NHS Collaboration Product in such country, or fails to meet certain agreed upon milestones for commercialization of such NHS Collaboration Product in such country. If the licensed rights in any country revert to us in this way, then we would pay to NHS a royalty in the mid-single digits on net sales of such NHS Collaboration Product in such country.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License Agreement sets forth our and NHS’ respective obligations for development, commercialization, regulatory and manufacturing</w:t>
      </w:r>
    </w:p>
    <w:p>
      <w:pPr>
        <w:spacing w:after="0" w:line="234" w:lineRule="auto"/>
        <w:rPr>
          <w:sz w:val="20"/>
          <w:szCs w:val="20"/>
          <w:color w:val="auto"/>
        </w:rPr>
      </w:pPr>
      <w:r>
        <w:rPr>
          <w:rFonts w:ascii="Arial" w:cs="Arial" w:eastAsia="Arial" w:hAnsi="Arial"/>
          <w:sz w:val="18"/>
          <w:szCs w:val="18"/>
          <w:color w:val="auto"/>
        </w:rPr>
        <w:t>and supply activities for the NHS Collaboration Products with respect to the licensed fields and the Licensed Territory. In exchange for the</w:t>
      </w:r>
    </w:p>
    <w:p>
      <w:pPr>
        <w:spacing w:after="0" w:line="235" w:lineRule="auto"/>
        <w:rPr>
          <w:sz w:val="20"/>
          <w:szCs w:val="20"/>
          <w:color w:val="auto"/>
        </w:rPr>
      </w:pPr>
      <w:r>
        <w:rPr>
          <w:rFonts w:ascii="Arial" w:cs="Arial" w:eastAsia="Arial" w:hAnsi="Arial"/>
          <w:sz w:val="18"/>
          <w:szCs w:val="18"/>
          <w:color w:val="auto"/>
        </w:rPr>
        <w:t>license, NHS paid us an upfront cash payment of $120 million in February 2016 and has agreed to pay us tiered royalties, at percentages</w:t>
      </w:r>
    </w:p>
    <w:p>
      <w:pPr>
        <w:spacing w:after="0" w:line="235" w:lineRule="auto"/>
        <w:rPr>
          <w:sz w:val="20"/>
          <w:szCs w:val="20"/>
          <w:color w:val="auto"/>
        </w:rPr>
      </w:pPr>
      <w:r>
        <w:rPr>
          <w:rFonts w:ascii="Arial" w:cs="Arial" w:eastAsia="Arial" w:hAnsi="Arial"/>
          <w:sz w:val="18"/>
          <w:szCs w:val="18"/>
          <w:color w:val="auto"/>
        </w:rPr>
        <w:t>ranging from the high single digits to high teens, of net sales of NHS Collaboration Products in the Licensed Territory. Additionally, NHS</w:t>
      </w:r>
    </w:p>
    <w:p>
      <w:pPr>
        <w:spacing w:after="0" w:line="235" w:lineRule="auto"/>
        <w:rPr>
          <w:sz w:val="20"/>
          <w:szCs w:val="20"/>
          <w:color w:val="auto"/>
        </w:rPr>
      </w:pPr>
      <w:r>
        <w:rPr>
          <w:rFonts w:ascii="Arial" w:cs="Arial" w:eastAsia="Arial" w:hAnsi="Arial"/>
          <w:sz w:val="18"/>
          <w:szCs w:val="18"/>
          <w:color w:val="auto"/>
        </w:rPr>
        <w:t>has agreed to pay us up to $660 million for the achievement of certain development and regulatory milestones and up to an aggregate of</w:t>
      </w:r>
    </w:p>
    <w:p>
      <w:pPr>
        <w:spacing w:after="0" w:line="235" w:lineRule="auto"/>
        <w:rPr>
          <w:sz w:val="20"/>
          <w:szCs w:val="20"/>
          <w:color w:val="auto"/>
        </w:rPr>
      </w:pPr>
      <w:r>
        <w:rPr>
          <w:rFonts w:ascii="Arial" w:cs="Arial" w:eastAsia="Arial" w:hAnsi="Arial"/>
          <w:sz w:val="18"/>
          <w:szCs w:val="18"/>
          <w:color w:val="auto"/>
        </w:rPr>
        <w:t>$1.125 billion for the achievement of certain commercial milestones related to the sales of NHS Collaboration Products. We received a</w:t>
      </w:r>
    </w:p>
    <w:p>
      <w:pPr>
        <w:spacing w:after="0" w:line="235" w:lineRule="auto"/>
        <w:rPr>
          <w:sz w:val="20"/>
          <w:szCs w:val="20"/>
          <w:color w:val="auto"/>
        </w:rPr>
      </w:pPr>
      <w:r>
        <w:rPr>
          <w:rFonts w:ascii="Arial" w:cs="Arial" w:eastAsia="Arial" w:hAnsi="Arial"/>
          <w:sz w:val="18"/>
          <w:szCs w:val="18"/>
          <w:color w:val="auto"/>
        </w:rPr>
        <w:t>$10 million milestone payment in 2016 associated with the initiation of our Phase 1b study for SER-262 in CDI and a $20 million milestone</w:t>
      </w:r>
    </w:p>
    <w:p>
      <w:pPr>
        <w:spacing w:after="0"/>
        <w:rPr>
          <w:sz w:val="20"/>
          <w:szCs w:val="20"/>
          <w:color w:val="auto"/>
        </w:rPr>
      </w:pPr>
      <w:r>
        <w:rPr>
          <w:rFonts w:ascii="Arial" w:cs="Arial" w:eastAsia="Arial" w:hAnsi="Arial"/>
          <w:sz w:val="18"/>
          <w:szCs w:val="18"/>
          <w:color w:val="auto"/>
        </w:rPr>
        <w:t>payment in 2017 associated with the initiation of our Phase 3 study of SER-109 in multiply recurrent CDI.</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November 2018, we executed a letter agreement with NHS (the “Letter Agreement’), modifying certain terms of the License Agreement. Under the Letter Agreement, NHS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received $70.0 million in development milestones under the License Agreement and the Letter Agreement.</w:t>
      </w:r>
    </w:p>
    <w:p>
      <w:pPr>
        <w:spacing w:after="0" w:line="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000"/>
          </w:cols>
          <w:pgMar w:left="440" w:top="287" w:right="45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940"/>
          </w:cols>
          <w:pgMar w:left="440" w:top="287"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16(a) of the Exchange Act requires our directors, certain officers and stockholders who beneficially own more than 10% of any class of our equity securities registered pursuant to Section 12 of the Exchange Act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2018, except that that following forms were filed late: one Form 4 (reporting two transactions) for John G. Aunins.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699770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the fiscal year ended December 31, 2018, Richard N. Kender, Lorence H. Kim, M.D. and Kurt C. Graves served as members of our Compensation Committee. No member of our Compensation Committee during the fiscal year ended December 31, 2018 is or has been an officer or employee of our Company.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2018.</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020"/>
          </w:cols>
          <w:pgMar w:left="440" w:top="832"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2020 Annual Meeting of Stockholders pursuant to Rule 14a-8 under the Exchange Act must submit the proposal to our Secretary at our offices at 200 Sidney Street, Cambridge, MA 02139 in writing not later than December 31, 2019.</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Stockholders intending to present a proposal at the 2020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2019 Annual Meeting of Stockholders no earlier than the close of business on February 14, 2020 and no later than the close of business on March 15, 2020. The notice must contain the information required by the Amended and Restated Bylaws, a copy of which is available upon request to our Secretary. In the event that the date of the 2020 Annual Meeting of Stockholders is more than 30 days before or more than 60 days after June 13, 2020, then our Secretary must receive such written notice not earlier than the close of business on the 120th day prior to the 2020 Annual Meeting and not later than the close of business on the 90th day prior to the 2020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6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699770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5" w:lineRule="exact"/>
        <w:rPr>
          <w:sz w:val="20"/>
          <w:szCs w:val="20"/>
          <w:color w:val="auto"/>
        </w:rPr>
      </w:pPr>
    </w:p>
    <w:p>
      <w:pPr>
        <w:jc w:val="both"/>
        <w:ind w:right="500"/>
        <w:spacing w:after="0" w:line="261" w:lineRule="auto"/>
        <w:rPr>
          <w:sz w:val="20"/>
          <w:szCs w:val="20"/>
          <w:color w:val="auto"/>
        </w:rPr>
      </w:pPr>
      <w:r>
        <w:rPr>
          <w:rFonts w:ascii="Arial" w:cs="Arial" w:eastAsia="Arial" w:hAnsi="Arial"/>
          <w:sz w:val="17"/>
          <w:szCs w:val="17"/>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000"/>
          </w:cols>
          <w:pgMar w:left="440" w:top="832"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5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980"/>
          </w:cols>
          <w:pgMar w:left="440" w:top="832"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303530</wp:posOffset>
            </wp:positionV>
            <wp:extent cx="699770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copy of Seres’ Annual Report on Form 10-K for the fiscal year ended December 31, 2018, including financial statements and schedules thereto but not including exhibits, as filed with the SEC, will be sent to any stockholder of record on April 29, 2019 without charge upon written request addressed to:</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Seres Therapeutics, Inc.</w:t>
      </w:r>
    </w:p>
    <w:p>
      <w:pPr>
        <w:ind w:left="880"/>
        <w:spacing w:after="0" w:line="234" w:lineRule="auto"/>
        <w:rPr>
          <w:sz w:val="20"/>
          <w:szCs w:val="20"/>
          <w:color w:val="auto"/>
        </w:rPr>
      </w:pPr>
      <w:r>
        <w:rPr>
          <w:rFonts w:ascii="Arial" w:cs="Arial" w:eastAsia="Arial" w:hAnsi="Arial"/>
          <w:sz w:val="18"/>
          <w:szCs w:val="18"/>
          <w:color w:val="auto"/>
        </w:rPr>
        <w:t>Attention: Secretary</w:t>
      </w:r>
    </w:p>
    <w:p>
      <w:pPr>
        <w:ind w:left="880"/>
        <w:spacing w:after="0" w:line="235" w:lineRule="auto"/>
        <w:rPr>
          <w:sz w:val="20"/>
          <w:szCs w:val="20"/>
          <w:color w:val="auto"/>
        </w:rPr>
      </w:pPr>
      <w:r>
        <w:rPr>
          <w:rFonts w:ascii="Arial" w:cs="Arial" w:eastAsia="Arial" w:hAnsi="Arial"/>
          <w:sz w:val="18"/>
          <w:szCs w:val="18"/>
          <w:color w:val="auto"/>
        </w:rPr>
        <w:t>200 Sidney Street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Cambridge, MA 02139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2018 at</w:t>
      </w:r>
      <w:r>
        <w:rPr>
          <w:rFonts w:ascii="Arial" w:cs="Arial" w:eastAsia="Arial" w:hAnsi="Arial"/>
          <w:sz w:val="18"/>
          <w:szCs w:val="18"/>
          <w:i w:val="1"/>
          <w:iCs w:val="1"/>
          <w:color w:val="auto"/>
        </w:rPr>
        <w:t xml:space="preserve"> www.serestherapeutics.com</w:t>
      </w:r>
      <w:r>
        <w:rPr>
          <w:rFonts w:ascii="Arial" w:cs="Arial" w:eastAsia="Arial" w:hAnsi="Arial"/>
          <w:sz w:val="18"/>
          <w:szCs w:val="18"/>
          <w:color w:val="auto"/>
        </w:rPr>
        <w:t>.</w:t>
      </w:r>
    </w:p>
    <w:p>
      <w:pPr>
        <w:spacing w:after="0" w:line="18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1920875" cy="4286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 Secretary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April 30, 2019</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960"/>
          </w:cols>
          <w:pgMar w:left="440" w:top="833" w:right="499" w:bottom="144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124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7812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124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7812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bullet"/>
      <w:start w:val="1"/>
    </w:lvl>
  </w:abstractNum>
  <w:abstractNum w:abstractNumId="9">
    <w:nsid w:val="189A769B"/>
    <w:multiLevelType w:val="hybridMultilevel"/>
    <w:lvl w:ilvl="0">
      <w:lvlJc w:val="left"/>
      <w:lvlText w:val="2"/>
      <w:numFmt w:val="bullet"/>
      <w:start w:val="1"/>
    </w:lvl>
  </w:abstractNum>
  <w:abstractNum w:abstractNumId="10">
    <w:nsid w:val="54E49EB4"/>
    <w:multiLevelType w:val="hybridMultilevel"/>
    <w:lvl w:ilvl="0">
      <w:lvlJc w:val="left"/>
      <w:lvlText w:val="3"/>
      <w:numFmt w:val="bullet"/>
      <w:start w:val="1"/>
    </w:lvl>
  </w:abstractNum>
  <w:abstractNum w:abstractNumId="11">
    <w:nsid w:val="71F32454"/>
    <w:multiLevelType w:val="hybridMultilevel"/>
    <w:lvl w:ilvl="0">
      <w:lvlJc w:val="left"/>
      <w:lvlText w:val="4"/>
      <w:numFmt w:val="bullet"/>
      <w:start w:val="1"/>
    </w:lvl>
  </w:abstractNum>
  <w:abstractNum w:abstractNumId="12">
    <w:nsid w:val="2CA88611"/>
    <w:multiLevelType w:val="hybridMultilevel"/>
    <w:lvl w:ilvl="0">
      <w:lvlJc w:val="left"/>
      <w:lvlText w:val="5"/>
      <w:numFmt w:val="bullet"/>
      <w:start w:val="1"/>
    </w:lvl>
  </w:abstractNum>
  <w:abstractNum w:abstractNumId="13">
    <w:nsid w:val="836C40E"/>
    <w:multiLevelType w:val="hybridMultilevel"/>
    <w:lvl w:ilvl="0">
      <w:lvlJc w:val="left"/>
      <w:lvlText w:val="6"/>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lvl w:ilvl="1">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bullet"/>
      <w:start w:val="1"/>
    </w:lvl>
  </w:abstractNum>
  <w:abstractNum w:abstractNumId="28">
    <w:nsid w:val="5072367"/>
    <w:multiLevelType w:val="hybridMultilevel"/>
    <w:lvl w:ilvl="0">
      <w:lvlJc w:val="left"/>
      <w:lvlText w:val="2"/>
      <w:numFmt w:val="bullet"/>
      <w:start w:val="1"/>
    </w:lvl>
  </w:abstractNum>
  <w:abstractNum w:abstractNumId="29">
    <w:nsid w:val="3804823E"/>
    <w:multiLevelType w:val="hybridMultilevel"/>
    <w:lvl w:ilvl="0">
      <w:lvlJc w:val="left"/>
      <w:lvlText w:val="3"/>
      <w:numFmt w:val="bullet"/>
      <w:start w:val="1"/>
    </w:lvl>
  </w:abstractNum>
  <w:abstractNum w:abstractNumId="30">
    <w:nsid w:val="77465F01"/>
    <w:multiLevelType w:val="hybridMultilevel"/>
    <w:lvl w:ilvl="0">
      <w:lvlJc w:val="left"/>
      <w:lvlText w:val="4"/>
      <w:numFmt w:val="bullet"/>
      <w:start w:val="1"/>
    </w:lvl>
  </w:abstractNum>
  <w:abstractNum w:abstractNumId="31">
    <w:nsid w:val="7724C67E"/>
    <w:multiLevelType w:val="hybridMultilevel"/>
    <w:lvl w:ilvl="0">
      <w:lvlJc w:val="left"/>
      <w:lvlText w:val="5"/>
      <w:numFmt w:val="bullet"/>
      <w:start w:val="1"/>
    </w:lvl>
  </w:abstractNum>
  <w:abstractNum w:abstractNumId="32">
    <w:nsid w:val="5C482A97"/>
    <w:multiLevelType w:val="hybridMultilevel"/>
    <w:lvl w:ilvl="0">
      <w:lvlJc w:val="left"/>
      <w:lvlText w:val="1"/>
      <w:numFmt w:val="bullet"/>
      <w:start w:val="1"/>
    </w:lvl>
  </w:abstractNum>
  <w:abstractNum w:abstractNumId="33">
    <w:nsid w:val="2463B9EA"/>
    <w:multiLevelType w:val="hybridMultilevel"/>
    <w:lvl w:ilvl="0">
      <w:lvlJc w:val="left"/>
      <w:lvlText w:val="2"/>
      <w:numFmt w:val="bullet"/>
      <w:start w:val="1"/>
    </w:lvl>
  </w:abstractNum>
  <w:abstractNum w:abstractNumId="34">
    <w:nsid w:val="5E884ADC"/>
    <w:multiLevelType w:val="hybridMultilevel"/>
    <w:lvl w:ilvl="0">
      <w:lvlJc w:val="left"/>
      <w:lvlText w:val="3"/>
      <w:numFmt w:val="bullet"/>
      <w:start w:val="1"/>
    </w:lvl>
  </w:abstractNum>
  <w:abstractNum w:abstractNumId="35">
    <w:nsid w:val="51EAD36B"/>
    <w:multiLevelType w:val="hybridMultilevel"/>
    <w:lvl w:ilvl="0">
      <w:lvlJc w:val="left"/>
      <w:lvlText w:val="4"/>
      <w:numFmt w:val="bullet"/>
      <w:start w:val="1"/>
    </w:lvl>
  </w:abstractNum>
  <w:abstractNum w:abstractNumId="36">
    <w:nsid w:val="2D517796"/>
    <w:multiLevelType w:val="hybridMultilevel"/>
    <w:lvl w:ilvl="0">
      <w:lvlJc w:val="left"/>
      <w:lvlText w:val="5"/>
      <w:numFmt w:val="bullet"/>
      <w:start w:val="1"/>
    </w:lvl>
  </w:abstractNum>
  <w:abstractNum w:abstractNumId="37">
    <w:nsid w:val="580BD78F"/>
    <w:multiLevelType w:val="hybridMultilevel"/>
    <w:lvl w:ilvl="0">
      <w:lvlJc w:val="left"/>
      <w:lvlText w:val="6"/>
      <w:numFmt w:val="bullet"/>
      <w:start w:val="1"/>
    </w:lvl>
  </w:abstractNum>
  <w:abstractNum w:abstractNumId="38">
    <w:nsid w:val="153EA438"/>
    <w:multiLevelType w:val="hybridMultilevel"/>
    <w:lvl w:ilvl="0">
      <w:lvlJc w:val="left"/>
      <w:lvlText w:val="7"/>
      <w:numFmt w:val="bullet"/>
      <w:start w:val="1"/>
    </w:lvl>
  </w:abstractNum>
  <w:abstractNum w:abstractNumId="39">
    <w:nsid w:val="3855585C"/>
    <w:multiLevelType w:val="hybridMultilevel"/>
    <w:lvl w:ilvl="0">
      <w:lvlJc w:val="left"/>
      <w:lvlText w:val="8"/>
      <w:numFmt w:val="bullet"/>
      <w:start w:val="1"/>
    </w:lvl>
  </w:abstractNum>
  <w:abstractNum w:abstractNumId="40">
    <w:nsid w:val="70A64E2A"/>
    <w:multiLevelType w:val="hybridMultilevel"/>
    <w:lvl w:ilvl="0">
      <w:lvlJc w:val="left"/>
      <w:lvlText w:val="9"/>
      <w:numFmt w:val="bullet"/>
      <w:start w:val="1"/>
    </w:lvl>
  </w:abstractNum>
  <w:abstractNum w:abstractNumId="41">
    <w:nsid w:val="6A2342EC"/>
    <w:multiLevelType w:val="hybridMultilevel"/>
    <w:lvl w:ilvl="0">
      <w:lvlJc w:val="left"/>
      <w:lvlText w:val="%1"/>
      <w:numFmt w:val="decimal"/>
      <w:start w:val="10"/>
    </w:lvl>
  </w:abstractNum>
  <w:abstractNum w:abstractNumId="42">
    <w:nsid w:val="2A487CB0"/>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2019-12-03T00:29:12Z</dcterms:created>
  <dcterms:modified xsi:type="dcterms:W3CDTF">2019-12-03T00:29:12Z</dcterms:modified>
</cp:coreProperties>
</file>