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7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324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2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2"/>
                <w:szCs w:val="22"/>
                <w:color w:val="auto"/>
              </w:rPr>
            </w:pPr>
          </w:p>
        </w:tc>
        <w:tc>
          <w:tcPr>
            <w:tcW w:w="3920" w:type="dxa"/>
            <w:vAlign w:val="bottom"/>
            <w:gridSpan w:val="7"/>
          </w:tcPr>
          <w:p>
            <w:pPr>
              <w:jc w:val="center"/>
              <w:ind w:left="227"/>
              <w:spacing w:after="0"/>
              <w:rPr>
                <w:sz w:val="20"/>
                <w:szCs w:val="20"/>
                <w:color w:val="auto"/>
              </w:rPr>
            </w:pPr>
            <w:r>
              <w:rPr>
                <w:rFonts w:ascii="Times New Roman" w:cs="Times New Roman" w:eastAsia="Times New Roman" w:hAnsi="Times New Roman"/>
                <w:sz w:val="16"/>
                <w:szCs w:val="16"/>
                <w:b w:val="1"/>
                <w:bCs w:val="1"/>
                <w:color w:val="auto"/>
              </w:rPr>
              <w:t>Commission File Number: 001-37465</w:t>
            </w:r>
          </w:p>
        </w:tc>
        <w:tc>
          <w:tcPr>
            <w:tcW w:w="5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41"/>
                <w:szCs w:val="41"/>
                <w:b w:val="1"/>
                <w:bCs w:val="1"/>
                <w:color w:val="auto"/>
              </w:rPr>
              <w:t>Seres</w:t>
            </w:r>
          </w:p>
        </w:tc>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5"/>
                <w:szCs w:val="5"/>
                <w:color w:val="auto"/>
              </w:rPr>
              <w:t>le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41"/>
                <w:szCs w:val="41"/>
                <w:b w:val="1"/>
                <w:bCs w:val="1"/>
                <w:color w:val="auto"/>
              </w:rPr>
              <w:t>Inc.</w:t>
            </w: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1"/>
        </w:trPr>
        <w:tc>
          <w:tcPr>
            <w:tcW w:w="350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41"/>
                <w:szCs w:val="41"/>
                <w:b w:val="1"/>
                <w:bCs w:val="1"/>
                <w:color w:val="auto"/>
                <w:w w:val="91"/>
              </w:rPr>
              <w:t>Therapeutics,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4480" w:type="dxa"/>
            <w:vAlign w:val="bottom"/>
            <w:gridSpan w:val="8"/>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60" w:type="dxa"/>
            <w:vAlign w:val="bottom"/>
          </w:tcPr>
          <w:p>
            <w:pPr>
              <w:jc w:val="right"/>
              <w:ind w:right="1766"/>
              <w:spacing w:after="0"/>
              <w:rPr>
                <w:sz w:val="20"/>
                <w:szCs w:val="20"/>
                <w:color w:val="auto"/>
              </w:rPr>
            </w:pPr>
            <w:r>
              <w:rPr>
                <w:rFonts w:ascii="Times New Roman" w:cs="Times New Roman" w:eastAsia="Times New Roman" w:hAnsi="Times New Roman"/>
                <w:sz w:val="16"/>
                <w:szCs w:val="16"/>
                <w:b w:val="1"/>
                <w:bCs w:val="1"/>
                <w:color w:val="231F20"/>
              </w:rPr>
              <w:t>27-4326290</w:t>
            </w:r>
          </w:p>
        </w:tc>
        <w:tc>
          <w:tcPr>
            <w:tcW w:w="0" w:type="dxa"/>
            <w:vAlign w:val="bottom"/>
          </w:tcPr>
          <w:p>
            <w:pPr>
              <w:spacing w:after="0"/>
              <w:rPr>
                <w:sz w:val="1"/>
                <w:szCs w:val="1"/>
                <w:color w:val="auto"/>
              </w:rPr>
            </w:pPr>
          </w:p>
        </w:tc>
      </w:tr>
      <w:tr>
        <w:trPr>
          <w:trHeight w:val="148"/>
        </w:trPr>
        <w:tc>
          <w:tcPr>
            <w:tcW w:w="350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60" w:type="dxa"/>
            <w:vAlign w:val="bottom"/>
          </w:tcPr>
          <w:p>
            <w:pPr>
              <w:jc w:val="center"/>
              <w:ind w:right="114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1"/>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101 Cambridgepark Drive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jc w:val="right"/>
              <w:ind w:right="1966"/>
              <w:spacing w:after="0"/>
              <w:rPr>
                <w:sz w:val="20"/>
                <w:szCs w:val="20"/>
                <w:color w:val="auto"/>
              </w:rPr>
            </w:pPr>
            <w:r>
              <w:rPr>
                <w:rFonts w:ascii="Times New Roman" w:cs="Times New Roman" w:eastAsia="Times New Roman" w:hAnsi="Times New Roman"/>
                <w:sz w:val="16"/>
                <w:szCs w:val="16"/>
                <w:b w:val="1"/>
                <w:bCs w:val="1"/>
                <w:color w:val="auto"/>
              </w:rPr>
              <w:t>02140</w:t>
            </w:r>
          </w:p>
        </w:tc>
        <w:tc>
          <w:tcPr>
            <w:tcW w:w="0" w:type="dxa"/>
            <w:vAlign w:val="bottom"/>
          </w:tcPr>
          <w:p>
            <w:pPr>
              <w:spacing w:after="0"/>
              <w:rPr>
                <w:sz w:val="1"/>
                <w:szCs w:val="1"/>
                <w:color w:val="auto"/>
              </w:rPr>
            </w:pPr>
          </w:p>
        </w:tc>
      </w:tr>
      <w:tr>
        <w:trPr>
          <w:trHeight w:val="190"/>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jc w:val="center"/>
              <w:ind w:right="114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33"/>
        </w:trPr>
        <w:tc>
          <w:tcPr>
            <w:tcW w:w="3500" w:type="dxa"/>
            <w:vAlign w:val="bottom"/>
          </w:tcPr>
          <w:p>
            <w:pPr>
              <w:spacing w:after="0"/>
              <w:rPr>
                <w:sz w:val="20"/>
                <w:szCs w:val="20"/>
                <w:color w:val="auto"/>
              </w:rPr>
            </w:pPr>
          </w:p>
        </w:tc>
        <w:tc>
          <w:tcPr>
            <w:tcW w:w="3240" w:type="dxa"/>
            <w:vAlign w:val="bottom"/>
            <w:gridSpan w:val="4"/>
          </w:tcPr>
          <w:p>
            <w:pPr>
              <w:jc w:val="center"/>
              <w:ind w:left="927"/>
              <w:spacing w:after="0"/>
              <w:rPr>
                <w:sz w:val="20"/>
                <w:szCs w:val="20"/>
                <w:color w:val="auto"/>
              </w:rPr>
            </w:pPr>
            <w:r>
              <w:rPr>
                <w:rFonts w:ascii="Times New Roman" w:cs="Times New Roman" w:eastAsia="Times New Roman" w:hAnsi="Times New Roman"/>
                <w:sz w:val="16"/>
                <w:szCs w:val="16"/>
                <w:b w:val="1"/>
                <w:bCs w:val="1"/>
                <w:color w:val="auto"/>
              </w:rPr>
              <w:t>(617) 945-9626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00" w:type="dxa"/>
            <w:vAlign w:val="bottom"/>
          </w:tcPr>
          <w:p>
            <w:pPr>
              <w:spacing w:after="0"/>
              <w:rPr>
                <w:sz w:val="19"/>
                <w:szCs w:val="19"/>
                <w:color w:val="auto"/>
              </w:rPr>
            </w:pPr>
          </w:p>
        </w:tc>
        <w:tc>
          <w:tcPr>
            <w:tcW w:w="3920" w:type="dxa"/>
            <w:vAlign w:val="bottom"/>
            <w:gridSpan w:val="7"/>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3920" w:type="dxa"/>
            <w:vAlign w:val="bottom"/>
            <w:gridSpan w:val="7"/>
          </w:tcPr>
          <w:p>
            <w:pPr>
              <w:jc w:val="center"/>
              <w:ind w:left="227"/>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tcBorders>
              <w:bottom w:val="single" w:sz="8" w:color="auto"/>
            </w:tcBorders>
          </w:tcPr>
          <w:p>
            <w:pPr>
              <w:jc w:val="center"/>
              <w:ind w:left="82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500" w:type="dxa"/>
            <w:vAlign w:val="bottom"/>
          </w:tcPr>
          <w:p>
            <w:pPr>
              <w:jc w:val="center"/>
              <w:ind w:left="825"/>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MCRB</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61"/>
        </w:trPr>
        <w:tc>
          <w:tcPr>
            <w:tcW w:w="3500" w:type="dxa"/>
            <w:vAlign w:val="bottom"/>
          </w:tcPr>
          <w:p>
            <w:pPr>
              <w:spacing w:after="0"/>
              <w:rPr>
                <w:sz w:val="22"/>
                <w:szCs w:val="22"/>
                <w:color w:val="auto"/>
              </w:rPr>
            </w:pPr>
          </w:p>
        </w:tc>
        <w:tc>
          <w:tcPr>
            <w:tcW w:w="4480" w:type="dxa"/>
            <w:vAlign w:val="bottom"/>
            <w:gridSpan w:val="8"/>
          </w:tcPr>
          <w:p>
            <w:pPr>
              <w:jc w:val="center"/>
              <w:ind w:right="16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
        </w:trPr>
        <w:tc>
          <w:tcPr>
            <w:tcW w:w="4500" w:type="dxa"/>
            <w:vAlign w:val="bottom"/>
            <w:gridSpan w:val="3"/>
          </w:tcPr>
          <w:p>
            <w:pPr>
              <w:spacing w:after="0"/>
              <w:rPr>
                <w:sz w:val="6"/>
                <w:szCs w:val="6"/>
                <w:color w:val="auto"/>
              </w:rPr>
            </w:pPr>
          </w:p>
        </w:tc>
        <w:tc>
          <w:tcPr>
            <w:tcW w:w="2240" w:type="dxa"/>
            <w:vAlign w:val="bottom"/>
            <w:tcBorders>
              <w:bottom w:val="single" w:sz="8" w:color="auto"/>
            </w:tcBorders>
            <w:gridSpan w:val="2"/>
          </w:tcPr>
          <w:p>
            <w:pPr>
              <w:spacing w:after="0"/>
              <w:rPr>
                <w:sz w:val="6"/>
                <w:szCs w:val="6"/>
                <w:color w:val="auto"/>
              </w:rPr>
            </w:pPr>
          </w:p>
        </w:tc>
        <w:tc>
          <w:tcPr>
            <w:tcW w:w="680" w:type="dxa"/>
            <w:vAlign w:val="bottom"/>
            <w:gridSpan w:val="3"/>
          </w:tcPr>
          <w:p>
            <w:pPr>
              <w:spacing w:after="0"/>
              <w:rPr>
                <w:sz w:val="6"/>
                <w:szCs w:val="6"/>
                <w:color w:val="auto"/>
              </w:rPr>
            </w:pP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p>
        </w:tc>
        <w:tc>
          <w:tcPr>
            <w:tcW w:w="326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742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42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p>
        </w:tc>
        <w:tc>
          <w:tcPr>
            <w:tcW w:w="32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the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spacing w:after="0"/>
              <w:rPr>
                <w:sz w:val="21"/>
                <w:szCs w:val="21"/>
                <w:color w:val="auto"/>
              </w:rPr>
            </w:pPr>
          </w:p>
        </w:tc>
        <w:tc>
          <w:tcPr>
            <w:tcW w:w="600" w:type="dxa"/>
            <w:vAlign w:val="bottom"/>
          </w:tcPr>
          <w:p>
            <w:pPr>
              <w:spacing w:after="0"/>
              <w:rPr>
                <w:sz w:val="21"/>
                <w:szCs w:val="21"/>
                <w:color w:val="auto"/>
              </w:rPr>
            </w:pPr>
          </w:p>
        </w:tc>
      </w:tr>
    </w:tbl>
    <w:p>
      <w:pPr>
        <w:spacing w:after="0" w:line="73" w:lineRule="exact"/>
        <w:rPr>
          <w:sz w:val="24"/>
          <w:szCs w:val="24"/>
          <w:color w:val="auto"/>
        </w:rPr>
      </w:pPr>
    </w:p>
    <w:p>
      <w:pPr>
        <w:jc w:val="both"/>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6580" w:val="left"/>
          <w:tab w:leader="none" w:pos="71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40" w:firstLine="50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based on the closing price of the registrant’s common stock as reported on the Nasdaq Global Select Market on June 30, 2025, was $71,941,772. Solely for purposes of this disclosure, shares of common stock held by executive officers, directors and certain stockholders of the registrant as of such date have been excluded because such holders may be deemed to be affiliates.</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6, 2026 there were 9,586,298 shares of the registrant’s common stock, par value $0.001 per share, outstanding.</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 w:name="page2"/>
    <w:bookmarkEnd w:id="1"/>
    <w:p>
      <w:pPr>
        <w:ind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2026 Annual Meeting of Stockholders to be filed with the SEC within 120 days after the end of the fiscal year ended December 31, 2025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6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w:t>
            </w:r>
          </w:p>
        </w:tc>
        <w:tc>
          <w:tcPr>
            <w:tcW w:w="76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60" w:type="dxa"/>
            <w:vAlign w:val="bottom"/>
            <w:tcBorders>
              <w:bottom w:val="single" w:sz="8" w:color="0000EE"/>
            </w:tcBorders>
            <w:vMerge w:val="continue"/>
          </w:tcPr>
          <w:p>
            <w:pPr>
              <w:spacing w:after="0"/>
              <w:rPr>
                <w:sz w:val="14"/>
                <w:szCs w:val="14"/>
                <w:color w:val="auto"/>
              </w:rPr>
            </w:pPr>
          </w:p>
        </w:tc>
        <w:tc>
          <w:tcPr>
            <w:tcW w:w="7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830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16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0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480" w:type="dxa"/>
            <w:vAlign w:val="bottom"/>
            <w:gridSpan w:val="2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880" w:type="dxa"/>
            <w:vAlign w:val="bottom"/>
            <w:gridSpan w:val="1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44"/>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00" w:type="dxa"/>
            <w:vAlign w:val="bottom"/>
            <w:gridSpan w:val="4"/>
          </w:tcPr>
          <w:p>
            <w:pPr>
              <w:spacing w:after="0"/>
              <w:rPr>
                <w:sz w:val="17"/>
                <w:szCs w:val="17"/>
                <w:color w:val="auto"/>
              </w:rPr>
            </w:pP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4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[Reserved]</w:t>
            </w:r>
          </w:p>
        </w:tc>
        <w:tc>
          <w:tcPr>
            <w:tcW w:w="8420" w:type="dxa"/>
            <w:vAlign w:val="bottom"/>
            <w:gridSpan w:val="19"/>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0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88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EE"/>
            </w:tcBorders>
            <w:gridSpan w:val="10"/>
          </w:tcPr>
          <w:p>
            <w:pPr>
              <w:spacing w:after="0"/>
              <w:rPr>
                <w:sz w:val="17"/>
                <w:szCs w:val="17"/>
                <w:color w:val="auto"/>
              </w:rPr>
            </w:pPr>
          </w:p>
        </w:tc>
        <w:tc>
          <w:tcPr>
            <w:tcW w:w="274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90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344"/>
        </w:trPr>
        <w:tc>
          <w:tcPr>
            <w:tcW w:w="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PART III.</w:t>
            </w:r>
          </w:p>
        </w:tc>
        <w:tc>
          <w:tcPr>
            <w:tcW w:w="62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12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0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45"/>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640" w:type="dxa"/>
            <w:vAlign w:val="bottom"/>
            <w:gridSpan w:val="3"/>
          </w:tcPr>
          <w:p>
            <w:pPr>
              <w:spacing w:after="0"/>
              <w:rPr>
                <w:sz w:val="17"/>
                <w:szCs w:val="17"/>
                <w:color w:val="auto"/>
              </w:rPr>
            </w:pPr>
          </w:p>
        </w:tc>
        <w:tc>
          <w:tcPr>
            <w:tcW w:w="92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4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06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345"/>
        </w:trPr>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668"/>
        </w:trPr>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20" w:type="dxa"/>
            <w:vAlign w:val="bottom"/>
            <w:gridSpan w:val="16"/>
          </w:tcPr>
          <w:p>
            <w:pPr>
              <w:ind w:left="416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without limitation statements regarding our future results of operations and financial position including our projected cash runway, our requirement for additional funding, our business strategy, including potential strategic partnership efforts, our prospective products, the design, timing and results of our clinical studies and data readouts, product approvals, communications with, feedback from, or submissions to the FDA, research and development costs, the timing and likelihood of success, our ability to continue as a going concern, our ability to maintain compliance with any applicable Nasdaq listing requirements, executive and director transition matters, plans and objectives of management for future operations and future results of anticipated products, or the timing of any of the foregoing,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“Summary Risk Factors,” “Risk Factors” and “Management’s Discussion and Analysis of Financial Condition and Results of Operations” and elsewhere in this Annual Report on Form 10-K.</w:t>
      </w:r>
    </w:p>
    <w:p>
      <w:pPr>
        <w:spacing w:after="0" w:line="8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TRADENAMES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proprietary rights to trademarks used in this Annual Report on Form 10-K, which are important to our business and many of which are registered under applicable intellectual property laws. Solely for convenience, the trademarks, service marks, logos and trade names referred to in this Annual Report on Form 10-K are without the ® and ™ symbols, but such references are not intended to indicate, in any way, that we will not assert, to the fullest extent under applicable law, our rights to these trademarks, service marks and trade names. This Annual Report on Form 10-K contains additional trademarks, service marks and trade names of others, which are the property of their respective owners. All trademarks, service marks and trade names appearing in this Annual Report on Form 10-K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28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regarding our ability to continue as a going concern.</w:t>
      </w:r>
    </w:p>
    <w:p>
      <w:pPr>
        <w:spacing w:after="0" w:line="117" w:lineRule="exact"/>
        <w:rPr>
          <w:rFonts w:ascii="Times New Roman" w:cs="Times New Roman" w:eastAsia="Times New Roman" w:hAnsi="Times New Roman"/>
          <w:sz w:val="18"/>
          <w:szCs w:val="18"/>
          <w:color w:val="auto"/>
        </w:rPr>
      </w:pPr>
    </w:p>
    <w:p>
      <w:pPr>
        <w:ind w:left="760" w:right="8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in order to advance development of our product candidates (including to conduct the Phase 2 study of SER-155 in allo-HSCT) and commercialize our product candidates, if approved. If we are unable to raise capital or secure a partnership or other business development transaction, we could be required to implement further cost-reduction measures, reduce or delay our product development programs or any potential future commercialization efforts, or pursue other alternatives, which could include seeking relief under the U.S Bankruptcy Code or winding down our operations.</w:t>
      </w:r>
    </w:p>
    <w:p>
      <w:pPr>
        <w:spacing w:after="0" w:line="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company and have incurred significant losses since our inception. We expect to incur losses for the foreseeable future and may never achieve or maintain profitability.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ind w:left="380" w:right="9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Milestone Payments (as defined herein) we may receive from the Transaction is subject to various risks and uncertainties.</w:t>
      </w:r>
    </w:p>
    <w:p>
      <w:pPr>
        <w:spacing w:after="0" w:line="53" w:lineRule="exact"/>
        <w:rPr>
          <w:rFonts w:ascii="Times New Roman" w:cs="Times New Roman" w:eastAsia="Times New Roman" w:hAnsi="Times New Roman"/>
          <w:sz w:val="18"/>
          <w:szCs w:val="18"/>
          <w:color w:val="auto"/>
        </w:rPr>
      </w:pPr>
    </w:p>
    <w:p>
      <w:pPr>
        <w:ind w:left="380" w:right="1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anticipated benefits of the Transaction (as defined herein), and we may face new challenges as a smaller, less diversified company.</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380" w:right="7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of certain of our product candidates and may not be successful in our efforts to use our reverse translational platform to build a pipeline of product candidates and develop additional marketable drugs.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live biotherapeutics, which is a novel approach to therapeutic intervention.</w:t>
      </w:r>
    </w:p>
    <w:p>
      <w:pPr>
        <w:spacing w:after="0" w:line="117"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risky, lengthy and expensive process, with an uncertain outcome. We may incur additional costs or experience delays in completing, or ultimately be unable to complete, the development and any potential future commercialization of our product candidates.</w:t>
      </w:r>
    </w:p>
    <w:p>
      <w:pPr>
        <w:spacing w:after="0" w:line="67" w:lineRule="exact"/>
        <w:rPr>
          <w:rFonts w:ascii="Times New Roman" w:cs="Times New Roman" w:eastAsia="Times New Roman" w:hAnsi="Times New Roman"/>
          <w:sz w:val="18"/>
          <w:szCs w:val="18"/>
          <w:color w:val="auto"/>
        </w:rPr>
      </w:pPr>
    </w:p>
    <w:p>
      <w:pPr>
        <w:ind w:left="380" w:right="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of patients in clinical trials, could result in our receipt of necessary regulatory approvals being delayed or prevented.</w:t>
      </w:r>
    </w:p>
    <w:p>
      <w:pPr>
        <w:spacing w:after="0" w:line="53" w:lineRule="exact"/>
        <w:rPr>
          <w:rFonts w:ascii="Times New Roman" w:cs="Times New Roman" w:eastAsia="Times New Roman" w:hAnsi="Times New Roman"/>
          <w:sz w:val="18"/>
          <w:szCs w:val="18"/>
          <w:color w:val="auto"/>
        </w:rPr>
      </w:pPr>
    </w:p>
    <w:p>
      <w:pPr>
        <w:ind w:left="380" w:right="4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government shutdowns, or staffing limitations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rFonts w:ascii="Times New Roman" w:cs="Times New Roman" w:eastAsia="Times New Roman" w:hAnsi="Times New Roman"/>
          <w:sz w:val="18"/>
          <w:szCs w:val="18"/>
          <w:color w:val="auto"/>
        </w:rPr>
      </w:pPr>
    </w:p>
    <w:p>
      <w:pPr>
        <w:ind w:left="380" w:right="2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or regulation may increase the difficulty and cost for us to obtain marketing approval of and commercialize our product candidates and may adversely affect the prices we may obtain.</w:t>
      </w:r>
    </w:p>
    <w:p>
      <w:pPr>
        <w:spacing w:after="0" w:line="53" w:lineRule="exact"/>
        <w:rPr>
          <w:rFonts w:ascii="Times New Roman" w:cs="Times New Roman" w:eastAsia="Times New Roman" w:hAnsi="Times New Roman"/>
          <w:sz w:val="18"/>
          <w:szCs w:val="18"/>
          <w:color w:val="auto"/>
        </w:rPr>
      </w:pPr>
    </w:p>
    <w:p>
      <w:pPr>
        <w:ind w:left="380" w:right="240" w:hanging="37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we or any collaborators will not be able to commercialize our product candidates or will not be able to do so as soon as anticipated, and our ability to generate revenue will be materially impaired. Additionally, failure to obtain marketing approval in international jurisdictions would prevent our product candidates from being marketed abroad.</w:t>
      </w:r>
    </w:p>
    <w:p>
      <w:pPr>
        <w:spacing w:after="0" w:line="71" w:lineRule="exact"/>
        <w:rPr>
          <w:rFonts w:ascii="Times New Roman" w:cs="Times New Roman" w:eastAsia="Times New Roman" w:hAnsi="Times New Roman"/>
          <w:sz w:val="18"/>
          <w:szCs w:val="18"/>
          <w:color w:val="auto"/>
        </w:rPr>
      </w:pPr>
    </w:p>
    <w:p>
      <w:pPr>
        <w:ind w:left="380" w:right="4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w:t>
      </w:r>
    </w:p>
    <w:p>
      <w:pPr>
        <w:spacing w:after="0" w:line="53" w:lineRule="exact"/>
        <w:rPr>
          <w:rFonts w:ascii="Times New Roman" w:cs="Times New Roman" w:eastAsia="Times New Roman" w:hAnsi="Times New Roman"/>
          <w:sz w:val="18"/>
          <w:szCs w:val="18"/>
          <w:color w:val="auto"/>
        </w:rPr>
      </w:pPr>
    </w:p>
    <w:p>
      <w:pPr>
        <w:ind w:left="380" w:right="1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 marketing approval, such product candidates may fail to achieve the degree of market acceptance by physicians, patients, hospitals, third-party payors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380" w:right="3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competing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380" w:right="14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again in the future receive a notice of the failure to satisfy a continued listing rule from Nasdaq.</w:t>
      </w: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3"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company focused on improving patient outcomes in medically vulnerable populations through discovery and development of novel live biotherapeutic product, or LBP, candidates. We led the successful development and approval of VOWST, the first FDA-approved orally administered microbiome biotherapeutic and a Breakthrough Therapy designated drug, which was sold to Société des Produits Nestlé S.A., or SPN, and with certain of its affiliates, collectively, Nestlé Health Science, in September 2024. We have established field-leading capabilities and platforms that are powered by best-in-field human data sets to advance a portfolio of products that can uniquely address diseases by targeting host pathways that are modulated by microbes in the human body, and, in particular, diseases associated with mucosal barrier-immune interface targets. We believe clinical and nonclinical data across our programs support the development of LBPs to target the prevention and treatment of a broad swath of infections, and to treat inflammatory and immune, or I&amp;I, diseases. Our pipeline consists of SER-155, SER-603, and SER-147, as well as other potential candidates in earlier development.</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LBP candidates are consortia of bacteria designed to optimize specific, targeted pharmacological properties, and are formulated for oral delivery. We maintain a differentiated live biotherapeutics drug discovery and development platform that includes good manufacturing practices, or GMP, manufacturing capabilities for this novel drug modality. Our pipeline assets, including SER-155 and SER-603, are designed to target multiple disease-relevant pathways and are manufactured from standard clonal cell banks via cultivation. Our knowledge base and platforms enable selection of bacteria for precision consortia design to drive specific clinical outcomes and further provide unique insights on microbe-associated disease targets. We are designing LBP candidates to modulate host function to increase epithelium integrity and to induce immune homeostasis and tolerance, as well as to prevent the colonization and overgrowth of pathogens in the gastrointestinal, or GI, tract. We believe that the scientific and clinical data from the development of VOWST (our then product candidate SER-109 program) and the data from the SER-155 Phase 1b study (described below) validate our novel therapeutic approach in both infectious disease and I&amp;I diseases. In the context of infection, we believe that our technology may be replicable across different bacterial pathogens with the potential to develop live biotherapeutics to protect a range of medically compromised patients at risk of antimicrobial resistance, or AMR, infections and bloodstream infections, or BSIs, that can result from a compromised epithelial barrier and that can be a major cause of mortality.</w:t>
      </w:r>
    </w:p>
    <w:p>
      <w:pPr>
        <w:spacing w:after="0" w:line="8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SER-155, our most advanced LBP candidate, is an investigational, oral, live biotherapeutic designed to decolonize GI pathogens, improve GI epithelial barrier integrity, and induce immune homeostasis to prevent bacterial BSIs, including those that can harbor antimicrobial resistance, as well as other pathogen-associated negative clinical outcomes in patients undergoing allogeneic hematopoietic stem cell transplantation, or allo-HSCT. In December 2023, we received Fast Track Designation for SER-155 to reduce the risk of infection and GvHD in patients undergoing allo-HSCT, and in December 2024, the FDA granted Breakthrough Therapy designation to SER-155 for the reduction of BSIs in patients 18 years and older undergoing allo-HSCT. In our placebo-controlled Phase 1b study of SER-155 in allo-HSCT, SER-155 was associated with a 77% relative risk reduction in bacterial BSIs and a significant reduction in systemic antibiotic exposure as well as a lower incidence of febrile neutropenia, as compared to placebo through day 100 post HSCT. SER-155 was generally well tolerated, with no observed treatment-related serious adverse events. Importantly, we observed clinical translation on the drug candidate's mechanisms of action, including improvements in epithelial integrity and immune homeostasis. Following advancement of key startup activities for the SER-155 Phase 2 study in allo-HSCT, including the submission of a final protocol to the FDA in January 2026, study site evaluation and qualification with our CRO, and manufacturing of drug substance, we have paused additional investment in that program, preserving the optionality to efficiently restart the study, while continuing to seek funding for the Phase 2 study.</w:t>
      </w:r>
    </w:p>
    <w:p>
      <w:pPr>
        <w:spacing w:after="0" w:line="8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current strategy prioritizes advancing our programs that target I&amp;I indications. We have meaningfully advanced over the past decade our scientific understanding of how microbes in the GI functionally modulate pathways at the mucosal barrier-immune interface that are associated with inflammatory and immune-related disease. The clinical data from our SER-155 Phase 1b study in allo-HSCT, along with our extensive preclinical and translational clinical data compiled over the past decade support and inform the advancement of our earlier stage programs targeting I&amp;I diseases. We are evaluating SER-155 in immune checkpoint-related enterocolitis, or irEC, and we are developing SER-603, broadly in inflammatory bowel disease, or IBD, including ulcerative colitis, or UC, and Crohn's disease. We believe that our LBPs could represent a non-immunosuppressive treatment option for I&amp;I diseases that are linked to colitis and could broadly address immune therapy toxicities, both of which represent significant unmet medical needs and potential commercial opportunities. We are currently exploring potential collaborations related to those I&amp;I disease programs.</w:t>
      </w:r>
    </w:p>
    <w:p>
      <w:pPr>
        <w:spacing w:after="0" w:line="84"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We have been collaborating with Memorial Sloan Kettering Cancer Center for over a decade on the impact of the GI microbiome on immune related diseases and cancer; recently this long-standing collaboration included an investigator-sponsored trial, or IST, evaluating SER-155 in 15 participants with irEC. irEC is among the most frequent and severe immune-related adverse events, or irAEs, in recipients of immune checkpoint inhibitor, or ICI, therapy and can be observed in up to 50% of patients, with rates varying based on cancer drug and treatment regimen. ICIs can cause a wide range of irAEs with links to T cell biology and epithelial barrier inflammation, both of which are biological functions shown in our preclinical and clinical pharmacology data to be positively impacted by SER-155. We expect to report initial clinical results, including preliminary safety, efficacy, pharmacology, and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p>
      <w:pPr>
        <w:ind w:right="360"/>
        <w:spacing w:after="0" w:line="266" w:lineRule="auto"/>
        <w:rPr>
          <w:sz w:val="20"/>
          <w:szCs w:val="20"/>
          <w:color w:val="auto"/>
        </w:rPr>
      </w:pPr>
      <w:r>
        <w:rPr>
          <w:rFonts w:ascii="Times New Roman" w:cs="Times New Roman" w:eastAsia="Times New Roman" w:hAnsi="Times New Roman"/>
          <w:sz w:val="18"/>
          <w:szCs w:val="18"/>
          <w:color w:val="auto"/>
        </w:rPr>
        <w:t>exploratory biomarker data in the second quarter of 2026. We believe data from this IST could further support the potential for live biotherapeutics to address a significant unmet need among the large population of cancer patients receiving ICIs and may further support evaluation of our biotherapeutic approach in this setting.</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SER-603 is a novel, LBP candidate optimized to address disruptions in the GI microbiome and to improve GI mucosal barrier integrity through the inhibition of inflammatory bacteria and associated metabolites, the promotion of epithelial barrier integrity to reduce the translocation of inflammatory molecules and barrier inflammation, and to induce immune homeostasis through non-immunosuppressive regulatory T cell, or T-reg, induction via T cell signaling. Our research on SER-603 has been primarily supported through a partnership with the Crohn’s and Colitis Foundation, or CCF. These efforts aim to (i) confirm the functional phenotype and inflammatory state of patient subpopulations observed in our prior ulcerative colitis, or UC, clinical trials, and (ii) prioritize inflammatory targets and evaluate the potential to utilize biomarker-based patient selection and stratification for future studies. Many IBD patients experience an efficacy ceiling due to non-response or poor durability of response to existing therapies, and further, most advanced therapies target downstream inflammatory and immune responses and are immunosuppressive leading to toxicities and limitations with respect to combination therapies. IBD is a heterogeneous disease with both disruptions in the GI microbiome and epithelial barrier compromise being important drivers of disease that are not addressed by existing IBD therapies.</w:t>
      </w:r>
    </w:p>
    <w:p>
      <w:pPr>
        <w:spacing w:after="0" w:line="86"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believe that SER-155 and other cultivated live biotherapeutic candidates could be developed in additional patient populations to address barrier compromise and bloodstream and AMR infections beyond allo-HSCT, including autologous-HSCT patients, cancer patients with neutropenia, chimeric antigen receptors therapy, or CAR-T, recipients, individuals with chronic liver disease, or CLD, solid organ transplant recipients, as well as patients in the intensive care unit, or ICU, and long-term acute care facilities. We continue to develop another proprietary live biotherapeutic composition, SER-147, designed to prevent bacterial bloodstream and spontaneous bacterial peritonitis, or SBP, infections in patients with metabolic disease, including CLD. Additionally, we are developing an oral liquid formulation based on SER-155 strains, for dosing in patients who cannot take oral capsules, such as intubated patients in the ICU, and other medically vulnerable patients at high risk of AMR infections, supported by a grant from CARB-X (Combating Antibiotic-Resistant Bacteria Biopharmaceutical Accelerator). We continue to leverage microbiome pharmacokinetic and pharmacodynamic data from across our clinical and preclinical portfolios, using our reverse translational development platform to prioritize future drug targets and to identify opportunities for monotherapy treatment and in combination with existing therapies across various indications, including inflammatory and immune diseases, cancer, and metabolic diseases.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built and deploy a reverse translational platform and knowledge base, which we call our MbTx Platform, for the discovery and development of live biotherapeutics, and maintain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live biotherapeutics; and a strain library and associated microbiological capabilities that spans broad biological and functional breadth. This platform and knowledge base are integrated through a proprietary knowledge graph and agentic artificial intelligence, enabling rapid identification of specific microbes, microbial genes, and microbial metabolites/peptides associated with disease and the design of therapeutic consortia of bacteria for specific pharmacological properties to restructure the gut microbiome and modulate functional pathways associated with disease. In addition, we own a valuable intellectual property estate related to the development and manufacture of live biotherapeutics.</w:t>
      </w:r>
    </w:p>
    <w:p>
      <w:pPr>
        <w:spacing w:after="0" w:line="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assembled a world class group of scientists, clinicians, directors and investors, who have established our leadership in the field of live biotherapeutics. We were founded by Flagship Pioneering, and our experienced management team possesses core capabilities and know-how in live biotherapeutics, drug development, regulatory approval, chemistry, manufacturing and controls, or CMC, commercialization, public company management and finance.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goal is to remain the leading biopharmaceutical company developing live biotherapeutics to address significant unmet medical needs. We intend to advance our field-leading capabilities and platforms for the discovery and development of live biotherapeutics and leverage our translational platforms that are powered by best-in-field human data sets to advance a portfolio of early-stage products that can address diseases by targeting host pathways that are modulated directly by microbes or microbe produced metabolites and peptides in the human body, in particular diseases associated with mucosal barrier-immune interface targets. Having finalized the protocol for the Phase 2 study of SER-155 in patients undergoing allo-HSCT with the FDA and having advanced key study startup activities for this program, we will pause further investment while efforts to seek funding for the study remain ongoing. The SER-155 program has meaningfully advanced our understanding of how microbes in the GI tract functionally modulate pathways at the mucosal barrier-immune interface associated with inflammatory and immune-related diseases. Accordingly, our strategy moving forward will prioritize advancing our early-stage programs, including SER-603 that targets inflammatory and immune indications such as UC and Crohn's disease, and SER-155 in irEC, including supporting the read-out of clinical results from the fully enrolled investigator-sponsored SER-155 study in irEC which are expected in the second quarter of 2026.</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Advancing our Programs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left="503" w:right="20" w:hanging="503"/>
        <w:spacing w:after="0" w:line="25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scientific and clinical data from past successful drug development programs and apply learnings to advance early-stage pipeline programs in inflammatory and immune diseases (I&amp;I)</w:t>
      </w:r>
      <w:r>
        <w:rPr>
          <w:rFonts w:ascii="Times New Roman" w:cs="Times New Roman" w:eastAsia="Times New Roman" w:hAnsi="Times New Roman"/>
          <w:sz w:val="18"/>
          <w:szCs w:val="18"/>
          <w:color w:val="auto"/>
        </w:rPr>
        <w:t>. We believe clinical and nonclinical data across our programs support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live biotherapeutics to target the prevention and treatment of a broad range of I&amp;I diseases such as UC, Crohn's disease, and irEC. We believe that the scientific and clinical data from the development of VOWST (our then product candidate SER-109 program) and the data from the SER-155 Phase 1b study validate our novel therapeutic approach. The SER-155 program has meaningfully advanced our understanding of how microbes in the GI tract functionally modulate pathways at the mucosal barrier-immune interface associated with I&amp;I diseases. Discussions are ongoing with counterparties related to potential collaborations in these areas.</w:t>
      </w:r>
    </w:p>
    <w:p>
      <w:pPr>
        <w:spacing w:after="0" w:line="74" w:lineRule="exact"/>
        <w:rPr>
          <w:rFonts w:ascii="Times New Roman" w:cs="Times New Roman" w:eastAsia="Times New Roman" w:hAnsi="Times New Roman"/>
          <w:sz w:val="18"/>
          <w:szCs w:val="18"/>
          <w:color w:val="auto"/>
        </w:rPr>
      </w:pPr>
    </w:p>
    <w:p>
      <w:pPr>
        <w:ind w:left="503" w:right="40" w:hanging="503"/>
        <w:spacing w:after="0" w:line="253"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development of SER-155 in allo-HSCT. </w:t>
      </w:r>
      <w:r>
        <w:rPr>
          <w:rFonts w:ascii="Times New Roman" w:cs="Times New Roman" w:eastAsia="Times New Roman" w:hAnsi="Times New Roman"/>
          <w:sz w:val="18"/>
          <w:szCs w:val="18"/>
          <w:color w:val="auto"/>
        </w:rPr>
        <w:t>We intend to continue the development of SER-155, an investigational, oral, live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biotherapeutic designed to decolonize GI pathogens and improve GI epithelial barrier integrity to prevent bacterial BSIs, including those that can harbor AMR, as well as other pathogen-associated negative clinical outcomes in patients undergoing allo-HSCT. In December 2023, we received Fast Track Designation for SER-155 to reduce the risk of infection and graft versus host disease, or GvHD, in patients undergoing allo-HSCT. In September 2024, we announced topline clinical data from Cohort 2 of the SER-155 Phase 1b placebo-controlled study in patients undergoing allo-HSCT, in which SER-155 was associated with a significant reduction in BSIs (77% relative risk reduction), a significant reduction in systemic antibiotic exposure, and lower incidence of febrile neutropenia, in each case as compared to placebo, through day 100 post-HSCT. Additionally, SER-155 was generally well tolerated, with no observed treatment-related serious adverse events. In December 2024, the FDA granted Breakthrough Therapy designation to SER-155 for the reduction of BSIs in patients 18 years and older undergoing allo-HSCT. Seres has finalized the protocol for the Phase 2 study of SER-155 allo-HSCT patients with the FDA and has advanced key study startup activities. The planned Phase 2 study will incorporate a well-powered, placebo-controlled design, which provides for a planned interim analysis to enable an expedited initial data readout. Further investment in this program is paused while efforts to seek funding for the Phase 2 study remain ongoing.</w:t>
      </w:r>
    </w:p>
    <w:p>
      <w:pPr>
        <w:spacing w:after="0" w:line="79" w:lineRule="exact"/>
        <w:rPr>
          <w:rFonts w:ascii="Times New Roman" w:cs="Times New Roman" w:eastAsia="Times New Roman" w:hAnsi="Times New Roman"/>
          <w:sz w:val="18"/>
          <w:szCs w:val="18"/>
          <w:color w:val="auto"/>
        </w:rPr>
      </w:pPr>
    </w:p>
    <w:p>
      <w:pPr>
        <w:ind w:left="503" w:hanging="503"/>
        <w:spacing w:after="0" w:line="253"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broader opportunity of live biotherapeutics in other medically vulnerable patient populations in which there is a significant unmet need. </w:t>
      </w:r>
      <w:r>
        <w:rPr>
          <w:rFonts w:ascii="Times New Roman" w:cs="Times New Roman" w:eastAsia="Times New Roman" w:hAnsi="Times New Roman"/>
          <w:sz w:val="18"/>
          <w:szCs w:val="18"/>
          <w:color w:val="auto"/>
        </w:rPr>
        <w:t>We believe that SER-155 and SER-603 and other cultivated LBP candidates could be developed in additional 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populations to address mucosal barrier compromise and immune dysfunction associated disease as well as to address bloodstream and AMR infections beyond allo-HSCT, including autologous-HSCT patients, cancer patients with neutropenia, CAR-T, recipients, individuals with CLD, solid organ transplant recipients, as well as patients in the ICU and long-term acute care facilities. In July 2025, we were awarded a grant from CARB-X to support the development of an oral liquid formulation of SER-155 for medically vulnerable patient populations at risk of BSIs, including AMR infections, who cannot be dosed with oral capsules, such as intubated patients in the ICU. The CARB-X grant provides us with up to $3.6 million of funding for research, manufacture, and design of a Phase 1 clinical trial in ICU patients. We are also developing SER-147, an investigational live biotherapeutic designed to prevent bacterial bloodstream and SBP infections in patients with metabolic disease, including CLD. CLD is a progressive condition marked by deterioration of liver function and is reaching epidemic proportions affecting nearly 1.7 billion people worldwide, causing substantial health burden on afflicted countries. In the advanced stages of CLD, known as decompensated cirrhosis, patients exhibit significant immune dysfunction, microbiome disruption, and increased contact with the healthcare system, all of which drive increased susceptibility to bacterial infections.</w:t>
      </w:r>
    </w:p>
    <w:p>
      <w:pPr>
        <w:spacing w:after="0" w:line="8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Utilizing Our Capabilities</w:t>
      </w:r>
    </w:p>
    <w:p>
      <w:pPr>
        <w:spacing w:after="0" w:line="115" w:lineRule="exact"/>
        <w:rPr>
          <w:sz w:val="20"/>
          <w:szCs w:val="20"/>
          <w:color w:val="auto"/>
        </w:rPr>
      </w:pPr>
    </w:p>
    <w:p>
      <w:pPr>
        <w:ind w:left="503" w:right="40" w:hanging="503"/>
        <w:spacing w:after="0" w:line="25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leading reverse translational platform to develop additional innovative and novel live biotherapeutics across a range of serious medical conditions with high unmet need including inflammatory disease, disease associated with modulation of host immunity, and infections. </w:t>
      </w:r>
      <w:r>
        <w:rPr>
          <w:rFonts w:ascii="Times New Roman" w:cs="Times New Roman" w:eastAsia="Times New Roman" w:hAnsi="Times New Roman"/>
          <w:sz w:val="18"/>
          <w:szCs w:val="18"/>
          <w:color w:val="auto"/>
        </w:rPr>
        <w:t>We believe that the combination of experience, proprietary data and proprietary know-how related to the microbiome,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properties of microbial species and strains, microbe-host interactions, the cultivation of microbial strains, and microbiome-specific functional screens and analytics provides us a competitive advantage in the design and development of live biotherapeutics. Our platform enables us to build upon our existing and growing clinical experience to rationally design treatments for acute and complex chronic diseases. We intend to leverage this advantage to develop additional innovative live biotherapeutics.</w:t>
      </w:r>
    </w:p>
    <w:p>
      <w:pPr>
        <w:spacing w:after="0" w:line="74" w:lineRule="exact"/>
        <w:rPr>
          <w:rFonts w:ascii="Times New Roman" w:cs="Times New Roman" w:eastAsia="Times New Roman" w:hAnsi="Times New Roman"/>
          <w:sz w:val="18"/>
          <w:szCs w:val="18"/>
          <w:color w:val="auto"/>
        </w:rPr>
      </w:pPr>
    </w:p>
    <w:p>
      <w:pPr>
        <w:ind w:left="503" w:right="220" w:hanging="503"/>
        <w:spacing w:after="0" w:line="257"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manufacturing capabilities sufficient to support commercialization of any approved live biotherapeutic candidates. </w:t>
      </w:r>
      <w:r>
        <w:rPr>
          <w:rFonts w:ascii="Times New Roman" w:cs="Times New Roman" w:eastAsia="Times New Roman" w:hAnsi="Times New Roman"/>
          <w:sz w:val="18"/>
          <w:szCs w:val="18"/>
          <w:color w:val="auto"/>
        </w:rPr>
        <w:t>Live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biotherapeutic manufacturing requires capabilities that are distinct from other biologic drugs. We have made strategic investments in manufacturing capabilities to help ensure that we maintain control of our know-how and also because we believe these capabilities will be necessary and highly advantageous for the development of future live biotherapeutic candidates. Our bioprocess and manufacturing personnel are focused on creating a platform of manufacturing expertise that will set the stage for further advances in the emerging field of live biotherapeutics.</w:t>
      </w:r>
    </w:p>
    <w:p>
      <w:pPr>
        <w:spacing w:after="0" w:line="74" w:lineRule="exact"/>
        <w:rPr>
          <w:rFonts w:ascii="Times New Roman" w:cs="Times New Roman" w:eastAsia="Times New Roman" w:hAnsi="Times New Roman"/>
          <w:sz w:val="18"/>
          <w:szCs w:val="18"/>
          <w:color w:val="auto"/>
        </w:rPr>
      </w:pPr>
    </w:p>
    <w:p>
      <w:pPr>
        <w:ind w:left="503" w:right="380" w:hanging="503"/>
        <w:spacing w:after="0" w:line="268"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regulatory success in a novel drug modality. </w:t>
      </w:r>
      <w:r>
        <w:rPr>
          <w:rFonts w:ascii="Times New Roman" w:cs="Times New Roman" w:eastAsia="Times New Roman" w:hAnsi="Times New Roman"/>
          <w:sz w:val="18"/>
          <w:szCs w:val="18"/>
          <w:color w:val="auto"/>
        </w:rPr>
        <w:t>Live biotherapeutics are a novel drug modality. Regulatory requirements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novel modalities can be complex and must ensure the safety and efficacy of the specific drug and also the manufacturing process, consistency, quality, and other potential effects of the platform. We successfully developed and</w:t>
      </w:r>
    </w:p>
    <w:p>
      <w:pPr>
        <w:spacing w:after="0" w:line="17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8" w:name="page9"/>
    <w:bookmarkEnd w:id="8"/>
    <w:p>
      <w:pPr>
        <w:ind w:left="1020"/>
        <w:spacing w:after="0" w:line="254" w:lineRule="auto"/>
        <w:rPr>
          <w:sz w:val="20"/>
          <w:szCs w:val="20"/>
          <w:color w:val="auto"/>
        </w:rPr>
      </w:pPr>
      <w:r>
        <w:rPr>
          <w:rFonts w:ascii="Times New Roman" w:cs="Times New Roman" w:eastAsia="Times New Roman" w:hAnsi="Times New Roman"/>
          <w:sz w:val="18"/>
          <w:szCs w:val="18"/>
          <w:color w:val="auto"/>
        </w:rPr>
        <w:t>manufactured VOWST which obtained FDA Breakthrough Therapy and Orphan Drug Designations and obtained priority review approval of VOWST, the first FDA-approved orally administered microbiome therapeutic. This approval required substantial engagement with the FDA to develop relevant standards for live biotherapeutics and then achieve them for VOWST. Through the development of SER-155, we continue to have ongoing and constructive engagement with FDA. In December 2023, we received Fast Track Designation for SER-155 to reduce the risk of infection and GvHD in patients undergoing allo-HSCT, and in December 2024, the FDA granted Breakthrough Therapy designation to SER-155 for the reduction of BSIs in patients 18 years and older undergoing allo-HSCT. Additionally, we successfully developed a protocol for the SER-155 Phase 2 study, incorporating FD feedback. We believe these experiences provide capability and experience for the discovery, clinical development, manufacturing, and regulatory engagement supporting all of our other programs.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Live Biotherapeutics Platform</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developed a field leading reverse translational biotherapeutics platform and knowledge base which we believe enables us to apply our capabilities to efficiently identify, manufacture and develop novel live biotherapeutics for serious human diseases. This platform incorporates analysis of microbiome biomarkers from human clinical data and preclinical assessments using human cell-based assays and </w:t>
      </w:r>
      <w:r>
        <w:rPr>
          <w:rFonts w:ascii="Times New Roman" w:cs="Times New Roman" w:eastAsia="Times New Roman" w:hAnsi="Times New Roman"/>
          <w:sz w:val="18"/>
          <w:szCs w:val="18"/>
          <w:i w:val="1"/>
          <w:iCs w:val="1"/>
          <w:color w:val="auto"/>
        </w:rPr>
        <w:t>in vitro/ex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functional screening and disease models. To identify specific microbiome and host signatures that associate with disease or the onset of disease, we utilize data sets from healthy subjects and subjects with disease, or being treated for a disease, to delineate at high-resolution the microbial composition and functional profiles of the microbiome associated with the physiological state of subjects. These in-human insights on how different microbial strains, species, genes, metabolites or peptides directly or indirectly modulate disease-relevant functional pathways in the host are leveraged in preclinical drug design, optimization and development.</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discovery process begins with human data derived from clinical trials and cohort studies, which we use as a data input for target identification and the design of our live biotherapeutic candidates. We compare healthy, normal colonic microbiomes to those in an unhealthy disrupted or disease state, revealing the ecological, compositional and functional differences between various states of disease and during the transition from health to disease or vice versa. Specifically, we utilize clinical data sets combined with advanced data sciences and customized, proprietary microbiome analytics to identify microbiome signatures of disease at the resolution of specific species and strains, metabolites, or genes that are associated with disease states. These microbiome biomarkers are associated with host signatures and biomarkers of disease to identify drug targets for our live biotherapeutics. Our clinical data from VOWST (developed as SER-109), SER-287, SER-301, SER-155, and other programs, and microbiome data generated with external collaborators, serve to instruct us on how the introduction of certain keystone microbes have the potential to restructure the microbiome and modulate the metabolic state of the gut to shift it to a non-disease state.</w:t>
      </w:r>
    </w:p>
    <w:p>
      <w:pPr>
        <w:spacing w:after="0" w:line="80"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We have developed a proprietary, functionally characterized strain library and a suite of assays and screens, bioinformatics and computational tools, and databases, which facilitate our insights into the human microbiome. We have established proprietary, curated, reference databases and algorithms that:</w:t>
      </w:r>
    </w:p>
    <w:p>
      <w:pPr>
        <w:spacing w:after="0" w:line="1" w:lineRule="exact"/>
        <w:rPr>
          <w:sz w:val="20"/>
          <w:szCs w:val="20"/>
          <w:color w:val="auto"/>
        </w:rPr>
      </w:pPr>
    </w:p>
    <w:p>
      <w:pPr>
        <w:ind w:firstLine="8"/>
        <w:spacing w:after="0" w:line="251"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integrate high-resolution genomic, metagenomic, metabolomic, and transcriptomic data sets, as well as data from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human cell-based functional screening assays, and </w:t>
      </w:r>
      <w:r>
        <w:rPr>
          <w:rFonts w:ascii="Times New Roman" w:cs="Times New Roman" w:eastAsia="Times New Roman" w:hAnsi="Times New Roman"/>
          <w:sz w:val="18"/>
          <w:szCs w:val="18"/>
          <w:i w:val="1"/>
          <w:iCs w:val="1"/>
          <w:color w:val="auto"/>
        </w:rPr>
        <w:t>in vitro/ex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and (ii) enable us to track changes in the microbiome at the level of microbial species and individual strains and associate these changes with changes in the metabolic state of the gut and host physiology at the level of specific functional pathways. Our analytics leverage machine learning to integrate gene profiling and metabolomics data (the small molecules made by the microbiome) with genomic data (the collection of microbes defined by sequencing) to delineate microbiome biomarkers (the specific species or strains and metabolites or functional pathways) that contribute to the state of disease or health. Additionally, leveraging all of these data we have curated and continue to maintain and expand a graphical database, or graphDB, that links and associates: (i) functional properties of microbial species/strains, (ii) functional pathways in hosts that can be modulated by the microbiome, (iii) the association of functional pathways to disease, and (iv) the association of existing non-microbiome drugs to the functional pathways. This continually growing graphDB is structured to be efficiently mined using machine learning and artificial intelligence algorithms to inform drug targets, drug design and optimization, and disease area and patient population prioritization. Further, this platform extends from preclinical design to clinical assessment of pharmacokinetics and pharmacodynamics of live biotherapeutics, enabling seamless translation from bench to bedside.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9" w:name="page10"/>
    <w:bookmarkEnd w:id="9"/>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proprietary strain library of bacterial isolates from healthy donors and patients enables us to translate microbiome biomarker insights into defined consortia of bacteria. The strain library contains bacterial species isolated from individuals that are either healthy or that have a disease. We have developed extensive isolation and cultivation know-how. The strain library contains a majority of the Human Microbiome Project’s “most wanted” species and many novel species we believe are not described in other databases nor found in other culture collections. The functional properties of strains are characterized using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human cell-based assays as well as full-genome sequences and genome functional annotation. Functional characterization of target strains includes properties such as how the bacteria interact with human colonic epithelial cells and human immune cells. We also seek to understand how these microbes improve the health of epithelial barrier cells in the gut and how they may modulate immune responses.</w:t>
      </w:r>
    </w:p>
    <w:p>
      <w:pPr>
        <w:spacing w:after="0" w:line="82"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select bacteria from our library with specific predicted properties using novel algorithms for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functional design and optimization and grow the compositions in the lab to be tested both </w:t>
      </w:r>
      <w:r>
        <w:rPr>
          <w:rFonts w:ascii="Times New Roman" w:cs="Times New Roman" w:eastAsia="Times New Roman" w:hAnsi="Times New Roman"/>
          <w:sz w:val="18"/>
          <w:szCs w:val="18"/>
          <w:i w:val="1"/>
          <w:iCs w:val="1"/>
          <w:color w:val="auto"/>
        </w:rPr>
        <w:t>in vitro/ex vivo models</w:t>
      </w:r>
      <w:r>
        <w:rPr>
          <w:rFonts w:ascii="Times New Roman" w:cs="Times New Roman" w:eastAsia="Times New Roman" w:hAnsi="Times New Roman"/>
          <w:sz w:val="18"/>
          <w:szCs w:val="18"/>
          <w:color w:val="auto"/>
        </w:rPr>
        <w:t xml:space="preserve"> as delineated above and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models. Our animal models include conventional mice, germ-free mice, and “microbiome humanized avatar” mice that possess only bacteria derived from humans; these models were developed to minimize confounding variables presented by model organism microbes. Data from our </w:t>
      </w:r>
      <w:r>
        <w:rPr>
          <w:rFonts w:ascii="Times New Roman" w:cs="Times New Roman" w:eastAsia="Times New Roman" w:hAnsi="Times New Roman"/>
          <w:sz w:val="18"/>
          <w:szCs w:val="18"/>
          <w:i w:val="1"/>
          <w:iCs w:val="1"/>
          <w:color w:val="auto"/>
        </w:rPr>
        <w:t>in vitro/ex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screens are analyzed and used to optimize compositional designs; introducing new bacterial strains and optimizing existing strains until we identify a lead composition with the desired profile and that is suitable for clinical testing.</w:t>
      </w:r>
    </w:p>
    <w:p>
      <w:pPr>
        <w:spacing w:after="0" w:line="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manufacture the bacterial composition under current Good Manufacturing Practices, or cGMP, or similar foreign requirements, which are required by FDA and foreign regulators. We believe our unique manufacturing capacities, including our cultivation and quality systems, position us to exploit the insights of our proprietary human data and the novel biology of species and strains that have not previously been used for therapeutics. We have optimized fermentation conditions to generate spores and enhance bacterial yields in anaerobic fermentation and have in-house capabilities to formulate both spores and live non-spore bacteria. Our manufacturing facility in Cambridge, Massachusetts was designed to be fit-for-purpose and is highly differentiated compared to the offerings of commercial contract research organizations.</w:t>
      </w:r>
    </w:p>
    <w:p>
      <w:pPr>
        <w:spacing w:after="0" w:line="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addition, we believe our clinical development strategy represents a differentiated strategic advantage. Over more than a decade, we have established and maintained a broad and well-connected network of leading medical experts and principal investigators at academic medical centers, transplant centers, and other specialty clinical sites with deep expertise in microbiome science, immunology, infectious diseases, oncology, and gastrointestinal disorders. We believe this network, developed in part through our long-standing collaboration with Memorial Sloan Kettering Cancer Center, positions us to pursue a “light and fast” first-in-human and first-in-patient development paradigm. By leveraging investigator-sponsored studies, where appropriate, we can efficiently generate early clinical proof-of-mechanism and biomarker data in high priority and well-defined patient populations, refine dose strategies, and inform registrational development pathways while maintaining capital discipline. We believe this model enhances our ability to rapidly translate preclinical insights into human data, prioritize assets with the highest probability of success, and accelerate decision-making across our portfolio. Additionally, we have experience utilizing clinical trial strategies to advance the pipeline including but not limited to incorporation of adaptive designs, patient stratification, designing protocols with a patient-centric focus to reduce patient burden, use of historical comparator cohorts, and will consider other approaches including basket, umbrella and seamless designs as part of clinical development efforts.</w:t>
      </w:r>
    </w:p>
    <w:p>
      <w:pPr>
        <w:spacing w:after="0" w:line="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Taken together, we believe our platform, spanning drug discovery, preclinical translation, and novel manufacturing and quality control approaches, has enabled a field leading pipeline across a range of therapeutics areas.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Disease Overview and Our Product Pipeline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our LBP candidates represent a novel approach with potential application across a broad range of human diseases. We led the successful development and approval of VOWST, the first FDA-approved orally administered microbiome therapeutic and a Breakthrough Therapy designated drug, which was sold to Nestlé Health Science in September 2024. SER-155, our most advanced LBP candidate, is an investigational, oral, live biotherapeutic designed to decolonize GI pathogens, improve GI epithelial barrier integrity, and induce immune homeostasis to prevent BSIs, including those that can harbor AMR, as well as other pathogen-associated negative clinical outcomes in patients undergoing allo-HSCT. In our placebo-controlled Phase 1b study of SER-155 in allo-HSCT, Cohort 2 results demonstrated that SER-155 was associated with a 77% relative risk reduction in bacterial BSIs and a significant reduction in systemic antibiotic exposure as well as a lower incidence of febrile neutropenia, as compared to placebo through day 100 post-HSCT. SER-155 was generally well tolerated, with no observed treatment-related serious adverse events. In December 2024, the FDA granted Breakthrough Therapy designation to SER-155 for the reduction of BSIs in patients 18 years and older undergoing allo-HSCT. 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 Results from this exploratory biomarker analysis showed that SER-155 was associated with lower levels of fecal albumin and lower concentrations of various plasma biomarkers associated with systemic inflammation (i.e., IFN-y, TNF-α, IL-17, and IL-8) in the HSCT peri-transplant period, the period from the end of the first SER-155 treatment course through to neutrophil engraftment. The results support SER-155’s intended mechanisms of action and reinforce the previously reported promising clinical study efficacy and safety data. These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600"/>
        <w:spacing w:after="0" w:line="282" w:lineRule="auto"/>
        <w:rPr>
          <w:sz w:val="20"/>
          <w:szCs w:val="20"/>
          <w:color w:val="auto"/>
        </w:rPr>
      </w:pPr>
      <w:r>
        <w:rPr>
          <w:rFonts w:ascii="Times New Roman" w:cs="Times New Roman" w:eastAsia="Times New Roman" w:hAnsi="Times New Roman"/>
          <w:sz w:val="18"/>
          <w:szCs w:val="18"/>
          <w:color w:val="auto"/>
        </w:rPr>
        <w:t>systemic inflammatory response observations further support the potential to develop our live biotherapeutics to address inflammatory and immune diseases, including UC and Crohn’s disease.</w:t>
      </w:r>
    </w:p>
    <w:p>
      <w:pPr>
        <w:spacing w:after="0" w:line="54" w:lineRule="exact"/>
        <w:rPr>
          <w:sz w:val="20"/>
          <w:szCs w:val="20"/>
          <w:color w:val="auto"/>
        </w:rPr>
      </w:pPr>
    </w:p>
    <w:p>
      <w:pPr>
        <w:jc w:val="both"/>
        <w:ind w:firstLine="794"/>
        <w:spacing w:after="0" w:line="266" w:lineRule="auto"/>
        <w:rPr>
          <w:sz w:val="20"/>
          <w:szCs w:val="20"/>
          <w:color w:val="auto"/>
        </w:rPr>
      </w:pPr>
      <w:r>
        <w:rPr>
          <w:rFonts w:ascii="Times New Roman" w:cs="Times New Roman" w:eastAsia="Times New Roman" w:hAnsi="Times New Roman"/>
          <w:sz w:val="18"/>
          <w:szCs w:val="18"/>
          <w:color w:val="auto"/>
        </w:rPr>
        <w:t>Following advancement of key startup activities for the SER-155 Phase 2 study in allo-HSCT, including the submission of a final protocol to the FDA in January 2026, study site evaluation and qualification with our CRO, and manufacturing of drug substance, we have paused additional investment in that program, preserving the optionality to efficiently restart the study, while continuing to seek funding for the Phase 2 study.</w:t>
      </w:r>
    </w:p>
    <w:p>
      <w:pPr>
        <w:spacing w:after="0" w:line="6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current strategy prioritizes advancing our programs that target I&amp;I indications. We have meaningfully advanced over the past decade our scientific understanding of how microbes in the GI functionally modulate pathways at the mucosal barrier-immune interface that are associated with inflammatory and immune-related disease. The clinical data from our SER-155 Phase 1b study in allo-HSCT, along with our extensive preclinical and translational clinical data compiled over the past decade support and inform the advancement of our earlier stage programs targeting I&amp;I diseases. We are evaluating SER-155 in immune checkpoint-related enterocolitis, or irEC, and we are developing SER-603, broadly in inflammatory bowel disease, or IBD, including ulcerative colitis, or UC, and Crohn's disease. We believe that our LBPs could represent a non-immunosuppressive treatment option for I&amp;I diseases that are linked to colitis and could broadly address immune therapy toxicities, both of which represent significant unmet medical needs and potential commercial opportunities. We are currently exploring potential collaborations related to those I&amp;I disease programs.</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been collaborating with Memorial Sloan Kettering Cancer Center for over a decade on the impact of the gastrointestinal microbiome on immune related diseases and cancer; recently this long-standing collaboration included an IST evaluating SER-155 in 15 participants with irEC. irEC is among the most frequent and severe irAEs in recipients of ICI therapy and can be observed in up to 50% of patients, with rates varying based on cancer drug and treatment regimen. ICIs can cause a wide range of irAEs with links to T cell biology and epithelial barrier inflammation, both of which are biological functions shown in our preclinical and clinical pharmacology data to be positively impacted by SER-155. We expect to report initial clinical results, including preliminary safety, efficacy, pharmacology, and exploratory biomarker data in the second quarter of 2026. We believe data from this IST could further support the potential for live biotherapeutics to address a significant unmet need among the large population of cancer patients receiving ICIs and may further support evaluation of our biotherapeutic approach in this setting.</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SER-603 is a novel, LBP candidate optimized to address disruptions in the GI microbiome and to improve GI mucosal barrier integrity through the inhibition of inflammatory bacteria and associated metabolites, the promotion of epithelial barrier integrity to reduce the translocation of inflammatory molecules and barrier inflammation, and to induce immune homeostasis through non-immunosuppressive regulatory T cell, or T-reg, induction via T cell signaling. Our research on SER-603 has been primarily supported through a partnership with the Crohn’s and Colitis Foundation, or CCF. These efforts aim to (i) confirm the functional phenotype and inflammatory state of patient subpopulations observed in our prior ulcerative colitis, or UC, clinical trials, and (ii) prioritize inflammatory targets and evaluate the potential to utilize biomarker-based patient selection and stratification for future studies. Many IBD patients experience an efficacy ceiling due to non-response or poor durability of response to existing therapies, and further, most advanced therapies target downstream inflammatory and immune responses and are immunosuppressive leading to toxicities and limitations with respect to combination therapies. IBD is a heterogeneous disease with both disruptions in the GI microbiome and epithelial barrier compromise being important drivers of disease that are not addressed by existing IBD therapies.</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cultivated live biotherapeutic candidates could be developed in additional patient populations to address barrier compromise and bloodstream and antimicrobial resistant infections, including autologous-HSCT patients, cancer patients with neutropenia, CAR-T, recipients, individuals with CLD, solid organ transplant recipients, as well as patients in the ICU and long-term acute care facilities. We continue to develop another proprietary live biotherapeutic composition, SER-147, designed to prevent bacterial bloodstream and SBP, infections in patients with metabolic disease, including CLD. Additionally, we are developing an oral liquid formulation based on SER-155 strains, for dosing in patients who cannot take oral capsules, such as intubated patients in the ICU, and other medically vulnerable patients at high risk of antimicrobial resistant infections, supported by a grant from CARB-X. We continue to leverage microbiome pharmacokinetic and pharmacodynamic data from across our clinical and preclinical portfolios, using our reverse translational development platform to prioritize future drug targets and to identify opportunities for monotherapy treatment and in combination with existing therapies across various indications, including inflammatory and immune diseases, cancer, and metabolic diseases.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Immunology and Inflammation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Irritable Bowel Disease and Ulcerative Colitis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UC, a form of IBD, is a relapsing-remitting chronic inflammatory disorder affecting the mucosal surface of the colon, leading to episodes of bloody diarrhea, urgency and mucosal inflammation (Danese and Fiocchi, 2011), which generally begins in young adulthood and endures for life. The incidence of UC is rising worldwide, and the prevalence of the disease is highest in the United States, Canada, and Europe. In the United States alone, the prevalence of UC is estimated to be 378 per 100,000, or approximately 1.25 million Americans (Lewis et al., 2023). The severity, extent, and duration of disease are also risk factors for developing colon cancer, which occurs at a rate as high as 0.5-1.0% per year, an important complication given the young age at which the disease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 w:name="page12"/>
    <w:bookmarkEnd w:id="11"/>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strikes. Patients with UC also experience increased risk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 or CDI, and primary sclerosing cholangitis, compared to the general population (Dlalal &amp; Allegretti, 2022).</w:t>
      </w:r>
    </w:p>
    <w:p>
      <w:pPr>
        <w:spacing w:after="0" w:line="5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majority of current medical therapies for the treatment of UC suppress the immune system rather than target reducing the triggers of immune activation and promoting immune tolerance. We believe there remains an unmet need for safer agents with novel non-immunosuppressive mechanisms of action. Moreover, alternative therapy is needed for patients with UC who experience frequent flares, are intolerant to the aminosalicylate class of medication, or where there are safety concerns relating to the use of immunomodulator or steroid therapy.</w:t>
      </w:r>
    </w:p>
    <w:p>
      <w:pPr>
        <w:spacing w:after="0" w:line="72"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Current IBD therapies primarily suppress immune responses rather than address upstream drivers of immune activation. Despite advances in biologics and small molecules, many patients fail to achieve durable remission, and a substantial subset experience incomplete response, loss of response over time, or safety limitations associated with chronic immunosuppression. Additionally, current therapeutic approaches in IBD do not address the potential role of microbiome functional disruptions in causing or aggravating disease in IBD. However, not all patients with IBD present with microbiome disruption; many patients with IBD demonstrate comparable taxonomic and functional microbiome diversity to healthy subjects (Lloyd-Price 2019). Similarly, pre-clinical models have shown that microbiomes from patients with IBD drive variable immune responses, with only a subset of microbiomes resulting in inflammation (Hart et al. 2017; Britton et al. 2019). These data suggest that the microbiome may play a role in a subset of subjects with IBD.</w:t>
      </w:r>
    </w:p>
    <w:p>
      <w:pPr>
        <w:spacing w:after="0" w:line="6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Data from our SER-287 Phase 2b study and the first cohort of subjects from our SER-301 Phase 1b study in patients with mild-to-moderate UC suggest that the pharmacodynamic effects observed for SER-287 and SER-301 were greater in a subset of patients. Based on these results, we continue to advance research and development activities supported by partnerships to evaluate the potential to utilize biomarker-based patient selection and stratification in future clinical development efforts in IBD, and to further optimize our live biotherapeutic lead candidates. In October 2023, we were awarded a $500,000 grant from the CCF to leverage our clinical results and biological mechanism insights to functionally characterize subpopulations and to define associated biomarkers for IBD patient selection and stratification of patients where the GI microbiome plays an active role in inflammation and could be modified to reduce colitis. Our preclinical studies conducted to date have recapitulated the patient subpopulation observations from the previously run trials and progressed associated biomarker delineation of the populations, as well as confirmed a microbiome-driven functional link to disease. These research efforts aim to prioritize inflammatory targets for future clinical trials and evaluate the potential to utilize biomarker-based patient selection and stratification for these future studies.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SER-603</w:t>
      </w:r>
    </w:p>
    <w:p>
      <w:pPr>
        <w:spacing w:after="0" w:line="11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SER-603 is an investigational live biotherapeutic designed to improve response rates and durability of remission in patients with IBD, including UC and Crohn's disease. SER-603 is being developed for use as either a stand-alone therapy in mild-to-moderate disease or as a mechanism-distinct adjunctive therapy in combination with biologics or small molecules in moderate-to-severe disease. The program leverages our prior clinical experience in UC, including learnings from SER-287 and SER-301, and incorporates biomarker-driven patient stratification and optimized microbiome conditioning strategies.</w:t>
      </w:r>
    </w:p>
    <w:p>
      <w:pPr>
        <w:spacing w:after="0" w:line="116"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SER-603 is in preclinical development, with IND-enabling activities ongoing. The program is supported by translational analyses from prior clinical studies and by preclinical studies that have recapitulated microbiome-defined patient subpopulation observations. We continue to evaluate biomarker-based patient selection approaches and functional characterization strategies to inform future clinical development.</w:t>
      </w:r>
    </w:p>
    <w:p>
      <w:pPr>
        <w:spacing w:after="0" w:line="9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Emerging clinical and preclinical evidence suggests that microbiome functional disruption contributes to disease activity in a defined subset of IBD patients. Observational and translational data from our prior SER-287 Phase 2b study and SER-301 Phase 1b study indicate that pharmacodynamic responses were greater in microbiome-defined subpopulations. These findings, along with external data demonstrating heterogeneity in microbiome-associated inflammatory responses, support the development of targeted, biomarker-informed live biotherapeutic strategies. We have discovered more than fifty GI bacterial features linked to inflammatory outcomes and have nominated and validated microbe associated biomarkers that can predict a response to current advanced therapies for IBD. Leveraging these biomarkers and our integrated preclinical and clinical data sets, SER-603 is optimized to address epithelial barrier dysfunction and microbiome-driven inflammation without systemic immunosuppression.</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Given the chronic nature of IBD and continued unmet need for safe, durable, and non-immunosuppressive treatment options, we believe SER-603 has the potential to address a substantial commercial opportunity. SER-603 targets multiple segments of the IBD market, including moderate-to-severe UC (approximately 300,000-400,000 patients in the United States) as combination therapy with current standards of care, moderate-to-severe Crohn's disease in combination therapy setting, and mild-to-moderate UC and Crohn's disease as potential monotherapy.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Immune checkpoint-related enterocolitis (irEC)</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IrEC is among the most frequent and severe irAEs in recipients of immune checkpoint-inhibitor therapy and can be observed in up to 50% of patients with rates varying based on cancer drug and treatment regimen. Immune checkpoint inhibitors can cause a wide range of irAEs with links to T cell biology and epithelial barrier inflammation, both of which are biological functions shown in</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our preclinical and clinical pharmacology data to be positively impacted by SER-155. We believe that supportive data from this study could provide further support for the expansion of indications that may be well suited for our biotherapeutic approach.</w:t>
      </w:r>
    </w:p>
    <w:p>
      <w:pPr>
        <w:spacing w:after="0" w:line="94"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Immune checkpoint inhibitors are a commonly used class of drugs that promote anti-tumor immune activity for cancer treatment. irEC represents a growing and underserved market driven by the rapid expansion of ICI use across oncology. Importantly, irEC shares substantial pathophysiologic overlap with inflammatory bowel disease (IBD), including epithelial barrier dysfunction, dysregulated mucosal immunity, and microbiome perturbation. This biological convergence enables clinical, regulatory, and commercial synergies between irEC and IBD development programs. With approximately 500,000 patients using ICI globally, approximately 50,000 to 100,000 are anticipated to experience clinically significant irEC. irEC rates vary, with rates highest in CTLA-4-based and combination therapies (~50%); grade 2+ irEC can lead to discontinuation of therapy, risking further cancer progression.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SER-155 in irEC</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SER-155 is currently being evaluated as a first-in-class live biotherapeutic candidate for the treatment of Grade 2–3 immune checkpoint inhibitor-related enterocolitis (irEC) as a result of ICI therapy. The program is designed to promote mucosal healing and modulate inflammation without systemic immunosuppression, with the goal of reducing or eliminating the need for high-dose corticosteroids, which carry the risk of toxicity and ICI efficacy impact. We believe SER-155 could be a first-in-class therapy as current approaches manage toxicity reactively with immunosuppression, which can negatively impact cancer treatment.</w:t>
      </w:r>
    </w:p>
    <w:p>
      <w:pPr>
        <w:spacing w:after="0" w:line="7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are nearing completion of a single-arm, open-label Phase 1b investigator-sponsored trial conducted with Memorial Sloan Kettering Cancer Center evaluating SER-155 as first-line treatment of irEC. The study was fully enrolled (n=15) in early 2026, and we expect to report initial clinical results, including preliminary safety, efficacy, pharmacology, and exploratory biomarker data in the second quarter of 2026.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Infection Risk Reduction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continue to be invested in the infectious disease space, with a renewed focus on leveraging our existing clinical data, translational insights, and manufacturing capabilities to support targeted development efforts across a defined set of related indications. We believe that the scientific and clinical data from our VOWST program (our then product candidate SER-109 program) validate our novel approach of using live biotherapeutics to decolonize pathogens and improve epithelial barrier integrity, resulting in reduced rate of infections in medically compromised patients. Data from the ECOSPOR III and ECOSPOR IV Phase 3 trial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(Feuerstadt et al., 2022) and </w:t>
      </w:r>
      <w:r>
        <w:rPr>
          <w:rFonts w:ascii="Times New Roman" w:cs="Times New Roman" w:eastAsia="Times New Roman" w:hAnsi="Times New Roman"/>
          <w:sz w:val="18"/>
          <w:szCs w:val="18"/>
          <w:i w:val="1"/>
          <w:iCs w:val="1"/>
          <w:color w:val="auto"/>
        </w:rPr>
        <w:t>Journal of the American 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Association </w:t>
      </w:r>
      <w:r>
        <w:rPr>
          <w:rFonts w:ascii="Times New Roman" w:cs="Times New Roman" w:eastAsia="Times New Roman" w:hAnsi="Times New Roman"/>
          <w:sz w:val="18"/>
          <w:szCs w:val="18"/>
          <w:color w:val="auto"/>
        </w:rPr>
        <w:t>(Sims et al., 2023) suggest that live biotherapeutics have the potential to restructure the gut microbiome and shift the gut metabolic landscape.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data show that VOWST rapidly reduced the abundance of bacteria associated with common antibiotic resistance genes, or ARGs, and reduced ARG abundance in the gut (Straub et al., 2023). Collectively, we believe these data suggest the potential for live biotherapeutics to prevent the colonization and overgrowth of pathogens that can establish in the gut and ultimately to reduce infections. We believe that reducing pathogen colonization in the GI and improving GI epithelial barrier integrity to reduce the risk of infection may be replicable in a range of medically compromised patients, protecting them from infections and resulting downstream clinical sequelae.</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believe this approach may also enable us to reduce AMR, which the World Health Organization declared as a top ten global public health threat facing humanity, and with estimates that yearly deaths may reach 10 million by 2050, putting mortality due to AMR on par with deaths due to cancer. Recently, two manuscripts were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(Bryant et al. 2026) and the </w:t>
      </w:r>
      <w:r>
        <w:rPr>
          <w:rFonts w:ascii="Times New Roman" w:cs="Times New Roman" w:eastAsia="Times New Roman" w:hAnsi="Times New Roman"/>
          <w:sz w:val="18"/>
          <w:szCs w:val="18"/>
          <w:i w:val="1"/>
          <w:iCs w:val="1"/>
          <w:color w:val="auto"/>
        </w:rPr>
        <w:t>Journal of Infectious Diseases</w:t>
      </w:r>
      <w:r>
        <w:rPr>
          <w:rFonts w:ascii="Times New Roman" w:cs="Times New Roman" w:eastAsia="Times New Roman" w:hAnsi="Times New Roman"/>
          <w:sz w:val="18"/>
          <w:szCs w:val="18"/>
          <w:color w:val="auto"/>
        </w:rPr>
        <w:t xml:space="preserve"> (Bryant et al. 2025) highlighting new insights into the functional mechanism and clinical impact of VOWST. The </w:t>
      </w:r>
      <w:r>
        <w:rPr>
          <w:rFonts w:ascii="Times New Roman" w:cs="Times New Roman" w:eastAsia="Times New Roman" w:hAnsi="Times New Roman"/>
          <w:sz w:val="18"/>
          <w:szCs w:val="18"/>
          <w:i w:val="1"/>
          <w:iCs w:val="1"/>
          <w:color w:val="auto"/>
        </w:rPr>
        <w:t>Nature Medicine article</w:t>
      </w:r>
      <w:r>
        <w:rPr>
          <w:rFonts w:ascii="Times New Roman" w:cs="Times New Roman" w:eastAsia="Times New Roman" w:hAnsi="Times New Roman"/>
          <w:sz w:val="18"/>
          <w:szCs w:val="18"/>
          <w:color w:val="auto"/>
        </w:rPr>
        <w:t xml:space="preserve">, titled “The impact of an oral purified microbiome therapeutic on the GI microbiome”, confirmed our pharmacological hypotheses from earlier VOWST studies, with higher VOWST dosing associated with enhanced pharmacokinetics, as assessed by faster and more robust therapeutic species engraftment in the gut. Treatment also significantly altered the composition of the intestinal microbiome and microbe-associated metabolites, including decreased primary and increased secondary bile acids, as well as elevated short- and medium-chain fatty acids, functional changes that inhibit C. difficile spore germination and vegetative growth. Further, in vitro analyses confirmed that VOWST batches induced production of these metabolites that disrupt C. difficile life cycle and growth. Collectively, these findings support VOWST’s role in restoring microbe-associated metabolic functions critical to preventing CDI recurrence. A complementary publication in the </w:t>
      </w:r>
      <w:r>
        <w:rPr>
          <w:rFonts w:ascii="Times New Roman" w:cs="Times New Roman" w:eastAsia="Times New Roman" w:hAnsi="Times New Roman"/>
          <w:sz w:val="18"/>
          <w:szCs w:val="18"/>
          <w:i w:val="1"/>
          <w:iCs w:val="1"/>
          <w:color w:val="auto"/>
        </w:rPr>
        <w:t>Journal of Infectious Diseases</w:t>
      </w:r>
      <w:r>
        <w:rPr>
          <w:rFonts w:ascii="Times New Roman" w:cs="Times New Roman" w:eastAsia="Times New Roman" w:hAnsi="Times New Roman"/>
          <w:sz w:val="18"/>
          <w:szCs w:val="18"/>
          <w:color w:val="auto"/>
        </w:rPr>
        <w:t>, titled “Comparability of Gastrointestinal Microbiome and Bile Acid Profiles in Patients With First or Multiply Recurrent Clostridioides difficile Infection”, reported a post hoc analysis of the ECOSPOR IV Phase 3 trial, evaluating differences in gastrointestinal microbiome and bile acid profiles between patients experiencing a first recurrence C. difficile infection (frCDI) versus multiply recurrence infection (mrCDI). These data demonstrate that the underlying functional disease etiology is consistent in both first and multiply recurrent CDI patient populations, with VOWST demonstrating similar efficacy and drug pharmacology across the broad patient population.</w:t>
      </w:r>
    </w:p>
    <w:p>
      <w:pPr>
        <w:spacing w:after="0" w:line="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these data provide important clinical translation and further demonstrate the potential of live biotherapeutics to target specific microbiome functions that are linked to serious disease, including those that are not effectively treated with other drug modalities. The underlying data supporting these publications was developed using Seres MbTx platform, which provides high-resolution assessment of drug pharmacology and functional mechanism of action. These data on bacterial function and pharmacology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anchored the preclinical development of SER-155 and inform the continued development of Seres’ pipeline of next-generation live biotherapeutic products.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SER-155 in allo-HSCT</w:t>
      </w:r>
    </w:p>
    <w:p>
      <w:pPr>
        <w:spacing w:after="0" w:line="11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are developing SER-155, an investigational, oral, live biotherapeutic designed to decolonize GI pathogens, improve GI epithelial barrier integrity, and induce immune homeostasis to prevent bacterial BSIs as well as other pathogen associated negative clinical outcomes in patients undergoing allo-HSCT. SER-155 is a live biotherapeutic candidate designed to prevent frequent, expensive, and fatal infections in blood cancer patients.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SER-155 contains 16 bacterial strains selected using our reverse translation discovery and development platform technologies to optimize SER-155’s targeted profile. The design incorporates biomarker data from human clinical data and screening data from nonclinical human cell-based assays and in vivo disease models. The bacteria consortia is designed to optimize: (i) the prevention of the growth of various </w:t>
      </w:r>
      <w:r>
        <w:rPr>
          <w:rFonts w:ascii="Times New Roman" w:cs="Times New Roman" w:eastAsia="Times New Roman" w:hAnsi="Times New Roman"/>
          <w:sz w:val="18"/>
          <w:szCs w:val="18"/>
          <w:i w:val="1"/>
          <w:iCs w:val="1"/>
          <w:color w:val="auto"/>
        </w:rPr>
        <w:t>Enterococcaceae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Enterobacteriaceae</w:t>
      </w:r>
      <w:r>
        <w:rPr>
          <w:rFonts w:ascii="Times New Roman" w:cs="Times New Roman" w:eastAsia="Times New Roman" w:hAnsi="Times New Roman"/>
          <w:sz w:val="18"/>
          <w:szCs w:val="18"/>
          <w:color w:val="auto"/>
        </w:rPr>
        <w:t xml:space="preserve"> species known to potentially dominate the GI tract and lead to downstream negative clinical outcomes in medically compromised patients and that can harbor antibacterial resistance, (ii) the production of multiple bacterial metabolites that can promote mucosal and epithelial barrier integrity with the goal of reducing the likelihood of harmful bacteria translocating from the gut to the bloodstream through a compromised epithelium, and (iii) the production of multiple bacterial metabolites that can modulate immune pathways to induce immune tolerance with a potential impact on GvHD.</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rationale for this program is based in part on published clinical evidence from our collaborators at Memorial Sloan Kettering Cancer Center showing that allo-HSCT patients with decreased diversity of commensal microbes and pathogen domination in the GI tract were significantly more likely to die due to infection and/or lethal GvHD (Peled et al., 2020). There are an estimated 40,000 allo-HSCT procedures annually worldwide, and infection is one of the most common causes of mortality in these patients. The Center for International Blood &amp; Marrow Transplant Research, or CIBMTR, reports that 19-28% of deaths in allo-HSCT patients over 18 years of age within 100 days post-transplant are caused by infections and 5-14% by GvHD. In December 2023, we received Fast Track Designation for SER-155 to reduce the risk of infection and GvHD in allo-HSCT patients. In December 2024, the FDA granted Breakthrough Therapy designation for SER-155 for the reduction of BSIs in patients 18 years and older undergoing allo-HSCT.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SER-155 Phase 1b Study (including placebo-controlled Cohort)</w:t>
      </w:r>
    </w:p>
    <w:p>
      <w:pPr>
        <w:spacing w:after="0" w:line="11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SER-155 has been evaluated in a Phase 1b study in patients undergoing allo-HSCT. The SER-155 Phase 1b study included two cohorts. Cohort 1 was designed to assess safety and drug pharmacology, specifically the drug strain engraftment in the GI tract. Cohort 1 included 13 subjects who received any dosing of the SER-155 regimen, with 11 subjects subsequently receiving an allo-HSCT. Results from this cohort, announced in May 2023, showed SER-155 was generally well tolerated and resulted in successful drug strain engraftment and a reduction in pathogen domination in the GI microbiome relative to a historical control cohort.</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Study Cohort 2 utilized a randomized, double-blinded 1:1 placebo-controlled design to further evaluate safety and drug strain engraftment, as well as key secondary and exploratory endpoints such as the incidence of bacterial bloodstream infections and related medical consequences such as febrile neutropenia and antibiotic use. Cohort 2 included 45 patients in the intention-to-treat (ITT) population. Of the ITT population, 20 received SER-155 and 14 received placebo, each of whom subsequently received an allo-HSCT, with data available for clinical evaluation through day 100, the study’s prespecified primary observation point. Exploratory hypothesis testing was conducted at the two-sided α=0.05 level. Ninety-five percent (95%) 2-sided confidence intervals (CIs) were determined, where specified. No adjustment for multiplicity was done. A subset of patient samples was available for drug pharmacology analysis.</w:t>
      </w:r>
    </w:p>
    <w:p>
      <w:pPr>
        <w:spacing w:after="0" w:line="8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median age in Cohort 2 was 63, and most subjects had acute myeloid leukemia, acute lymphocytic leukemia, myelodysplastic syndrome or myeloproliferative neoplasia as their primary disease and received reduced-intensity conditioning pre-transplant. Most patients received peripheral blood stem cells from a matched unrelated donor. A majority received post-transplant cyclophosphamide as part of their GvHD prophylaxis.</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Results from Cohort 2, announced in September 2024, were consistent with the observations from Cohort 1. SER-155 was generally well tolerated, and no treatment-emergent serious adverse events related to drug were observed. SER-155 bacterial strains engrafted into the gastrointestinal tract of patients following the administration of SER-155.</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incidence of BSIs was significantly lower in the SER-155 arm compared with the placebo arm (2/20 (10%) vs. 6/14 (42.9%), respectively; [Odds Ratio: 0.15; 95% CI: 0.01, 1.13, p=0.0423]), which represents a relative risk reduction of approximately 77% and an absolute risk reduction of approximately 33%. In addition, while treatment antibiotic starts were similar in each arm, patients administered SER-155 were treated with antibiotics for a significantly shorter cumulative duration compared to patients in the placebo arm (9.2 days vs. 21.1 days, respectively, with a mean difference of -11.9 days [95% CI: -23.85, -0.04; p=0.0494]). The incidence of febrile neutropenia was lower in patients administered SER-155 compared to placebo (65% vs. 78.6%, respectively; [Odds Ratio: 0.51; 95% CI: 0.07, 2.99; p=0.4674]). Six cases of GI infections (C. difficile infections) were observed in the study, with four cases (20%) in the SER-155 arm and two cases (14.3%) in the placebo arm.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Recent changes in the allo-HSCT standard of care and the increasing use of post-transplant cyclophosphamide as part of prophylactic therapy for GvHD have reduced rates of GvHD overall in this patient population. The rates of GvHD in the study were low, with two cases of grade 2 GvHD observed in each arm, and no cases of grade 3 or 4 GvHD were observed.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Cohort 2, the ability to detect pathogen domination (i.e., relative abundance in the GI ≥30%) in the placebo arm, and differences between the study arms, was constrained due to the limited number of placebo stool samples and an imbalance in the number of available stool samples between the arms. Observed pathogen domination events were low in the placebo and SER-155 arms with no significant differences identified. In a comparison of the prevalence of pathogen domination versus a larger allo-HSCT historical control cohort, pathogen domination in SER-155 subjects was substantially lower, providing further evidence of SER-155 activity.</w:t>
      </w:r>
    </w:p>
    <w:p>
      <w:pPr>
        <w:spacing w:after="0" w:line="75"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believe the available study data from Cohort 1 suggest that SER-155 administration results has the potential to significantly lower incidence rates of gastrointestinal dominations with pathogens of clinical concern, such as </w:t>
      </w:r>
      <w:r>
        <w:rPr>
          <w:rFonts w:ascii="Times New Roman" w:cs="Times New Roman" w:eastAsia="Times New Roman" w:hAnsi="Times New Roman"/>
          <w:sz w:val="18"/>
          <w:szCs w:val="18"/>
          <w:i w:val="1"/>
          <w:iCs w:val="1"/>
          <w:color w:val="auto"/>
        </w:rPr>
        <w:t>Enterococcaceae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Enterobacteriaceae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Streptococcaceae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Staphylococcaceae</w:t>
      </w:r>
      <w:r>
        <w:rPr>
          <w:rFonts w:ascii="Times New Roman" w:cs="Times New Roman" w:eastAsia="Times New Roman" w:hAnsi="Times New Roman"/>
          <w:sz w:val="18"/>
          <w:szCs w:val="18"/>
          <w:color w:val="auto"/>
        </w:rPr>
        <w:t>. We further believe the resulting Cohort 2 data, together with the Cohort 1 SER-155 Phase 1b study results provide encouraging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to support further development of SER-155 to potentially reduce GI associated bloodstream and AMR infections as well as increase immune tolerance in individuals undergoing allo-HSCT for cancers and other serious conditions.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Proposed SER-155 Phase 2 Study</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SER-155 Phase 2 study will incorporate a well-powered, placebo-controlled design, which provides for a planned interim analysis to enable an expedited initial data readout. The SER-155 Phase 2 study is expected to enroll approximately 248 participants and incorporate an adaptive design and an interim data analysis when approximately half of the enrolled participants have reached the primary endpoint. We expect to obtain the interim clinical results within twelve months following study initiation, which we believe will facilitate timely engagement with the FDA on the design of a Phase 3 study and inform development in adjacent medically vulnerable patient populations. We believe that positive results, if achieved, from the Phase 2 study could enable advancement into a single Phase 3 trial to support registration.</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Following advancement of key startup activities for the SER-155 Phase 2 study in allo-HSCT, including the submission of a final protocol to the FDA in January 2026, study site evaluation and qualification with our CRO, and manufacturing of drug substance, we have paused additional investment in that program while continuing to seek funding for the Phase 2 study.</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continue our efforts to obtain capital and other resources to support further development of SER-155 and our broader portfolio of live biotherapeutic product candidates with applications for inflammatory diseases. We are evaluating a range of potential deal structures that we believe could leverage our live biotherapeutics expertise and success, as demonstrated by bringing VOWST from early development through FDA approval.</w:t>
      </w:r>
    </w:p>
    <w:p>
      <w:pPr>
        <w:spacing w:after="0" w:line="6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October 2025, we presented new post hoc data from our SER-155 Phase 1b trial in an oral presentation at IDWeek in Atlanta, Georgia. The presentation included new post-hoc analysis from the completed SER-155 Phase 1b study describing differences between the SER-155 and placebo groups, including the bacterial and fungal organisms causing BSIs, BSI event clinical outcomes, antibacterial prophylaxis use, and patterns of AMR among the bacterial BSI organisms. These new data illustrated that BSIs occurred despite antibacterial prophylaxis, and that BSI bacteria exhibited AMR. Resistance to multiple antibacterial agent classes was observed only in the BSI bacteria from placebo-treated participants, two of whom had fatal outcomes related to their BSIs. These new data further support the potential of SER-155 as an innovative alternative approach to the significant unmet medical need for prevention of BSIs in HSCT patients, especially those BSIs associated with AMR that increases the risk of morbidity and mortality.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Exploratory biomarker data</w:t>
      </w:r>
    </w:p>
    <w:p>
      <w:pPr>
        <w:spacing w:after="0" w:line="11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 Results from this exploratory biomarker analysis showed that SER-155 was associated with lower levels of fecal albumin and lower concentrations of various plasma biomarkers associated with systemic inflammation (i.e., IFN-y, TNF-α, IL-17, and IL-8) in the HSCT peri-transplant period, the period from the end of the first SER-155 treatment course through to neutrophil engraftment. The results support SER-155’s intended mechanisms of action and reinforce the previously reported promising clinical study efficacy and safety data. These systemic inflammatory response observations further support the potential to develop our live biotherapeutics to address inflammatory and immune diseases, including ulcerative colitis and Crohn’s disease.</w:t>
      </w:r>
    </w:p>
    <w:p>
      <w:pPr>
        <w:spacing w:after="0" w:line="84"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February 2025, clinical and biomarker results from our biotherapeutic programs were presented as a poster at the 2025 Tandem Transplantation &amp; Cellular Therapy Meetings of the American Society for Transplantation and Cellular Therapy (ASTCT) and Center for International Blood and Marrow Transplant Research (CIBMTR). SER-155 Phase 1b clinical study data were also featured in an oral presentation in the Best Abstracts in Infectious Diseases track at the Tandem meeting.</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April 2025, we presented SER-155 Phase 1b clinical and exploratory biomarker results at the 51st annual meeting of the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right="220"/>
        <w:spacing w:after="0" w:line="282" w:lineRule="auto"/>
        <w:rPr>
          <w:sz w:val="20"/>
          <w:szCs w:val="20"/>
          <w:color w:val="auto"/>
        </w:rPr>
      </w:pPr>
      <w:r>
        <w:rPr>
          <w:rFonts w:ascii="Times New Roman" w:cs="Times New Roman" w:eastAsia="Times New Roman" w:hAnsi="Times New Roman"/>
          <w:sz w:val="18"/>
          <w:szCs w:val="18"/>
          <w:color w:val="auto"/>
        </w:rPr>
        <w:t>European Society for Blood and Marrow Transplantation, or EBMT. Our presented poster was recognized by the EBMT scientific organizing committee and obtained the “Best Clinical Poster Award.”</w:t>
      </w:r>
    </w:p>
    <w:p>
      <w:pPr>
        <w:spacing w:after="0" w:line="94"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May 2025, we presented data at the Digestive Disease Week, or DDW conference highlighting preclinical and clinical data that enable identification of patients with a disease etiology linked to the gastrointestinal microbiome, and the identification of microbiome-based biomarkers that are predictive of response and suitable for patient selection and stratification in clinical trials. Our poster, entitled “Candidate Biomarkers of Microbiome Disruption for Patient Selection or Stratification in Clinical Trials of Microbiome Therapies in Ulcerative Colitis” received a Poster of Distinction award in the Microbiome and Microbial Therapies subgroup. We believe that the data generated suggest that live biotherapeutics could provide a novel treatment modality that could benefit patients living with gut-related inflammatory and immune diseases that are not effectively addressed today. Furthermore, research indicates that specific patient subpopulations optimally suited for biotherapeutic-based treatments may be identifiable. We are exploring options, including potential partnerships, to advance the development of our biotherapeutics in inflammatory and immune diseases, including ulcerative colitis and Crohn’s disease.</w:t>
      </w:r>
    </w:p>
    <w:p>
      <w:pPr>
        <w:spacing w:after="0" w:line="80" w:lineRule="exact"/>
        <w:rPr>
          <w:sz w:val="20"/>
          <w:szCs w:val="20"/>
          <w:color w:val="auto"/>
        </w:rPr>
      </w:pPr>
    </w:p>
    <w:p>
      <w:pPr>
        <w:ind w:right="140" w:firstLine="749"/>
        <w:spacing w:after="0" w:line="257" w:lineRule="auto"/>
        <w:rPr>
          <w:sz w:val="20"/>
          <w:szCs w:val="20"/>
          <w:color w:val="auto"/>
        </w:rPr>
      </w:pPr>
      <w:r>
        <w:rPr>
          <w:rFonts w:ascii="Times New Roman" w:cs="Times New Roman" w:eastAsia="Times New Roman" w:hAnsi="Times New Roman"/>
          <w:sz w:val="18"/>
          <w:szCs w:val="18"/>
          <w:color w:val="auto"/>
        </w:rPr>
        <w:t>In May 2025, we presented new exploratory biomarker data from the SER-155 Phase 1b study in a poster session at the 2025 American Society of Clinical Oncology, or ASCO, Annual Meeting. The biomarker data presented at ASCO demonstrate the potential of SER-155 to promote immune reconstitution following allo-HSCT by modulating homeostatic cytokines and peripheral T-cell expansion. In post hoc analyses from the SER-155 Phase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1b study, significantly higher levels of the homeostatic cytokine IL-7 were observed both after the second course of SER-155 (administered after neutrophil recovery) and at HSCT Day 100, as compared to placebo. Additionally, a higher frequency of CD4+ T cells was observed in peripheral blood at these same timepoints in the SER-155 arm. We believe the results support the ability of SER-155 to promote peripheral T-cell recovery and immune reconstitution to support favorable outcomes post allo-HSCT.</w:t>
      </w:r>
    </w:p>
    <w:p>
      <w:pPr>
        <w:spacing w:after="0" w:line="81"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We believe that exploratory biomarker data presented at recent medical meetings have supported the intended mechanisms of SER-155 and demonstrated the broader potential of live biotherapeutics in inflammatory and immune mediated diseases.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Oral Live Biotherapeutic Product - Liquid Formulation (LBP-LF)</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we were awarded a grant from CARB-X to support the development of an oral liquid formulation of an LBP based on SER-155 (LBP-LF) for medically vulnerable patient populations at risk of BSIs, including AMR infections, who cannot be dosed with oral capsules, such as intubated patients in the ICU. The CARB-X grant provides us with up to $3.6 million of funding for research, manufacture, and design of a Phase 1 clinical trial in ICU patients. LBP-LF is designed to target the prevention of bloodstream infections in medical ICU patients by </w:t>
      </w:r>
      <w:r>
        <w:rPr>
          <w:rFonts w:ascii="Times New Roman" w:cs="Times New Roman" w:eastAsia="Times New Roman" w:hAnsi="Times New Roman"/>
          <w:sz w:val="18"/>
          <w:szCs w:val="18"/>
          <w:i w:val="1"/>
          <w:iCs w:val="1"/>
          <w:color w:val="auto"/>
        </w:rPr>
        <w:t>Escherichia coli</w:t>
      </w:r>
      <w:r>
        <w:rPr>
          <w:rFonts w:ascii="Times New Roman" w:cs="Times New Roman" w:eastAsia="Times New Roman" w:hAnsi="Times New Roman"/>
          <w:sz w:val="18"/>
          <w:szCs w:val="18"/>
          <w:color w:val="auto"/>
        </w:rPr>
        <w:t xml:space="preserve"> and other gut-derived bacteria capable of harboring antibiotic resistance.</w:t>
      </w:r>
    </w:p>
    <w:p>
      <w:pPr>
        <w:spacing w:after="0" w:line="7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Up to 50% of all preventable medical ICU deaths have been attributed to infections with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and other gut-derived bacteria (Mayr, 2006). These infections are also the leading cost in the medical ICU (Neidell, 2012). When ICU patients with multidrug resistant, or MDR, infections survive hospitalization, they have high long-term morbidity with over 20% 30-day readmission rates (Chang, 2015; Mayr, 2017). Over 5 million patients are admitted to ICUs in the U.S. annually, and these admissions account for approximately 20% of all acute care hospitalizations (Barrett et al. 2024). Infections with pathogenic, often MDR, bacteria are the leading cause of mortality in the medical ICU, causing up to 9 deaths for every 100 ICU patients admitted (Vincent, 2009). Most patients are admitted to the medical ICU with a known or suspected infection (i.e., sepsis) but, with targeted or empiric antibiotics, most recover from this initial infection. Once in the ICU, secondary, healthcare-associated infections frequently develop during the prolonged recovery from sepsis and are a significant driver of mortality.</w:t>
      </w:r>
    </w:p>
    <w:p>
      <w:pPr>
        <w:spacing w:after="0" w:line="7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LBP-LF is a novel approach that addresses both gut colonization and subsequent translocation by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and other gut-derived pathogens to prevent a significant proportion of these secondary hospital acquired infections. LBP-LF is in preclinical development, with IND-enabling activities ongoing and IND-readiness targeted by the end of 2026. Development of LBP-LF is ongoing with grant support from CARB-X  and in collaboration with Columbia University.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SER-147</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also developing another proprietary live biotherapeutic composition, SER-147, designed to prevent bacterial bloodstream and spontaneous bacterial peritonitis, or SBP, infections in patients with metabolic disease, including chronic liver disease, or CLD. SER-147 was designed and optimized using our reverse translational therapeutics development platform.</w:t>
      </w:r>
    </w:p>
    <w:p>
      <w:pPr>
        <w:spacing w:after="0" w:line="68"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CLD is a progressive condition marked by deterioration of liver function and is reaching epidemic proportions affecting nearly 1.7 billion people worldwide, causing substantial health burden on afflicted countries (GBD 2017 Cirrhosis Collaborators, 2020, Clinical Liver Disease, 2021). In the advanced stages of CLD, known as decompensated cirrhosis, patients exhibit significant immune dysfunction, microbiome disruption, and increased contact with the healthcare system, all of which drive increased susceptibility to bacterial infections such as SBP and BSIs (Bajaj et al., 2021, Albillos et al., 2022). Over 40% of patients with decompensated cirrhosis experience an infection within the first year of diagnosis. Antibiotics are the only prophylactic option for patients at high risk of infections like SBP, resulting in exposure to antibiotics for months or years. To combat increasing rates of AMR, antibacterial prophylaxis for primary SBP is no longer recommended for the majority of patients outside of very high-risk, leaving significant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right="860"/>
        <w:spacing w:after="0" w:line="282" w:lineRule="auto"/>
        <w:rPr>
          <w:sz w:val="20"/>
          <w:szCs w:val="20"/>
          <w:color w:val="auto"/>
        </w:rPr>
      </w:pPr>
      <w:r>
        <w:rPr>
          <w:rFonts w:ascii="Times New Roman" w:cs="Times New Roman" w:eastAsia="Times New Roman" w:hAnsi="Times New Roman"/>
          <w:sz w:val="18"/>
          <w:szCs w:val="18"/>
          <w:color w:val="auto"/>
        </w:rPr>
        <w:t>unmet need. Many cultivated live biotherapeutics currently in clinic are constrained by formulation technologies incompatible with concomitant medications commonly used in CLD.</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SER-147 is in preclinical development. The program is ready to progress to IND-enabling activities, including manufacturing, in order to advance to clinical development.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production of bacterial live biotherapeutic products is highly specialized. Owing to their hardiness and environmental persistence, production of aerobic and anaerobic vegetative bacteria, as well as spore-forming organisms, poses unique considerations for product, personnel, facility design, operation, quality assurance and quality control. Manufacturing activities with spores are subject to specialized regulations. We expect that a typical commercial fermentation will yield on the order of hundreds or thousands of doses per liter depending on the product and its composition. Additionally, because a given total dose contains multiple strains, the per-strain requirements for production may be even lower. As a result, we believe the relatively high productivity of our manufacturing processes relative to the dose level will enable production scales for both clinical and commercial supply to be modest by traditional industry standards for biologics and vaccine manufacturing.</w:t>
      </w:r>
    </w:p>
    <w:p>
      <w:pPr>
        <w:spacing w:after="0" w:line="8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66" w:lineRule="exact"/>
        <w:rPr>
          <w:sz w:val="20"/>
          <w:szCs w:val="20"/>
          <w:color w:val="auto"/>
        </w:rPr>
      </w:pPr>
    </w:p>
    <w:p>
      <w:pPr>
        <w:ind w:left="102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Fermentation. </w:t>
      </w:r>
      <w:r>
        <w:rPr>
          <w:rFonts w:ascii="Times New Roman" w:cs="Times New Roman" w:eastAsia="Times New Roman" w:hAnsi="Times New Roman"/>
          <w:sz w:val="18"/>
          <w:szCs w:val="18"/>
          <w:color w:val="auto"/>
        </w:rPr>
        <w:t>We use microscale screening to optimize culture conditions of the bacterial strains of interest in our current and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fermentation-based product candidates. These screens are designed to identify the fermentation platform that is best-suited for optimization and scale-up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that each originate from a unique research cell bank precursor, so we expect the research cell banks and final drug product should be genetically and physiologically similar.</w:t>
      </w:r>
    </w:p>
    <w:p>
      <w:pPr>
        <w:spacing w:after="0" w:line="76"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Purification. </w:t>
      </w:r>
      <w:r>
        <w:rPr>
          <w:rFonts w:ascii="Times New Roman" w:cs="Times New Roman" w:eastAsia="Times New Roman" w:hAnsi="Times New Roman"/>
          <w:sz w:val="18"/>
          <w:szCs w:val="18"/>
          <w:color w:val="auto"/>
        </w:rPr>
        <w:t>Similar to fermentation, we use small-scale purification operations to quickly assess downstream process yield, quality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robustness and believe these are scalable to large-scale cGMP manufacturing of live cells and spores based on historical performance during internal clinical manufacturing campaigns. Our products in development are predominantly oral dosage forms containing spores and/or live bacteria, hence purification is typically less complex than for parenteral biologics such as monoclonal antibodies that must separate highly similar components from the culturing process. Separation of viable microbes from soluble fermentation broth components is typically much simpler by comparison.</w:t>
      </w:r>
    </w:p>
    <w:p>
      <w:pPr>
        <w:spacing w:after="0" w:line="74"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Formulation. </w:t>
      </w:r>
      <w:r>
        <w:rPr>
          <w:rFonts w:ascii="Times New Roman" w:cs="Times New Roman" w:eastAsia="Times New Roman" w:hAnsi="Times New Roman"/>
          <w:sz w:val="18"/>
          <w:szCs w:val="18"/>
          <w:color w:val="auto"/>
        </w:rPr>
        <w:t>Our live biotherapeutic candidates are combinations of bacteria and can be administered by a number of methods and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routes. Where possible, our product formulation development is focused on oral delivery for patient convenience. The primary goal in developing a formulation is to deliver bacteria to the intended location in a condition where they are able to replicate and modulate the microbiome. Formulation development generally uses approved excipients and preservatives with pharmaceutical industry precedent, and will include screening of liquid, solid, and suspension formulations to maximize the opportunity for extended stability with minimal cold-chain requirements. Dosage forms for oral products may be liquid- or powder-filled capsules, tablets, sachets, or liquid containers.</w:t>
      </w:r>
    </w:p>
    <w:p>
      <w:pPr>
        <w:spacing w:after="0" w:line="74" w:lineRule="exact"/>
        <w:rPr>
          <w:rFonts w:ascii="Times New Roman" w:cs="Times New Roman" w:eastAsia="Times New Roman" w:hAnsi="Times New Roman"/>
          <w:sz w:val="18"/>
          <w:szCs w:val="18"/>
          <w:color w:val="auto"/>
        </w:rPr>
      </w:pPr>
    </w:p>
    <w:p>
      <w:pPr>
        <w:ind w:left="1020" w:right="100" w:hanging="503"/>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w:t>
      </w:r>
      <w:r>
        <w:rPr>
          <w:rFonts w:ascii="Times New Roman" w:cs="Times New Roman" w:eastAsia="Times New Roman" w:hAnsi="Times New Roman"/>
          <w:sz w:val="18"/>
          <w:szCs w:val="18"/>
          <w:color w:val="auto"/>
        </w:rPr>
        <w:t>We are addressing quality control requirements for our live biotherapeutic candidates using proprietary microbiological,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chemical, biochemical, and molecular sequence-based testing schemes. We have available and are further developing quality control, environmental monitoring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quantitative analytics to assess the identity, potency and purity of the final product.</w:t>
      </w:r>
    </w:p>
    <w:p>
      <w:pPr>
        <w:spacing w:after="0" w:line="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cGMP manufacturing capabilities at our Cambridge, Massachusetts locations where we conduct cGMP manufacture of therapeutic candidates to support both drug substance and drug product manufacturing for early-phase and late-phase clinical development. Our current live biotherapeutic pipeline assets, including SER-155 and SER-603, are manufactured from standard clonal cell banks via cultivation. We may establish further manufacturing capabilities and facilities that will serve late-phase clinical and commercial supply for our product candidates. We may do this by expanding our current facilities, or by purchasing or building additional facilities. We also use contract manufacturing and testing organizations to supplement our internal capacity.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agreements, see “Management’s Discussion and Analysis of Financial Condition and Results of Operations – Liquidity and Capital Resources" in Part II, Item 7 of this Annual Report on Form 10-K.</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79"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Our patent portfolio includes issued U.S. patents and patent applications in various stages of prosecution, including ex-U.S. international counterparts. We believe that issued claims will provide protection for our live biotherapeutic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8" w:name="page19"/>
    <w:bookmarkEnd w:id="18"/>
    <w:p>
      <w:pPr>
        <w:ind w:right="420"/>
        <w:spacing w:after="0" w:line="261" w:lineRule="auto"/>
        <w:rPr>
          <w:sz w:val="20"/>
          <w:szCs w:val="20"/>
          <w:color w:val="auto"/>
        </w:rPr>
      </w:pPr>
      <w:r>
        <w:rPr>
          <w:rFonts w:ascii="Times New Roman" w:cs="Times New Roman" w:eastAsia="Times New Roman" w:hAnsi="Times New Roman"/>
          <w:sz w:val="18"/>
          <w:szCs w:val="18"/>
          <w:color w:val="auto"/>
        </w:rPr>
        <w:t>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live biotherapeutics, and disease indications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the product candidates that we develop, if approved, are likely to be their efficacy, safety, convenience, price, the level of competition and the availability of reimbursement from government and other third-party payors.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live biotherapeutic which will likely share our same regulatory approval requirements. In addition, our ability to compete may be affected in many cases by insurers or other third-party payors seeking to encourage the use of lower cost products.</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authorities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BLA and approval by the FDA before being marketed in the United States.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our biologic product candidates may be marketed in the United States generally involves the following:</w:t>
      </w:r>
    </w:p>
    <w:p>
      <w:pPr>
        <w:spacing w:after="0" w:line="117" w:lineRule="exact"/>
        <w:rPr>
          <w:sz w:val="20"/>
          <w:szCs w:val="20"/>
          <w:color w:val="auto"/>
        </w:rPr>
      </w:pPr>
    </w:p>
    <w:p>
      <w:pPr>
        <w:ind w:left="1020" w:right="2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certain preclinical laboratory tests and animal studies performed in accordance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in the United States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a trial is commenced;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product candidate for each proposed indication, conducted in accordance with the FDA’s good clinical practice, or GCP,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after completion of all pivotal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regulations, and to assure that the facilities, methods and controls are adequate to preserve the biological product’s continued safety, purity and potency;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 of selected clinical investigation sites to assess compliance with GCPs;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prior to any commercial marketing, sale or shipment of the product.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studies include laboratory evaluations of drug chemistry, formulation and stability, as well as studies to evaluate toxicity in animals, certain of which must be conducted in accordance with GLP requirements. The results of the preclinical studies, together with manufacturing information and analytical data, are submitted to the FDA as part of an IND. An IND is a request for allowance from the FDA to administer an investigational drug to humans. An IND must become effective before human clinical trials may begin.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allows the trial to proceed, either explicitly or implicitly by not objecting, before each clinical trial can begin.</w:t>
      </w:r>
    </w:p>
    <w:p>
      <w:pPr>
        <w:spacing w:after="0" w:line="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clinical trial and the parameters and criteria to be used in monitoring safety and evaluating effectiveness. Each protocol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An independent institutional review board, or IRB, for each investigator site proposing to participate in a clinical trial must also review and approve the clinical trial before it can begin at that site, and the IRB must monitor the clinical trial until it is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 FDA, the IRB, or the sponsor may suspend or discontinue a clinical trial at any time on various grounds, including a finding that the subjects are being exposed to an unacceptable health risk. There are also requirements governing the reporting of ongoing clinical studies and clinical study results to public registries.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BLA approval, clinical trials are typically conducted in three sequential phases, which may overlap or be combined.</w:t>
      </w:r>
    </w:p>
    <w:p>
      <w:pPr>
        <w:spacing w:after="0" w:line="115" w:lineRule="exact"/>
        <w:rPr>
          <w:sz w:val="20"/>
          <w:szCs w:val="20"/>
          <w:color w:val="auto"/>
        </w:rPr>
      </w:pPr>
    </w:p>
    <w:p>
      <w:pPr>
        <w:ind w:left="1020" w:right="340" w:hanging="503"/>
        <w:spacing w:after="0" w:line="290"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 The investigational product is initially introduced into healthy human subjects or patients with the target disease or condition.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47" w:lineRule="exact"/>
        <w:rPr>
          <w:rFonts w:ascii="Times New Roman" w:cs="Times New Roman" w:eastAsia="Times New Roman" w:hAnsi="Times New Roman"/>
          <w:sz w:val="17"/>
          <w:szCs w:val="17"/>
          <w:color w:val="auto"/>
        </w:rPr>
      </w:pPr>
    </w:p>
    <w:p>
      <w:pPr>
        <w:ind w:left="1020" w:right="500" w:hanging="503"/>
        <w:spacing w:after="0" w:line="28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The investigational product is typically administered to a limited patient population with a specified disease or condition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preliminary efficacy, optimal dosages and dosing schedule and to identify possible adverse side effects and safety risks.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1020" w:right="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The investigational product is administered to an expanded patient population to further evaluate dosage, to provide statistically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p>
      <w:pPr>
        <w:spacing w:after="0" w:line="7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54"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FDA Review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The submission of a BLA requires payment of a substantial user fee unless a waiver is granted or exemption applies.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and biologics, for a new active ingredient, new indication, new dosage form, new dosing regimen or new route of administration. Under PREA, original BLAs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candidate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80"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 In this event, the BLA must be resubmitted with the additional information.</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Once a BLA has been accepted for review, the FDA’s goal is to review standard applications within ten months after the filing date, or, if the application qualifies for Priority Review, six months after the FDA accepts the application for filing, but the overall timeframe may be extended for a period of three months for FDA to respond to new information deemed a “major amendment” to the application. The FDA reviews a BLA to determine, among other things, whether the biological product is safe, pure and potent and whether the facility or facilities in which it is manufactured meet standards designed to assure the product’s continued safety, purity and potency.</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the facilities at which the biologic product is manufactured and will not approve the product unless it determines that the manufacturing processes and facilities are in compliance with cGMP and adequate to assure consistent production of the product within required specifications. Additionally, before approving a BLA, the FDA may inspect one or more clinical sites to assure that such trials were conducted in compliance with GCP.</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After the FDA evaluates a BLA and conducts any required inspections of clinical trial sites or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indicates that the review cycle of the application is complete, and the application will not be approved in its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1" w:name="page22"/>
    <w:bookmarkEnd w:id="21"/>
    <w:p>
      <w:pPr>
        <w:ind w:right="260"/>
        <w:spacing w:after="0" w:line="261" w:lineRule="auto"/>
        <w:rPr>
          <w:sz w:val="20"/>
          <w:szCs w:val="20"/>
          <w:color w:val="auto"/>
        </w:rPr>
      </w:pPr>
      <w:r>
        <w:rPr>
          <w:rFonts w:ascii="Times New Roman" w:cs="Times New Roman" w:eastAsia="Times New Roman" w:hAnsi="Times New Roman"/>
          <w:sz w:val="18"/>
          <w:szCs w:val="18"/>
          <w:color w:val="auto"/>
        </w:rPr>
        <w:t>present form. A CRL usually describes the specific deficiencies in the BLA identified by the FDA and may require additional clinical data, including additional clinical trials, or other significant and time-consuming requirements related to clinical trials,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biologics designed to address unmet medical needs in the treatment of serious or life- threatening diseases or conditions. These programs include Fast Track designation, Breakthrough Therapy designation, Priority Review designation and Accelerated Approval, and the purpose of these programs is to expedite the development and review of qualifying product candidates.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meaning that the agency may review portions of the marketing application before the sponsor submits the complete application, if the sponsor provides a schedule for the submission of the sections of the BLA, the FDA agrees to accept sections of the BLA and determines that the schedule is acceptable, and the sponsor pays any required user fees upon submission of the first section of the BLA. Product candidates receiving Fast Track status may also be eligible for Priority Review, if the relevant criteria are met.</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a biologic product candidate may be eligible for Breakthrough Therapy designation if it is intended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Fast Track or Breakthrough Therapy designation, may also be eligible for additional FDA programs intended to expedite the review process, including Priority Review designation. A BLA is eligible for Priority Review if the product candidate has the potential to provide a significant improvement in safety or effectiveness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trials, product candidates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confirmatory studies to verify and describe the product’s clinical benefit, and the FDA may require that such studies be underway before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requires as a condition for accelerated approval pre-approval of promotional materials, which could adversely impact the timing of the commercial launch of the product.</w:t>
      </w:r>
    </w:p>
    <w:p>
      <w:pPr>
        <w:spacing w:after="0" w:line="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designation and Accelerated Approval do not change the standards for approval but may expedite the development or review process.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marketed pursuant to approved applications.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biologics manufactured or distributed pursuant to FDA approvals remain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manufacturers and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programs.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untitled letters, or holds on clinical trials;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Regulatory Exclusivity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t>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72" w:lineRule="exact"/>
        <w:rPr>
          <w:sz w:val="20"/>
          <w:szCs w:val="20"/>
          <w:color w:val="auto"/>
        </w:rPr>
      </w:pPr>
    </w:p>
    <w:p>
      <w:pPr>
        <w:jc w:val="both"/>
        <w:ind w:right="100" w:firstLine="509"/>
        <w:spacing w:after="0" w:line="289" w:lineRule="auto"/>
        <w:rPr>
          <w:sz w:val="20"/>
          <w:szCs w:val="20"/>
          <w:color w:val="auto"/>
        </w:rPr>
      </w:pPr>
      <w:r>
        <w:rPr>
          <w:rFonts w:ascii="Times New Roman" w:cs="Times New Roman" w:eastAsia="Times New Roman" w:hAnsi="Times New Roman"/>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existing periods of regulatory exclusivity protection or patent terms, may be granted based on the voluntary completion of a pediatric study in accordance with an FDA-issued “Written Request” for such a study.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disease or condition, except in limited circumstances, such as a subsequent product’s showing of clinical superiority over the product with orphan exclusivity or where the original applicant cannot produce sufficient quantities of product for the applicable disease or condition. Competitors, however, may receive approval of different therapeutic agents for the disease or condition for which the orphan product has exclusivity or obtain approval for the same therapeutic agent for a different disease or condition than that for which the orphan product has exclusivity. Further, if a designated orphan product receives marketing approval for a disease or condition broader than the rare disease or condition for which it received orphan designation, it may not be entitled to orphan exclusivity.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or MA, manufacturing, commercial sales and distribution of our products. Because biologically sourced raw materials are subject to unique contamination risks, their use may be restricted in some countries. Whether or not we obtain FDA approval of a product, we must obtain the requisite approvals from regulatory authorities in foreign countries prior to the commencement of clinical studies or marketing of the product in those countries. The requirements and process governing the conduct of clinical studies,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 are subject to significant regulatory controls.</w:t>
      </w:r>
    </w:p>
    <w:p>
      <w:pPr>
        <w:spacing w:after="0" w:line="11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or ATMPs.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CTR utilizes a centralized process and requires the submission of a single clinical trial application, or CTA,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8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or GMP. Other national and EU-wide regulatory requirements may also apply.</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with regard to any future marketing authorization application of the product concerned.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EU, medicinal products can only be placed on the market after obtaining a MA. To obtain regulatory approval of an investigational biological product in the EU, we must submit a MA application, or MAA. The process for doing this depends, among other things, on the nature of the medicinal product.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Centralized procedure</w:t>
      </w:r>
      <w:r>
        <w:rPr>
          <w:rFonts w:ascii="Times New Roman" w:cs="Times New Roman" w:eastAsia="Times New Roman" w:hAnsi="Times New Roman"/>
          <w:sz w:val="18"/>
          <w:szCs w:val="18"/>
          <w:color w:val="auto"/>
        </w:rPr>
        <w:t>—Under the centralized procedure, following the opining of the EMA’s CHMP the European Commission issues a single 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throughout the EU. The centralized procedure is compulsory for certain types of products, such as (i) medicinal products derived from biotechnology processes, such as genetic engineering, (ii) designated orphan medicinal products, (iii) advanced therapy medicinal products, or ATMPs, such as gene therapy, somatic cell therapy and tissue engineered products, and (iv) medicinal products that contain a new active substance indicated for the treatment of certain diseases, such as HIV/AIDS, cancer, neurodegenerative diseases, diabetes, autoimmune diseases and other immune dysfunctions, and viral diseases. The centralized procedure is optional for any products containing a new active substance not yet authorized in the EU, or for products that constitute a significant therapeutic, scientific or technical innovation or for which the granting of a MA would be in the interest of public health in the EU.</w:t>
      </w:r>
    </w:p>
    <w:p>
      <w:pPr>
        <w:spacing w:after="0" w:line="7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EMA's CHMP is 210 days, excluding clock stops, when additional written or oral information is to be provided by the applicant in response to questions asked by the CHMP. At the end of the review period, the CHMP provides an opinion to the European Commission. If this opinion is favorable, the Commission may then adopt a decision to grant an MA. In exceptional cases, the CHMP might perform an accelerated review of a MAA in no more than 150 days (excluding clock stops), when a medicinal product targets an unmet medical need and is expected to be of a major public health interest, particularly from the point of view of therapeutic innovation. The timeframe for the evaluation of an MAA under the accelerated assessment procedure is 150 days, excluding clock stops.</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an initiative, the Priority Medicines, or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82"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National authorization procedures</w:t>
      </w:r>
      <w:r>
        <w:rPr>
          <w:rFonts w:ascii="Times New Roman" w:cs="Times New Roman" w:eastAsia="Times New Roman" w:hAnsi="Times New Roman"/>
          <w:sz w:val="18"/>
          <w:szCs w:val="18"/>
          <w:color w:val="auto"/>
        </w:rPr>
        <w:t>—There are also two other possible routes to authorize medicinal products in several member states,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products that fall outside the scope of the centralized procedure:</w:t>
      </w:r>
    </w:p>
    <w:p>
      <w:pPr>
        <w:spacing w:after="0" w:line="50" w:lineRule="exact"/>
        <w:rPr>
          <w:sz w:val="20"/>
          <w:szCs w:val="20"/>
          <w:color w:val="auto"/>
        </w:rPr>
      </w:pPr>
    </w:p>
    <w:p>
      <w:pPr>
        <w:ind w:left="1020" w:right="6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Decentralized procedure</w:t>
      </w:r>
      <w:r>
        <w:rPr>
          <w:rFonts w:ascii="Times New Roman" w:cs="Times New Roman" w:eastAsia="Times New Roman" w:hAnsi="Times New Roman"/>
          <w:sz w:val="18"/>
          <w:szCs w:val="18"/>
          <w:color w:val="auto"/>
        </w:rPr>
        <w:t>. Using the decentralized procedure, an applicant may apply for simultaneous authorizations in more than one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states of medicinal products that have not yet been authorized in any EU member states and that do not fall within the mandatory scope of the centralized procedure. Under the decentralized procedure an identical dossier is submitted to the national competent authority of each of the member states in which the MA is sought, one of which is selected by the applicant as the reference member state. National MAs are issued by competent authorities of the EU member states for their respective territory.</w:t>
      </w:r>
    </w:p>
    <w:p>
      <w:pPr>
        <w:spacing w:after="0" w:line="75" w:lineRule="exact"/>
        <w:rPr>
          <w:rFonts w:ascii="Times New Roman" w:cs="Times New Roman" w:eastAsia="Times New Roman" w:hAnsi="Times New Roman"/>
          <w:sz w:val="18"/>
          <w:szCs w:val="18"/>
          <w:color w:val="auto"/>
        </w:rPr>
      </w:pPr>
    </w:p>
    <w:p>
      <w:pPr>
        <w:jc w:val="both"/>
        <w:ind w:left="1020" w:right="240" w:hanging="503"/>
        <w:spacing w:after="0" w:line="26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recognition procedure</w:t>
      </w:r>
      <w:r>
        <w:rPr>
          <w:rFonts w:ascii="Times New Roman" w:cs="Times New Roman" w:eastAsia="Times New Roman" w:hAnsi="Times New Roman"/>
          <w:sz w:val="18"/>
          <w:szCs w:val="18"/>
          <w:color w:val="auto"/>
        </w:rPr>
        <w:t>. In the mutual recognition procedure, a medicine is first authorized in one EU member state,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national procedures of that member state. Following this, further MAs can be sought from other EU member states in a procedure whereby the countries concerned recognize the validity of the original national MA.</w:t>
      </w:r>
    </w:p>
    <w:p>
      <w:pPr>
        <w:spacing w:after="0" w:line="67"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the EU, upon receiving a MA, reference medicinal products generally receive eight years of data exclusivity and an additional two years of market exclusivity. If granted,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the market exclusivity period a generic or biosimilar MA can be submitted, and the innovator’s data may be referenced but no generic or biosimilar can be marketed in the EU until ten years have elapsed from the initial authorization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6" w:name="page27"/>
    <w:bookmarkEnd w:id="26"/>
    <w:p>
      <w:pPr>
        <w:ind w:right="40"/>
        <w:spacing w:after="0" w:line="282" w:lineRule="auto"/>
        <w:rPr>
          <w:sz w:val="20"/>
          <w:szCs w:val="20"/>
          <w:color w:val="auto"/>
        </w:rPr>
      </w:pPr>
      <w:r>
        <w:rPr>
          <w:rFonts w:ascii="Times New Roman" w:cs="Times New Roman" w:eastAsia="Times New Roman" w:hAnsi="Times New Roman"/>
          <w:sz w:val="18"/>
          <w:szCs w:val="18"/>
          <w:color w:val="auto"/>
        </w:rPr>
        <w:t>therapies. However, there is no guarantee that a product will be considered by the EU’s regulatory authorities to be a new chemical or biological entity, and products may not qualify for data exclusivity.</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may be designated as orphan if (1) it is intended for the diagnosis, prevention or treatment of a life-threatening or chronically debilitating condition; (2) either</w:t>
      </w:r>
    </w:p>
    <w:p>
      <w:pPr>
        <w:ind w:right="40" w:firstLine="8"/>
        <w:spacing w:after="0" w:line="251"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MAA. Orphan medicinal products are eligible for financial incentives such as reduction of fees or fee waivers, protocol assistance, access to the centralized procedure, and are, upon grant of a MA, entitled to ten years of market exclusivity for the approved therapeutic indication. During this ten-year orphan market exclusivity period, the competent authorities cannot accept another MAA, or grant a MA, or accept an application to extend a MA for a similar product for the same indication.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or where the prevalence of the condition has increased above the threshold.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drug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and study results are included in the product information, even when negative, the product is eligible for a six-months supplementary protection certificate extension (if any is in effect at the time of approval) or, in the case of orphan pharmaceutical products, a two year extension of the orphan market exclusivity is granted.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or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7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(comprised of the 27 EU member states plus Iceland, Liechtenstein and Norway).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and the implementation of the Windsor Framework on January 1, 2025, the United Kingdom, or UK, is not generally subject to EU laws in respect of medicinal products. The EU laws that have been transposed into UK law through secondary legislation remain applicable in the UK. However, new legislation such as the CTR is not applicable in the UK. The UK government has passed the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or MHRA, is the UK’s standalone medicines and medical devices regulator. As a result of the Ireland/Northern Ireland Protocol, different rules applied in Northern Ireland than in England, Wales, and Scotland, together, Great Britain (“GB”); which continued to follow the EU regulatory regime. However, on January 1, 2025, an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medicinal products.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MAs in the UK are governed by the Human Medicines Regulations (SI 2012/1916), as amended. In order to use the EU centralized procedure to obtain an MA that will be valid throughout the EEA, companies must be established in the EEA. Therefore, since Brexit, companies established in the UK cannot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Applications are governed by the Human Medicines Regulations (SI 2012/1916) and are made electronically through the MHRA Submissions Portal. The MHRA has introduced changes to national licensing procedures, including procedures to prioritize access to new medicinal products that will benefit patients, including a 150-day assessment (subject to clock-stops) and a rolling review procedure. In addition, an international recognition framework, or IRP, has been in place since January 1, 2024, whereby the MHRA will have regard to decisions on the approval of MAs made by the EMA and certain other regulators when determining an application for a new UK MA. Pursuant to the IRP, the MHRA will take into account the expertise and decision-making of trusted regulatory partners (e.g., the regulators in Australia, Canada, Switzerland, Singapore, Japan, the U.S. and the EU). The MHRA will conduct a targeted assessment of IRP applications but retain the authority to reject applications if the evidence provided is considered insufficiently robust. The IRP allows medicinal products approved by such trusted regulatory partners that meet certain criteria to undergo a fast-tracked MHRA review to obtain and/or update an MA in the UK. Applications should be decided within a maximum of 60 days if there are no major objections identified that cannot be resolved within such 60-day period and the approval from the trusted regulatory partner selected has been granted within the previous 2 years or if there are such major objections identified or such approval has not been granted within the previous 2 years within 110 days. Applicants can submit initial MAAs to the IRP but the procedure can also be used throughout the lifecycle of a product for post-authorization procedures including line extensions, variations and renewals. In the UK, the initial duration of an MA is five years and following renewal will be valid for an unlimited period unless the MHRA decides on justified grounds relating to pharmacovigilance, to proceed with only one additional five-year renewal. Any authorization which is not followed by the actual placing of the medicinal product on the market in the UK within three (3) years shall cease to be in force. 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and biological products, other healthcare regulatory laws restrict business practices in the biotechnology industry, which include, but are not limited to, anti-kickback, false claims, and transparency laws regarding drug pricing and payments and other transfers of value made to physicians and other healthcare providers.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reduced-price items and services. Further, a person or entity does not need to have actual knowledge of the statute or specific intent to violate it to have committed a violation. Many states have similar laws that apply to their state healthcare programs as well as private payors.</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False Claims Act, or FCA, imposes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In addition, the government may assert that a claim including items or services resulting from a violation of the Anti-Kickback Statute constitutes a false or fraudulent claim for purposes of the False Claims Act. Actions under the FCA may be brought by the Attorney General or as a qui tam action by a private individual in the name of the government. The federal government is using the FCA, and the accompanying threat of significant liability, in its investigation and prosecution of pharmaceutical and biotechnology companies throughout the country, and has obtained multi-million and multi–billion-dollar 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for each wrongful act. Moreover, in certain cases, providers who routinely waive copayments and deductibles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line="255" w:lineRule="auto"/>
        <w:rPr>
          <w:sz w:val="20"/>
          <w:szCs w:val="20"/>
          <w:color w:val="auto"/>
        </w:rPr>
      </w:pPr>
      <w:r>
        <w:rPr>
          <w:rFonts w:ascii="Times New Roman" w:cs="Times New Roman" w:eastAsia="Times New Roman" w:hAnsi="Times New Roman"/>
          <w:sz w:val="18"/>
          <w:szCs w:val="18"/>
          <w:color w:val="auto"/>
        </w:rPr>
        <w:t>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Office of Inspector General of the Department of Health and Human Services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addition, there has been a recent trend of increased federal and state regulation of payments made to physicians and other healthcare providers. The ACA, among other things, imposed new reporting requirements through the Physician Payments Sunshine Act on certain manufacturers of drugs covered by a federal healthcare program for payments made by them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Manufacturers must submit reports by the 90th day of each calendar year. Certain states also mandate implementation of compliance programs, impose restrictions on drug manufacturer marketing practices and/or require the tracking and reporting of gifts, compensation and other remuneration to physicians, and pricing information and marketing expenditures.</w:t>
      </w:r>
    </w:p>
    <w:p>
      <w:pPr>
        <w:spacing w:after="0" w:line="65"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Violations of any of such laws or any other governmental regulations that apply to drug manufacturers may result in significant penalties, including, without limitation, administrative, civil and criminal penalties, damages, fines, disgorgement, the curtailment or restructuring of operations, exclusion from participation in federal and state healthcare programs, reporting obligations and integrity oversight, and imprisonment.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6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products will face challenges. Pricing of prescription pharmaceuticals is subject to governmental control in many countries. Pricing negotiations with governmental authorities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100"/>
        <w:spacing w:after="0" w:line="253" w:lineRule="auto"/>
        <w:rPr>
          <w:sz w:val="20"/>
          <w:szCs w:val="20"/>
          <w:color w:val="auto"/>
        </w:rPr>
      </w:pPr>
      <w:r>
        <w:rPr>
          <w:rFonts w:ascii="Times New Roman" w:cs="Times New Roman" w:eastAsia="Times New Roman" w:hAnsi="Times New Roman"/>
          <w:sz w:val="18"/>
          <w:szCs w:val="18"/>
          <w:color w:val="auto"/>
        </w:rPr>
        <w:t>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 priced markets exert a commercial pressure on pricing within a country.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In the United States, there have been a number of federal and state proposals regarding the pricing of pharmaceutical and biological products, government control and other changes to the healthcare system. It is uncertain what legislative or regulatory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5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By way of example, the ACA was enacted in 2010, which, among other things, includes changes to the coverage and payment for pharmaceutical and biological products under government health care programs. Among other things, the ACA:</w:t>
      </w:r>
    </w:p>
    <w:p>
      <w:pPr>
        <w:spacing w:after="0" w:line="54" w:lineRule="exact"/>
        <w:rPr>
          <w:sz w:val="20"/>
          <w:szCs w:val="20"/>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an annual, nondeductible fee payable by an entity that manufactures or imports specified branded prescription drugs and biologic agents;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statutory minimum rebates a manufacturer must pay under the Medicaid Drug Rebate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manufacturer Medicaid drug rebate liability from fee-for-service utilization to include Medicaid managed care utilization;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entity types eligible for participation in the 340B drug pricing program; and</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For example, the Budget Control Act of 2011, enacted in August 2011, among other things, included reductions of Medicare payments to providers, which went into effect in April 2013 and, due to subsequent legislative amendments, will remain in effect through 2032, unless additional Congressional action is taken. In January 2013, the American Taxpayer Relief Act of 2012 was signed into law, which, among other things, further reduced Medicare payments to several types of providers, including hospitals, and increased the statute of limitations period for the government to recover overpayments to providers from three to five years. In addition, the American Rescue Plan Act of 2021 eliminated the statutory cap on drug manufacturers' Medicaid drug rebate program liability, beginning January 1, 2024. The rebate was previously capped at 100% of a drug’s AMP.</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The Inflation Reduction Act (“IRA”) was enacted in 2022.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(which began in 2024); and replaces the Part D coverage gap discount program with a new discounting program (which began in 2025). CMS has published the negotiated prices for the initial ten drugs, which went into effect in January 2026, and the subsequent 15 drugs, which will first be effective in 2027. CMS has also published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8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76"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which ultimately may attempt to impose price limits on certain drugs in these states, and at least one state board is imposing an upper payment limit.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our investigational products that receive approval. Adoption of other new legislation or regulation at the federal, state, or foreign level could further limit reimbursement for pharmaceuticals, including our product candidates if approved.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may also be subject to U.S. federal, state and foreign laws, regulations and standards governing the collection, use, access to, confidentiality, and security of health-related and other personal information, that could apply now or in the future to our operations or the operations of our partners. Numerous federal and state laws and regulations, including data breach notification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health information privacy and security laws and consumer protection laws and regulations, govern the collection, use, disclosure, and protection of health-related and other personal information.</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we had 66 full-time permanent employees, which included 14 employees in operations and administration and 52 employees in research and development (which includes clinical and manufacturing). Following the implementation of cost reduction actions in February 2026, our headcount was further reduced to 45 employees, including 13 in operations and administration and 32 employees in research and development as of March 1, 2026. None of our employees in the U.S. are currently represented by a labor union or covered by collective bargaining agreements, and we believe our relationship with our employees is good.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Development</w:t>
      </w:r>
    </w:p>
    <w:p>
      <w:pPr>
        <w:spacing w:after="0" w:line="12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consider the intellectual capital, skills and experience of our employees to be an essential driver of our business and key to our future prospects. We face intense competition for qualified individuals from numerous pharmaceutical and biotechnology companies, universities, governmental entities and other research institutions, and we believe that our future success will depend in large part on our continued ability to attract and retain highly skilled employees. To attract qualified applicants to our company and retain our employees, we offer a total rewards package consisting of base salary and cash target bonus targeting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the market based on geography, a comprehensive benefit package and equity compensation for every employee. Annual cash bonus opportunity and equity compensation increase as a percentage of total compensation based on level of responsibility. Any actual bonus payout is based on a combination of individual performance and corporate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and Belonging</w:t>
      </w:r>
    </w:p>
    <w:p>
      <w:pPr>
        <w:spacing w:after="0" w:line="121"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We also believe that our long-term success and ability to deliver innovative, safe, and effective medicines to patients requires an inclusive workforce. We work to identify ways to attract, develop, and retain talent from all backgrounds and help foster a stronger sense of belonging for all employees. In addition, we strive to engender an open culture of mutual respect, and one that values employees’ health and well-being. We support employee development in a variety of ways including leadership training to build people manager capabilities, ongoing performance and development conversations, and tuition reimbursement. Our management reports to our Board on human capital management topics, including as relevant: corporate culture, workforce inclusion and belonging, employee development and retention, and compensation and benefits.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101 Cambridgepark Drive, Cambridge, Massachusetts 02140 and our telephone number is (617) 945-9626. Our website address is </w:t>
      </w:r>
      <w:r>
        <w:rPr>
          <w:rFonts w:ascii="Times New Roman" w:cs="Times New Roman" w:eastAsia="Times New Roman" w:hAnsi="Times New Roman"/>
          <w:sz w:val="18"/>
          <w:szCs w:val="18"/>
          <w:i w:val="1"/>
          <w:iCs w:val="1"/>
          <w:color w:val="auto"/>
        </w:rPr>
        <w:t>www.serestherapeutics.com</w:t>
      </w:r>
      <w:r>
        <w:rPr>
          <w:rFonts w:ascii="Times New Roman" w:cs="Times New Roman" w:eastAsia="Times New Roman" w:hAnsi="Times New Roman"/>
          <w:sz w:val="18"/>
          <w:szCs w:val="18"/>
          <w:color w:val="auto"/>
        </w:rPr>
        <w:t>. The information contained in, or accessible through, our website does not constitute a part of this Annual Report on Form 10-K.</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or the Exchange Act, and, accordingly, file reports, proxy statements and other information with the Securities and Exchange Commission, or SEC. The SEC maintains a web site (http://www.sec.gov) that contains material regarding issuers that file electronically, such as ourselves, with the SEC.</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Accordingly, in evaluating our business, you should carefully consider the risk factors discussed below, as well as the other information included or incorporated by reference in this Annual Report on Form 10-K, including our consolidated financial statements and the related notes and “Management’s Discussion and Analysis of Financial Condition and Results of Operations.” The occurrence of any of the events or developments described below or elsewhere in this report could harm our business, financial condition, results of operations or growth prospects.</w:t>
      </w:r>
    </w:p>
    <w:p>
      <w:pPr>
        <w:spacing w:after="0" w:line="7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Based on our currently available cash resources, and considering our future operating plans, we anticipate that we will require additional funding following the third quarter of 2026. The ability to obtain additional equity or other financing, including through partnerships, with terms favorable or acceptable to us cannot be considered probable according to the applicable accounting standards because they are outside our control. Therefore, there is substantial doubt about our ability to continue as a going concern for at least 12 months from the date that our consolidated financial statements for the year ended December 31, 2025 were issued. Substantial doubt about our ability to continue as a going concern may materially and adversely affect the price per share of our common stock, and it may be more difficult for us to obtain financing or enter into a partnership. If potential collaborators or partners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 We have prepared our consolidated financial statements on a going concern basis, which contemplates the realization of assets and the satisfaction of liabilities and commitments in the normal course of business. Our audited consolidated financial statements included in this Annual Report on Form 10-K do not include any adjustments to reflect the possible inability of the Company to continue as a going concern within 12 months after the issuance of such financial statements.</w:t>
      </w:r>
    </w:p>
    <w:p>
      <w:pPr>
        <w:spacing w:after="0" w:line="7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in order to advance development of our product candidates (including to conduct the planned Phase 2 study of SER-155 in allo-HSCT and to advance our earlier stage programs) and commercialize our product candidates, if approved. If we are unable to raise capital or secure a partnership or other business development transaction, we could be required to implement further cost-reduction measures, reduce or delay our product development programs or any potential future commercialization efforts, or pursue other alternatives which could include seeking relief under the U.S. Bankruptcy Code or winding down our operations.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expenses may increase in connection with our ongoing activities, particularly if we further SER-155 clinical studies, and research, develop and initiate clinical trials of our product candidates. In addition, if we obtain marketing approval for any of our product candidates, we expect to incur costs related to product manufacturing and commercialization, including marketing, sales and distribution, and may not generate meaningful product revenues or collaboration profit in the near future. Furthermore, we have incurred and expect to continue to incur additional costs associated with operating as a public company. Accordingly, we will need to obtain substantial additional funding in connection with our continuing operations. If we are unable to raise capital or secure a partnership when needed or on attractive terms, we could be forced to reduce or delay our product development programs or potential future commercialization efforts, or pursue other alternatives, which could include seeking relief under the U.S. Bankruptcy Code or winding down our operations.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actively seeking a business development transaction, which may include a partnership, to provide financial support and share in our vision to realize the clinical and commercial value of SER-155. Our strategic discussions are focused on supporting SER-155 clinical advancement to reduce the risk of bloodstream infections, including life-threatening and AMR infections, in medically vulnerable patient populations. We believe that SER-155 and other cultivated live biotherapeutic candidates could be developed in additional patient populations beyond allo-HSCT, including autologous-HSCT patients, cancer patients with neutropenia, CAR-T recipients, individuals with chronic liver disease, solid organ transplant recipients, as well as patients in the intensive care unit and long-term acute care facilities. We are also exploring collaborations to advance the development of our investigational biotherapeutics in inflammatory and immune diseases, including ulcerative colitis and Crohn’s disease.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4" w:name="page35"/>
    <w:bookmarkEnd w:id="34"/>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 Our future capital requirements will depend on many factors, including:</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our pipeline product candidates, including SER-603 in IBD and SER-155 in irEC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conducting clinical trials for SER-155 in allo-HSCT and other targeted indications, and other product candidates in our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Milestone Payments we may receive from the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 research activities;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revenue, if any, of potential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Additionally, market volatility resulting from current macroeconomic conditions, such as the conflicts involving Ukraine and Russia and Israel and its surrounding regions, trade wars or related uncertainty between the U.S. and other nations, including China, or other governmental action related to tariffs or international trade agreements or policies, and related impacts,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any product candidates, or be unable to expand our operations or otherwise capitalize on our business opportunities, as desired, which could materially adversely affect our business, financial condition and results of operations. We may pursue strategic partnerships or collaborations or other alternatives with one or more parties. We can provide no assurance that we will be successful in securing any strategic partnership, collaboration, or alternative, or that any such partnership, collaboration or alternative that we secure will achieve its intended benefits or have a positive impact on our financial condition or business.</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company and have incurred significant losses since our inception. We expect to incur losses for the foreseeable future and may never achieve or maintain profitability.</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5" w:name="page36"/>
    <w:bookmarkEnd w:id="35"/>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loss from operations was $94.0 million, $121.3 million, and $195.1 million for the years ended December 31, 2025, 2024, and 2023, respectively. As of December 31, 2025, we had cash and cash equivalents totaling $45.8 million and an accumulated deficit of $972.4 million. As noted elsewhere in this Annual Report on Form 10-K, we have identified conditions and events that raise substantial doubt about our ability to continue as a going concern. To date, we have financed our operations through the public offerings of our common stock, private placements of our common stock and preferred stock, payments under our prior collaboration agreements and loan facility and payments from government entities for research grants. We have devoted substantially all of our financial resources and efforts to developing our live biotherapeutics platform, identifying potential product candidates and conducting preclinical studies and clinical trials. We have only developed one FDA-approved product, VOWST, which was sold to SPN in September 2024. We have not completed development of any of our other product candidates, which we call live biotherapeutic candidates, or other drugs or biologics. We expect to continue to incur significant expenses and operating losses for the foreseeable future. Our expenses may increase substantially in connection with our ongoing and future activities, particularly if and as we:</w:t>
      </w:r>
    </w:p>
    <w:p>
      <w:pPr>
        <w:spacing w:after="0" w:line="86"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early-stage pipeline product candidates, including SER-603 in IBD and SER-155 in irEC;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for SER-155 in patients receiving allo-HSCT and for other medically vulnerable populations;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activities supported by partnerships;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extensive proprietary live biotherapeutic drug development know-how that may be used to support future research and development efforts, including our intellectual property portfolio and intellectual property that we may opportunistically acquire;</w:t>
      </w:r>
    </w:p>
    <w:p>
      <w:pPr>
        <w:spacing w:after="0" w:line="53"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and distribution infrastructure and scale-up manufacturing capabilities to commercialize any products for which we have obtained and in the future may obtain regulatory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any agreements with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have already obtained and may in the future obtain regulatory approval. We are in the preliminary stages of many of these activities. We may never succeed in these activities and, even if we do, may never generate revenue that is significant enough to achieve profitability.</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secure a partnership, expand our business, maintain our research and development and any potential future commercialization efforts, diversify our product offerings or even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Other than with respect to VOWST, which was sold to SPN in September 2024, we have not yet demonstrated our ability to obtain regulatory approvals, and we have limited experience in demonstrating our ability to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including for example, the impact of the sale of our VOWST Business to SPN, many of which are beyond our control. Consequently, any predictions made about our future success or viability may not be as accurate as they could be if we had a longer operating history.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total amount of the Milestone Payments we may receive from the Transaction is subject to various risks and uncertainties.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Closing, SPN assumed certain liabilities with respect to the VOWST Business and agreed to pay to us, among other payments: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 million, which was received on January 15, 2025, and $25 million, which was received July 1, 2025, (offset by $1.4 million paid by us to Nestl</w:t>
      </w:r>
      <w:r>
        <w:rPr>
          <w:rFonts w:ascii="Times New Roman" w:cs="Times New Roman" w:eastAsia="Times New Roman" w:hAnsi="Times New Roman"/>
          <w:sz w:val="18"/>
          <w:szCs w:val="18"/>
          <w:color w:val="212529"/>
        </w:rPr>
        <w:t>é</w:t>
      </w:r>
      <w:r>
        <w:rPr>
          <w:rFonts w:ascii="Times New Roman" w:cs="Times New Roman" w:eastAsia="Times New Roman" w:hAnsi="Times New Roman"/>
          <w:sz w:val="18"/>
          <w:szCs w:val="18"/>
          <w:color w:val="auto"/>
        </w:rPr>
        <w:t xml:space="preserve"> on July 1, 2025 related to certain employment obligations assumed by SPN, as described below), conditioned on our material compliance with obligations under the TSA entered into at Closing between us and NESA;</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 million Prepaid Milestone tied to the achievement of the First Sales Milestone of worldwide annual net sales of the Product of $150 million, which was paid in cash at Closing,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and</w:t>
      </w:r>
    </w:p>
    <w:p>
      <w:pPr>
        <w:spacing w:after="0" w:line="7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 million tied to the achievement of worldwide annual net sales of the Product of $400 million and (y) $150 million tied to the achievement of worldwide annual net sales of the Product of $750 million, during the Milestone Period from Closing until December 31 of the calendar year in which the tenth anniversary of Closing occurs.</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(1) first, by set-off against all accrued interest on the Prepaid Milestone, (2) second, by set-off against the outstanding balance of the Prepaid Milestone until the Prepaid Milestone has been repaid in full and (3) thereafter, in cash. If any amount of the Prepaid Milestone (and any accrued interest thereon) remains outstanding as of following the last day of the Milestone Period, the balance thereof (together with any interest accrued thereon) will be forgiven and the right of set-off of SPN with respect thereto will be deemed forfeited. The installment payment received on July 1, 2025 was offset by $1.4 million we paid to Nestl</w:t>
      </w:r>
      <w:r>
        <w:rPr>
          <w:rFonts w:ascii="Times New Roman" w:cs="Times New Roman" w:eastAsia="Times New Roman" w:hAnsi="Times New Roman"/>
          <w:sz w:val="18"/>
          <w:szCs w:val="18"/>
          <w:color w:val="212529"/>
        </w:rPr>
        <w:t>é</w:t>
      </w:r>
      <w:r>
        <w:rPr>
          <w:rFonts w:ascii="Times New Roman" w:cs="Times New Roman" w:eastAsia="Times New Roman" w:hAnsi="Times New Roman"/>
          <w:sz w:val="18"/>
          <w:szCs w:val="18"/>
          <w:color w:val="auto"/>
        </w:rPr>
        <w:t xml:space="preserve"> on the same date related to certain employment obligations assumed by SPN through the period prior to the Closing Date. Further, during the Profit Sharing Period, we and SPN shared 50/50 in the net profit or net loss achieved during the period.</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Milestone Payments are subject to various risks and uncertainties. The Milestone Payments are based on the achievement of specified worldwide net sales targets for the Product. Interest on the Prepaid Milestone will accrue and will reduce any corresponding Milestone Payments based on the length of time it takes to achieve the milestones. It is not possible to determine with precision as of the date of this Annual Report on Form 10-K the amount or timing of worldwide net sales the Product will generate in the future and, therefore, it is possible that certain of the Milestone Payments will not be earned or will be limited by lower Product net sales than anticipated. The specified worldwide net sales targets for the Product were based on certain assumptions about the future financial performance of the Product, and there can be no assurance that such projections will be achieved or that certain of the Milestone Payments will become payable.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the anticipated benefits of the Transaction, and we may face new challenges as a smaller, less diversified company.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realize the anticipated benefits from the Transaction, including deploying the proceeds from the Transaction to advance SER-155 and support our pipeline of wholly-owned cultivated live biotherapeutic candidates. Our ability to realize the anticipated benefits of the Transaction and the success of the remaining company is subject to various risks and uncertainties, including the possibility that we may not be able to successfully use our live biotherapeutics platform to build a pipeline of product candidates and develop additional marketable drugs, and the possibility that we will not be able to obtain, or experience delays in obtaining, required regulatory approvals.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Transaction resulted in the Company being a smaller, less diversified company with a more limited remaining business concentrated on SER-155, which recently completed a Phase 1b study in patients undergoing allogeneic hematopoietic stem cell transplantation, and our other wholly-owned cultivated live biotherapeutic candidates. As a result, we may be more susceptible to changing market conditions, including fluctuations and risks particular to preclinical and clinical-stage companies, than a more diversified company, which could adversely affect our remaining business, financial condition and results of operations. In addition, the diversification of our costs and cash flows diminished following the Transaction, such that our results of operations, cash flows, working capital and financing requirements may be subject to increased volatility and our ability to fund capital expenditures and investments or satisfy other financial commitments may be diminished.</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will need to secure additional funding to maintain operations beyond our current cash runway. Based on our currently available cash resources, and considering our future operating plans, we anticipate that we will require additional funding following the third quarter of 2026. However, due to our smaller business size and the early stage of development of our remaining assets, there can be no assurance that we will be able to raise the required capital on favorable terms, or at all. This potential inability to obtain necessary funding could have a material adverse effect on our growth prospects, financial condition, and results of operations.</w:t>
      </w:r>
    </w:p>
    <w:p>
      <w:pPr>
        <w:spacing w:after="0" w:line="7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may also face new challenges with maintaining employee morale and retaining key management and other employees and retaining existing business and operational relationships, including with third parties, employees and other counterparties that otherwise prefer to transact with larger companies (or will only transact with smaller companies on less favorable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as to the use of the proceeds from the Transaction, and may not use the proceeds effectively.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were obligated to use the proceeds from the completion of the Transaction to fully repay our indebtedness under our prior credit facility with Oaktree Capital Management ("Oaktree"). We have broad discretion with respect to the use of the remaining proceeds of the Transaction, including to support the further advancement of SER-155 and our other cultivated live biotherapeutic product candidates. The results and effectiveness of the use of proceeds are uncertain, and we could spend the proceeds in ways that do not improve our remaining business, financial condition or results of operations. Our failure to apply these funds effectively could have an adverse effect on its business, financial condition and results of operations.</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of our product candidates and may not be successful in our efforts to use our reverse translational platform to build a pipeline of product candidates and develop additional marketable drugs.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using our reverse translational platform to develop live biotherapeutic candidates. We are at an early stage of development of our product candidates and our platform may never lead to approvable or marketable drugs. We are developing product candidates that are designed to reduce infection and treat diseases where the microbiome is implicated. We may have problems applying our technologies to these areas, and our product candidates may not be effective in reducing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if approved, achieve market acceptance.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the following:</w:t>
      </w:r>
    </w:p>
    <w:p>
      <w:pPr>
        <w:spacing w:after="0" w:line="11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clinical trials with positive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our own, commercial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collaborations throughout the development process as appropriate, from preclinical studies through to commercialization;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third-party payors, including government payors, for our product candidates,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without infringing or violating the valid and enforceable patents or other intellectual property of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if approved, following approval; and</w:t>
      </w:r>
    </w:p>
    <w:p>
      <w:pPr>
        <w:spacing w:after="0" w:line="117"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and commercialize our product candidates and technology.</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If we or our collaborators do not successfully develop and commercialize our product candidates we will not be able to obtain product revenue or collaboration profit in future periods, which likely would result in significant harm to our financial position and adversely affect our stock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live biotherapeutics, which is a novel approach to therapeutic intervention.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candidates are based on live biotherapeutics, a novel class of biological drugs, which are designed to treat disease by modulating the microbiome to restore health by repairing the function of a disrupted microbiome to a non-disease state. To our knowledge, VOWST is the first oral product based on this approach to receive FDA approval. We cannot be certain that our approach will lead to the development of additional approvable or marketable products or that we will be able to manufacture at commercial scale. Finally, the FDA or other regulatory authorities may lack experience in evaluating the safety and efficacy of novel product candidates based on live biotherapeutics, which could result in a longer than expected regulatory review process, increase our expected development costs and delay or prevent any potential future commercialization of our product candidates.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8" w:name="page39"/>
    <w:bookmarkEnd w:id="38"/>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potential future commercialization of our product candidates.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and our clinical trials may not be successful.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or other regulatory authorities, will require us to conduct before we may successfully gain approval to market any of our product candidates. Prior to approving a new therapeutic product, the FDA (or other regulatory authorities) generally requires that safety and efficacy, or with respect to biological products such as our live biotherapeutic candidates, safety, purity and potency,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2"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19"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reaching agreement on acceptable clinical trial contracts or clinical trial protocols with prospective trial sites;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760" w:right="8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for approving our product candidates,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any current or future collaborators, our collaborators may face any of the above issues, and may conduct clinical trials in ways they view as advantageous to them but potentially suboptimal for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support of current or any future collaborators, requiring us to bear more of the burden of development of certain compounds;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 or desire;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These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IRBs or ethics committees for reexamination, which may impact the costs, timing or successful completion of a clinical trial. Additional clinical trials or changes in our development plans could cause us to incur significant development costs, delay or prevent the potential future commercialization of our product candidates or otherwise adversely affect our business.</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suspension of, or a delay in the commencement or completion of, clinical trials may also ultimately lead to the denial of regulatory approval of a product candidate.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with respect to clinical trials. For instance, the regulatory landscape related to clinical trials in the European Union, or EU, recently evolved. The EU Clinical Trials Regulation, or CTR, which was adopted in April 2014 and repeals the EU Clinical Trials Directive, became applicable on January 31, 2022. While the EU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contract research organizations, or CROs, may impact our developments plans.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the now-repealed EU Clinical Trials Directive (as implemented into UK law, through the Medicines for Human Use (Clinical Trials) Regulations 2004, as amended). In April 2025, the UK government adopted the Medicines for Human Use (Clinical Trials) Amendment Regulations. The amendment, which will take full effect in April 2026, aims to provide a more flexible regime to make it easier to conduct clinical trials in the UK, increase the transparency of clinical trials conducted in the UK and make clinical trials more patient centered.</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business may be impacted.</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of patients in clinical trials, could result in our receipt of necessary regulatory approvals being delayed or prevented.</w:t>
      </w:r>
    </w:p>
    <w:p>
      <w:pPr>
        <w:spacing w:after="0" w:line="5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 candidates. These trials and other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also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for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competing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or perceived burden, of the clinical study;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or a delayed rate of enrollment would result in significant delays and could require us to abandon one or more clinical trials altogether.</w:t>
      </w:r>
    </w:p>
    <w:p>
      <w:pPr>
        <w:spacing w:after="0" w:line="5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Adverse differences between interim data and final data could significantly harm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our business prospects. Further, disclosure of interim data by us or by our competitors could result in volatility in the price of our common stock.</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or any collaborators will not be able to commercialize our product candidates or will not be able to do so as soon as anticipated, and our ability to generate revenue will be materially impaired.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future commercialization, including their design, testing, manufacture, safety, efficacy, recordkeeping, labeling, storage, approval, advertising, promotion, sale and distribution, are subject to comprehensive regulation by the FDA and other regulatory agencies in the United States and similar regulatory authorities outside the United States. Failure to obtain marketing approval for a product candidate in any jurisdiction will prevent us and any collaborators from commercializing the product candidate in that jurisdiction and may affect our plans for potential future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or with respect to biologics such as our live biotherapeutic candidates, safety, purity and potency.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live biotherapeutic candidates.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authority’s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For instance, the EU pharmaceutical legislation has been undergoing a complete review process, in the context of the Pharmaceutical Strategy for Europe initiative, launched by the European Commission in November 2020. The European Commission’s proposal for revision of several legislative instruments related to medicinal products was published on April 26, 2023. The proposed changes were since discussed and negotiated by the European Parliament and the Council of the EU as part of the EU ordinary legislative process. A provisional agreement has been reached by the European Parliament and Council of the EU on the proposed revisions on December 11, 2025. The proposed revisions (affecting the duration of regulatory data protection and market protection, including for orphan medicinal products, revising the eligibility for expedited pathways, etc.) remain to be formally adopted by the two institutions, which is not anticipated before early 2026. The proposed changes are not expected to enter into application before 2028 and may however have a significant impact on the biopharmaceutical industry in the long term.</w:t>
      </w:r>
    </w:p>
    <w:p>
      <w:pPr>
        <w:spacing w:after="0" w:line="8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regulatory authorities have substantial discretion in the approval process and may refuse to accept or file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Furthermore, our product candidates may not receive marketing approval even if they achieve their specified endpoints in clinical trials. Clinical data are often susceptible to varying interpretations and many companies that have believed that their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ind w:right="100"/>
        <w:spacing w:after="0" w:line="258" w:lineRule="auto"/>
        <w:rPr>
          <w:sz w:val="20"/>
          <w:szCs w:val="20"/>
          <w:color w:val="auto"/>
        </w:rPr>
      </w:pPr>
      <w:r>
        <w:rPr>
          <w:rFonts w:ascii="Times New Roman" w:cs="Times New Roman" w:eastAsia="Times New Roman" w:hAnsi="Times New Roman"/>
          <w:sz w:val="18"/>
          <w:szCs w:val="18"/>
          <w:color w:val="auto"/>
        </w:rPr>
        <w:t>performed satisfactorily in clinical trials have nonetheless failed to obtain regulatory authority approval for their products. The FDA or foreign regulatory authorities may disagree with our trial design and our interpretation of data from nonclinical and clinical studies, or they may require additional confirmatory or safety evidence beyond our existing clinical studies. Upon the FDA’s review of data from any pivotal trial, it may request that the sponsor conduct additional analyses of the data or gather more data and, if it believes the data are not satisfactory, could advise the sponsor to delay submitting a marketing application.</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biologics license application, or BLA, or foreign marketing authorization for one of our product candidates, the FDA or the applicable foreign regulatory authority may grant approval contingent on the performance of costly additional clinical trials, which may be required after approval. The FDA or the applicable foreign regulatory authority may also approve our product candidates for a more limited indication and/or a narrower patient population than we originally request, and the FDA, or applicable foreign regulatory authority, may not approve the labeling that we believe is necessary or desirable for the successful potential future commercialization of our product candidates. Any delay in obtaining, or inability to obtain, applicable regulatory approval would delay or prevent potential commercialization of our product candidates and would materially adversely impact our business and prospects.</w:t>
      </w:r>
    </w:p>
    <w:p>
      <w:pPr>
        <w:spacing w:after="0" w:line="81"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The development of therapeutic products targeting the underlying biology of the human microbiome is an emerging field, and it is possible that the FDA and other regulatory authorities could issue regulations or new policies in the future that could adversely affect our live biotherapeutic candidates.</w:t>
      </w:r>
    </w:p>
    <w:p>
      <w:pPr>
        <w:spacing w:after="0" w:line="3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and may in the future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Fast Track designation. We received Fast Track designation for SER-155 to reduce the risk of infection and GvHD in patients undergoing allo-HSCT. Fast Track designation applies to the combination of the product candidate and the specific indication for which it is being studied. Once granted, Fast Track designation provides increased opportunities for sponsor meetings with the FDA during preclinical and clinical development, and a BLA submitted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application.</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and even if we believe another particular product candidate is eligible for this designation, we cannot be certain that the FDA would decide to grant it.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or other similar designations by the FDA for our product candidates may not lead to a faster development, regulatory review or approval process, and it does not increase the likelihood that our product candidates will receive marketing approval.</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December 2024, we received Breakthrough Therapy designation for SER-155 for the reduction of BSIs in patients 18 years and older undergoing allo-HSCT. We may seek these or other designations for future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or biologics that have been designated as breakthrough therapies, interaction and communication between the FDA and the sponsor can help to identify the most efficient path for clinical development. Drugs designated as breakthrough therapies by the FDA also receive all of the Fast Track program features, including eligibility for rolling review of the associated marketing application.</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a Breakthrough Therapy designation for any future designation we receive is no longer supported by subsequent data, the FDA may rescind the designation.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by EMA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European Medicines Agency’s, or EMA,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competent regulatory authorities in the EU have broad discretion whether to grant such an accelerated assessment, and, even if such assessment is granted, we may not experience a faster development process, review or authorization compared to conventional procedures. Moreover, the removal or threat of removal of such an accelerated assessment may create uncertainty or delay in the clinical development of our product candidates and threaten the commercialization prospects of our product candidates, if approved. Such an occurrence could materially impact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but may not be able to obtain it.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seek orphan drug designation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if a product with an orphan drug designation subsequently receives the first marketing approval for the disease or condition for which it has such designation, the product is entitled to a period of marketing exclusivity, which precludes the FDA or other regulatory authorities from approving another marketing application for the same drug and same disease or condition during that time period, except in limited circumstances, such as a showing of clinical superiority over the product with orphan exclusivity or where the manufacturer is unable to assure sufficient product quantity for the orphan patient population. The applicable period is seven years in the United States and ten years in the EU. The European exclusivity period can be reduced to six years if, at the end of the fifth year, it is established that a product no longer meets the criteria for orphan designation, if the product is sufficiently profitable so that market exclusivity is no longer justified, or the prevalence of the condition has increased above the orphan designation threshold. Orphan drug exclusivity may be lost if the FDA or other regulatory authorities determine that the request for designation was materially defective or if the manufacturer is unable to assure a sufficient quantity of the drug or biologic to meet the needs of patients with the rare disease or condition.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for a product may not effectively protect the product from competition because different drugs and biologics can be approved for the same disease or condition. Even after an orphan drug or biologic is approved, the FDA or other regulatory authorities can subsequently approve the same drug or biologic for the same disease or condition if the FDA or other regulatory authorities conclude that the later drug is clinically superior in that it is shown to be safer, more effective or makes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ind w:right="480"/>
        <w:spacing w:after="0" w:line="282" w:lineRule="auto"/>
        <w:rPr>
          <w:sz w:val="20"/>
          <w:szCs w:val="20"/>
          <w:color w:val="auto"/>
        </w:rPr>
      </w:pPr>
      <w:r>
        <w:rPr>
          <w:rFonts w:ascii="Times New Roman" w:cs="Times New Roman" w:eastAsia="Times New Roman" w:hAnsi="Times New Roman"/>
          <w:sz w:val="18"/>
          <w:szCs w:val="18"/>
          <w:color w:val="auto"/>
        </w:rPr>
        <w:t>a major contribution to patient care. Orphan drug designation neither shortens the development time or regulatory review time nor gives the drug any advantage in the regulatory review or approval process.</w:t>
      </w:r>
    </w:p>
    <w:p>
      <w:pPr>
        <w:spacing w:after="0" w:line="5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ability of the FDA and other regulatory authorities to review and or approve new products can be affected by a variety of factors, including government budget and funding levels, statutory, regulatory, and policy changes, the FDA’s and other regulatory authorities' ability to hire and retain key personnel and accept the payment of user fees, and other events that may otherwise affect the FDA’s and other regulatory authorities'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regulatory authorities, such as the EMA, may also slow the time necessary for new drugs and biologics to be reviewed and/or approved by necessary regulatory authorities, which would adversely affect our business. For example, in recent years, the U.S. government has shut down several times and certain regulatory authorities,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occurs, or if funding shortages, staffing limitations, or changes in administrative policy delay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It could also impact our ability to access the public markets and obtain necessary capital in order to fund our operations.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and Manufacturing</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rely on third parties, such as CROs, clinical data management organizations, medical institutions and clinical investigators, to conduct and manage our clinical trials.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safety and welfare of trial participants are protected.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or similar regulatory requirements outside the United States.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data privacy and security laws. Other countries’ regulatory authorities also have requirements for clinical trials with which we must comply.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fines, adverse publicity and civil and criminal sanctions.</w:t>
      </w:r>
    </w:p>
    <w:p>
      <w:pPr>
        <w:spacing w:after="0" w:line="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potential commercialization of our products, if and when approved, producing additional losses and depriving us of potential product revenue.</w:t>
      </w:r>
    </w:p>
    <w:p>
      <w:pPr>
        <w:spacing w:after="0" w:line="6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aspects of the manufacture of our product candidates, and we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potential future commercialization efforts.</w:t>
      </w:r>
    </w:p>
    <w:p>
      <w:pPr>
        <w:spacing w:after="0" w:line="67"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potential future commercialization efforts.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rely on third-party manufacturers, which entails additional risks, including:</w:t>
      </w:r>
    </w:p>
    <w:p>
      <w:pPr>
        <w:spacing w:after="0" w:line="117"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perform the manufacturing process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specifications;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schedule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manufacturers at times that are costly or inconvenient for us.</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and when approved. If our manufacturers are unable to comply with cGMP regulation or similar regulatory requirements outside the United States or if the FDA or other regulatory authorities do not approve their facility upon a pre-approval inspection, our therapeutic candidates may not be approved or may be delayed in obtaining approval. In addition, there are a limited number of manufacturers that operate under cGMP regulations and similar regulatory requirements outside the United States that might be capable of manufacturing our products, if and when approved.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potential future commercialization of our product candidates.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Furthermore, if we breach or are perceived to breach our contractual obligations or otherwise default under our agreements with third parties, or if we otherwise have contractual disputes with such third parties, it may lead to adverse outcomes, including potential delays, unforeseen expenses, or the termination of those contracts. We do not currently have a second source for certain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potential future commercialization efforts.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Evaluation of our product candidates in investigator-sponsored clinical trials (ISTs) may expose us to additional risks that could impair the development of our product candidates.</w:t>
      </w:r>
    </w:p>
    <w:p>
      <w:pPr>
        <w:spacing w:after="0" w:line="5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currently supporting an IST with Memorial Sloan Kettering Cancer Center to evaluate SER-155 in patients with immune checkpoint related enterocolitis, and may in the future support other ISTs for our product candidates that are designed and managed by independent investigators or institutions. While we believe these clinical trials have the potential to provide supportive data that may further the development of our product candidates, we do not directly control the clinical development process, including, but not limited to, the initiation, enrollment, safety reporting, or conduct of these trials. As a result, ISTs may be subject to significant delays, fail to comply with GCPs or other regulatory requirements, be terminated prematurely by the investigator or applicable IRBs or ethics committees, or produce data that is not useful for, or acceptable to, regulatory authorities for purposes of obtaining regulatory approval. ISTs may also identify safety or tolerability concerns that could adversely affect the development of our product candidates, including through the imposition of clinical holds, or otherwise subject us to liability. Moreover, if the data from any ISTs differ from the data we have observed in our sponsored clinical studies, such differences could potentially require us to conduct additional clinical trials or otherwise delay or prevent regulatory approval from the FDA or other regulatory authorities. Any of these factors could adversely impact our reputation, delay our development timelines, or negatively affect our development and commercialization efforts.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 candidates commercially, and we cannot assure you that we can manufacture our product candidates in compliance with regulations at a cost or in quantities necessary to make them commercially viable.</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manufacturing facilities at our Cambridge, Massachusetts locations where we conduct process development, scale-up activities, the manufacture of active components for our biotherapeutic candidates, and quality control testing. We additionally utilize third-party contract manufacturers and test labs to perform product packaging and additional quality control testing. We may or may not utilize existing facilities and third-party vendors for future production, including to support commercial scale supply. We have no experience in manufacturing our product candidates to meet potential market demands and we may not be able to develop commercial-scale manufacturing facilities that are adequate to produce materials for commercial use. The FDA and other comparable foreign regulatory authorities must, pursuant to inspections that are conducted after submitting a BLA or relevant foreign marketing submission, confirm that the manufacturing processes for the product meet cGMP or similar regulatory requirements outside the United States. We have not yet had our manufacturing facilities inspected for our product candidates.</w:t>
      </w:r>
    </w:p>
    <w:p>
      <w:pPr>
        <w:spacing w:after="0" w:line="8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Product Candidates and Other Legal Matters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fail to achieve the degree of market acceptance by physicians, patients, hospitals, third-party payors and others in the medical community necessary for commercial success.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Even if any of our product candidates receive marketing approval, our product candidates may nonetheless fail to gain sufficient market acceptance by physicians, patients, third-party payors and others in the medical community. If our product candidates (if and when they are approved) do not achieve an adequate level of acceptance, we may not become profitable. The degree of market acceptance of any of our product candidates, if approved, will depend on a number of factors, including:</w:t>
      </w:r>
    </w:p>
    <w:p>
      <w:pPr>
        <w:spacing w:after="0" w:line="7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efficacy, safety and other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products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them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their side effects and their overall safety profiles;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and when approved, together with other medications;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products, if and when approved, with other medicines patients are taking;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to take our products, if and when approved.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7" w:name="page48"/>
    <w:bookmarkEnd w:id="47"/>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sales, marketing and distribution capabilities or enter into agreements with third parties with such capabilities, we may not be successful in commercializing any of our product candidates if and when they are approved.</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employees with experience in sales and marketing, but we have limited sales or marketing infrastructure and, as a company, have little experience in the sale, marketing, and distribution of pharmaceutical products. To achieve commercial success for any other product for which we obtain marketing approval, we will need to establish a sales and marketing organization and we may not be successful in doing so.</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focused sales and marketing infrastructure, or certain components of such infrastructure, if we were to market our product candidates, if and when they are approved in the United States and potentially elsewhere. There are risks involved with establishing our own sales, marketing and distribution capabilities. For example, recruiting and training a sales force is expensive and time-consuming and could delay the launch of any approved product.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or any collaborators cannot retain or reposition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efforts to commercialize our product candidates, if and when approved, include:</w:t>
      </w:r>
    </w:p>
    <w:p>
      <w:pPr>
        <w:spacing w:after="0" w:line="11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physicians on the benefits of our products;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coverage and reimbursement from third-party payors and governmental agencies.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we intend to rely and may increasingly rely on third parties to sell, market and distribute our product candidates, if and when approved. We may not be successful in entering into arrangements with such third parties or may be unable to do so on terms that are favorable to us. In addition,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 candidates, if and when they are approved, effectively. If we do not establish sales, marketing and distribution capabilities successfully, either on our own or in collaboration with third parties, we will not be successful in commercializing our product candidates.</w:t>
      </w:r>
    </w:p>
    <w:p>
      <w:pPr>
        <w:spacing w:after="0" w:line="7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or commercialization of products, including live biotherapeutics, for disease indications we are targeting. Some of these competitive products and therapies are based on scientific approaches that are the same as or similar to our approach, and others may be based on entirely different approaches.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80"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72"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8" w:name="page49"/>
    <w:bookmarkEnd w:id="48"/>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have or may in the future develop. Our competitors also may obtain FDA or other regulatory approval for their product candidates more rapidly than we may obtain approval for ours, which could result in our competitors establishing a strong market position before we are able to enter the market, especially for any competitor developing a live biotherapeutic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product candidates, if approved, the products may become subject to unfavorable pricing regulations or third-party coverage and reimbursement policies, any of which would harm our business.</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commercialize any of our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Obtaining and maintaining adequate reimbursement for our product candidates may be difficult. We cannot be certain if and when we will obtain an adequate level of reimbursement for our product candidates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potential royalties resulting from the sales of those products may also be adversely impacted.</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products that we may develop.</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an even greater risk with the commercial sale of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product candidates or products,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products that we develop, if any.</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occurrence limit of $10.0 million, which may not be adequate to cover all liabilities that we may incur. We may need to increase our insurance coverage as we expand our clinical trials, or if we commence commercialization of our product candidates, if and when approved.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which may have a material adverse impact on the future commercial prospects of our product candidates.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If we obtain approval or any of our product candidates,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four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though the FDA may not approve an application relying on such data for a further eight years.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8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also qualify for the 12-year period of reference product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EU,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can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 candidates. If competitors are able to obtain marketing approval for biosimilars referencing our product candidates, our product candidates may become subject to competition from such biosimilars, with the attendant competitive pressure and consequences.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121"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 candidates in the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remain subject to significant post-marketing regulatory requirements and oversight.</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and similar foreign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and similar foreign requirements. Accordingly, we, and any collaborator and others with whom we work, must continue to expend time, money and effort in all areas of regulatory compliance, including manufacturing, production and quality control.</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or other regulatory authorities may also impose requirements for costly post-marketing studies or clinical trials and surveillance to monitor the safety or efficacy of our approved products. The FDA or other regulatory authorities closely regulates the post-approval marketing and promotion of drugs and biologics to ensure they are marketed only for the approved indications and in accordance with the provisions of the approved labeling. Violations of the FDA’s and other regulatory authorities’ restrictions relating to the promotion of prescription drugs by us or any collaborators may also lead to investigations alleging violations of federal and state health care fraud and abuse laws, as well as state consumer protection laws.</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addition, if a regulatory authority, we or any collaborators later discover previously unknown problems with our product candidates, such as adverse events of unanticipated severity or frequency, problems with manufacturers or manufacturing processes, or failure to comply with regulatory requirements, the regulatory authority may impose restrictions on the products or us and any collaborators, including requiring withdrawal of the product from the market. Any failure by us or any collaborators to comply with applicable regulatory requirements may yield various results, including:</w:t>
      </w:r>
    </w:p>
    <w:p>
      <w:pPr>
        <w:spacing w:after="0" w:line="72"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 if and when they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products from the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potential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 if and when they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11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w:t>
      </w:r>
    </w:p>
    <w:p>
      <w:pPr>
        <w:spacing w:after="0" w:line="6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authorities actively enforce the laws and regulations prohibiting the promotion of off-label uses.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or any collaborators are found to have improperly promoted off-label uses of approved products, including any of our product candidates that may be approved in the future, we may become subject to significant liability. The FDA and other regulatory authorities strictly regulate the promotional claims that may be made about prescription products, such as our product candidates, if approved. In particular, a product may not be promoted for uses that are not approved by the FDA or such other regulatory authorities as reflected in the product’s approved labeling. Physicians may nevertheless prescribe a product candidate that is approved in future, if any, to their patients in a manner that is inconsistent with the approved label. If we or any collaborators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8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and any collaborators' relationships with customers, physicians and third-party payors are and will be subject to applicable anti-kickback, fraud and abuse and other healthcare laws and regulations, which could expose us or any collaborators to criminal sanctions, civil penalties, exclusion from governmental healthcare programs, contractual damages, reputational harm and diminished profits and future earnings.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and any collaborators'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any other products for which we may in the future obtain marketing approval. Restrictions under applicable federal and state healthcare laws and regulations include the following:</w:t>
      </w:r>
    </w:p>
    <w:p>
      <w:pPr>
        <w:spacing w:after="0" w:line="75" w:lineRule="exact"/>
        <w:rPr>
          <w:sz w:val="20"/>
          <w:szCs w:val="20"/>
          <w:color w:val="auto"/>
        </w:rPr>
      </w:pPr>
    </w:p>
    <w:p>
      <w:pPr>
        <w:ind w:left="760" w:right="20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left="760" w:right="420"/>
        <w:spacing w:after="0" w:line="282" w:lineRule="auto"/>
        <w:rPr>
          <w:sz w:val="20"/>
          <w:szCs w:val="20"/>
          <w:color w:val="auto"/>
        </w:rPr>
      </w:pPr>
      <w:r>
        <w:rPr>
          <w:rFonts w:ascii="Times New Roman" w:cs="Times New Roman" w:eastAsia="Times New Roman" w:hAnsi="Times New Roman"/>
          <w:sz w:val="18"/>
          <w:szCs w:val="18"/>
          <w:color w:val="auto"/>
        </w:rPr>
        <w:t>made under a federal healthcare program, such as Medicare and Medicaid; a person or entity does not need to have actual knowledge of the statute or specific intent to violate it to have committed a violation;</w:t>
      </w:r>
    </w:p>
    <w:p>
      <w:pPr>
        <w:spacing w:after="0" w:line="54" w:lineRule="exact"/>
        <w:rPr>
          <w:sz w:val="20"/>
          <w:szCs w:val="20"/>
          <w:color w:val="auto"/>
        </w:rPr>
      </w:pPr>
    </w:p>
    <w:p>
      <w:pPr>
        <w:ind w:left="760" w:hanging="378"/>
        <w:spacing w:after="0" w:line="25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imposes,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79"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To the extent our patient assistance programs are found to be inconsistent with applicable laws, we may be required to restructure or discontinue such programs, or be subject to other significant penalties;</w:t>
      </w:r>
    </w:p>
    <w:p>
      <w:pPr>
        <w:spacing w:after="0" w:line="71"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67"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to report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ownership and investment interests held by physicians and their immediate family members; manufacturers are required to submit reports to the government by the 90th day of each calendar year; and</w:t>
      </w:r>
    </w:p>
    <w:p>
      <w:pPr>
        <w:spacing w:after="0" w:line="75"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foreign governments) and may require drug manufacturers to report information related to payments and other transfers of value to physicians and other healthcare providers, pricing information or marketing expenditures.</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risk of us or any collaborators being found in violation of these laws is increased by the fact that many of them have not been fully interpreted by the regulatory authorities or the courts, and their provisions are open to a variety of interpretations. Any action against us or any collaborators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spacing w:after="0" w:line="7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or regulation may increase the difficulty and cost for us to obtain marketing approval of and commercialize our product candidates and may adversely affect the prices we may obtain.</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including executive orders, may result in more rigorous coverage criteria and in additional downward pressure on the price that we may receive for any product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the Affordable Care Act or ACA, was signed into law in 2010. The ACA substantially changed the way healthcare is financed by both governmental and private insurers, and significantly affects the U.S. pharmaceutical industry.</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Among the provisions of the ACA of importance to our business, including without limitation, our ability to commercialize and the prices we may obtain for any product candidates that are approved for sale are the following:</w:t>
      </w:r>
    </w:p>
    <w:p>
      <w:pPr>
        <w:spacing w:after="0" w:line="54" w:lineRule="exact"/>
        <w:rPr>
          <w:sz w:val="20"/>
          <w:szCs w:val="20"/>
          <w:color w:val="auto"/>
        </w:rPr>
      </w:pPr>
    </w:p>
    <w:p>
      <w:pPr>
        <w:ind w:left="760" w:right="2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new pathway for approval of lower-cost biosimilars to compete with biologic products, such as those we are developing or commercializing;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specified branded prescription drugs and biologic agents;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apply to Medicaid managed care utilization;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entity types eligible for participation in the 340B drug pricing program; and</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enacted in August 2011, required sequestration that included aggregate reductions of Medicare payments to providers, which went into effect on April 1, 2013 and, due to subsequent legislative amendments, will remain in effect through 2032, unless additional Congressional action is taken. Under current legislation, the actual reduction in Medicare payments will increase in future years of the sequester. In January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w:t>
      </w:r>
    </w:p>
    <w:p>
      <w:pPr>
        <w:spacing w:after="0" w:line="7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Further, in March 2021, the American Rescue Plan Act of 2021 was signed into law, which, among other things, eliminated the statutory cap on drug manufacturers’ Medicaid Drug Rebate Program rebate liability, effective January 1, 2024. Drug manufacturers’ Medicaid Drug Rebate Program rebate liability was previously capped at 100% of the average manufacturer price for a covered outpatient drug.</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The Inflation Reduction Act, or the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(which began in 2024); and replaces the Part D coverage gap discount program with a new manufacturer discounting program (which began in 2025). CMS has published the negotiated prices for the initial ten drugs, which went into effect in January 2026, and the subsequent 15 drugs, which will first be effective in 2027. CMS has also published the next set of 15 drugs that will be subject to negotiation. The IRA permits the Secretary of the Department of Health and Human Services, or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U.S. While it is unclear whether and how these proposals will be implemented, these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4" w:name="page55"/>
    <w:bookmarkEnd w:id="54"/>
    <w:p>
      <w:pPr>
        <w:ind w:right="20"/>
        <w:spacing w:after="0" w:line="261" w:lineRule="auto"/>
        <w:rPr>
          <w:sz w:val="20"/>
          <w:szCs w:val="20"/>
          <w:color w:val="auto"/>
        </w:rPr>
      </w:pPr>
      <w:r>
        <w:rPr>
          <w:rFonts w:ascii="Times New Roman" w:cs="Times New Roman" w:eastAsia="Times New Roman" w:hAnsi="Times New Roman"/>
          <w:sz w:val="18"/>
          <w:szCs w:val="18"/>
          <w:color w:val="auto"/>
        </w:rPr>
        <w:t>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Individual states in the United States have become increasingly active in enacting laws or implementing regulations designed to contain pharmaceutical and biological product pricing, including price or patient reimbursement constraints, discounts, restrictions on certain product access and marketing cost disclosure and transparency measures. Some measures are designed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Some states are also seeking to implement general, across the board price caps for pharmaceuticals, or are seeking to regulate drug distribution.</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Legally mandated price controls on payment amounts by third-party payors or other restrictions could harm our ability to price our product candidates, if and when they are approved, appropriately, which could negatively impact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price our product candidates, if and when they are approved, at what we consider to be a fair or competitive price, generate revenue, attain profitability, or commercialize our product candidates, if approved.</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some countries, particularly the EU member states, the pricing of certain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Other member states allow companies to fix their own prices for medicines but monitor and control company profits. Even if a pharmaceutical product obtains a marketing authorization in the EU, there can be no assurance that reimbursement for such product will be secured on a timely basis or at all. If coverage and reimbursement of our product candidates, if and when they are approved, are unavailable or limited in scope or amount, or if pricing is set at unsatisfactory levels that impacts our ability to compete with other products or our ability to recoup our costs of developing our product candidates, our business could be harmed, possibly materially.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 candidates.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various stages. We have successfully obtained multiple patents (both U.S. and foreign) in some patent families. In others, prosecution is at an early stage (e.g., provisional or PCT stage). For many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obtained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had in the past, and may have in the future, certain funding arrangements. Such funding arrangements impose various obligations on us, including reporting obligations, and may subject certain of our intellectual property, such as intellectual property made using the applicable funding, to the rights of the U.S. government under the Bayh-Dole Act. Any failure to comply with our obligations under a funding arrangement may have an adverse effect on our rights under the applicable agreement or our rights in the applicable intellectual property. Compliance with our obligations or the exercise by the government or other funder of its rights, may limit certain opportunities or otherwise have an adverse effect on our business.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patent portfolio currently includes 22 active patent application families (which includes an exclusive licenses to certain IP from Memorial Sloan Kettering Cancer Center). Of these, 18 applications have been nationalized, one is at the PCT stage, and three are at the provisional stage. To date, we have obtained issuance of 33 U.S. patents (which includes three as licensee). Of the issued U.S. patents, 13 U.S. patents (including one as licensee) have been assigned to Nestlé Health Science as part of its purchase of VOWST.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there can be no assurance that an alternative composition that may fall outside the scope of such claims will not be equally effective. Further, while our product candidates are made up of specific cultivated bacteria, third-party compositions may have greater complexity and variability (e.g., lot to lot variations), and it is possible that a patent claim may provide coverage for some but not all third-party compositions. These and other factors may provide opportunities for our competitors to design around our patents, should they issue.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 candidates. In addition, given the on-going prosecution of our portfolio, we continue development of our understanding of how patent offices react to our patent claims and whether they identify prior art of relevance that we have not already considered.</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spacing w:after="0" w:line="257" w:lineRule="auto"/>
        <w:rPr>
          <w:sz w:val="20"/>
          <w:szCs w:val="20"/>
          <w:color w:val="auto"/>
        </w:rPr>
      </w:pPr>
      <w:r>
        <w:rPr>
          <w:rFonts w:ascii="Times New Roman" w:cs="Times New Roman" w:eastAsia="Times New Roman" w:hAnsi="Times New Roman"/>
          <w:sz w:val="18"/>
          <w:szCs w:val="18"/>
          <w:color w:val="auto"/>
        </w:rPr>
        <w:t>The University of Tokyo. See “—</w:t>
      </w:r>
      <w:r>
        <w:rPr>
          <w:rFonts w:ascii="Times New Roman" w:cs="Times New Roman" w:eastAsia="Times New Roman" w:hAnsi="Times New Roman"/>
          <w:sz w:val="18"/>
          <w:szCs w:val="18"/>
          <w:i w:val="1"/>
          <w:iCs w:val="1"/>
          <w:color w:val="auto"/>
        </w:rPr>
        <w:t>Third parties may initiate legal proceedings alleging that we are infringing their intellectual property rights, the outcome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which would be uncertain and could have a material adverse effect on the success of our business</w:t>
      </w:r>
      <w:r>
        <w:rPr>
          <w:rFonts w:ascii="Times New Roman" w:cs="Times New Roman" w:eastAsia="Times New Roman" w:hAnsi="Times New Roman"/>
          <w:sz w:val="18"/>
          <w:szCs w:val="18"/>
          <w:color w:val="auto"/>
        </w:rPr>
        <w:t>.” The oral proceedings were held at the European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Office on February 18, 2019 and the Opposition Division required The University of Tokyo to narrow the scope of the claims of the patent. The University of Tokyo appealed certain aspects of the Opposition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17"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if issued, will include claims having a scope sufficient to protect any products 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any of our product candidates, if approved, before our relevant patents expire;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any existing patent and pending patent applications;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or design around our patents;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will not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obtain and/or maintain necessary or useful licenses on reasonable terms or at all;</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or proprietary rights of others.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57" w:name="page58"/>
    <w:bookmarkEnd w:id="57"/>
    <w:p>
      <w:pPr>
        <w:ind w:firstLine="509"/>
        <w:spacing w:after="0" w:line="253" w:lineRule="auto"/>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may be harmed.</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Leahy-Smith Act limits where a patentee may file a patent infringement suit and provides opportunities for third parties to challenge any issued patent in the USPTO. These provisions apply to all of our U.S. patents, even those filed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569 U.S. 12-398 (2013);</w:t>
      </w:r>
      <w:r>
        <w:rPr>
          <w:rFonts w:ascii="Times New Roman" w:cs="Times New Roman" w:eastAsia="Times New Roman" w:hAnsi="Times New Roman"/>
          <w:sz w:val="18"/>
          <w:szCs w:val="18"/>
          <w:i w:val="1"/>
          <w:iCs w:val="1"/>
          <w:color w:val="auto"/>
        </w:rPr>
        <w:t xml:space="preserve"> Alice Corp. v. CLS Bank International</w:t>
      </w:r>
      <w:r>
        <w:rPr>
          <w:rFonts w:ascii="Times New Roman" w:cs="Times New Roman" w:eastAsia="Times New Roman" w:hAnsi="Times New Roman"/>
          <w:sz w:val="18"/>
          <w:szCs w:val="18"/>
          <w:color w:val="auto"/>
        </w:rPr>
        <w:t>, 573 U.S. 13-298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Mayo Collaborative Services v. Prometheus Laboratories, Inc.</w:t>
      </w:r>
      <w:r>
        <w:rPr>
          <w:rFonts w:ascii="Times New Roman" w:cs="Times New Roman" w:eastAsia="Times New Roman" w:hAnsi="Times New Roman"/>
          <w:sz w:val="18"/>
          <w:szCs w:val="18"/>
          <w:color w:val="auto"/>
        </w:rPr>
        <w:t>, 566 U.S. 10-1150 (2012). In response to these cases, the USPTO has issued guidance to the examining corps.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USPTO first issued a memorandum reflecting the USPTO’s interpretation of the cases related to patent eligibility of natural products on March 4, 2014, which it subsequently revised and expanded upon in several additional updates now incorporated into its Manual of Patent Examination Procedure. The USPTO’s interpretation of the case law and new guidelines for examination may influence, possibly adversely, prosecution and defense of certain types of claims in our portfolio.</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any collaborators, to develop, manufacture, market and sell our product candidates, if approved, and use our proprietary technologies without infringing the proprietary rights of third parties. There is considerable intellectual property litigation in the biotechnology and pharmaceutical industries. For example, on August 20, 2024, Vedanta Biosciences, Inc. and The University of Tokyo filed a complaint against us and Nestlé S.A., Nestlé Health Science S.A., Nestlé Health Science US Holdings, Inc. and SPN in the United States District Court for the District of Delaware alleging that the making, sale and use of VOWST infringes on U.S. Patent Nos. 9,433,652, 9,662,381, 9,808,519, 10,555,978, and 11,090,343. The complaint seeks unspecified damages, fees, expenses and injunctive relief. We believe the complaint is without merit and intend to defend ourself vigorously against the claims. While we have not been held by any court to have infringed a third party’s intellectual property rights, we cannot guarantee that our technology or our product candidates, or use of our product candidates do not infringe third-party patents.</w:t>
      </w:r>
    </w:p>
    <w:p>
      <w:pPr>
        <w:spacing w:after="0" w:line="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or our product candidates. In addition, we may be unaware of one or more issued patents that would be infringed by the manufacture, sale or use of our product candidates,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or our product candidates or the use of our product candidates.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in the United States,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appealed certain aspects of the Oppositions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In addition, intellectual property litigation or claims could force us to do one or more of the following:</w:t>
      </w:r>
    </w:p>
    <w:p>
      <w:pPr>
        <w:spacing w:after="0" w:line="75"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or could be interpreted narrowly if challenged in court.</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jc w:val="both"/>
        <w:ind w:right="560"/>
        <w:spacing w:after="0" w:line="282" w:lineRule="auto"/>
        <w:rPr>
          <w:sz w:val="20"/>
          <w:szCs w:val="20"/>
          <w:color w:val="auto"/>
        </w:rPr>
      </w:pPr>
      <w:r>
        <w:rPr>
          <w:rFonts w:ascii="Times New Roman" w:cs="Times New Roman" w:eastAsia="Times New Roman" w:hAnsi="Times New Roman"/>
          <w:sz w:val="18"/>
          <w:szCs w:val="18"/>
          <w:color w:val="auto"/>
        </w:rPr>
        <w:t>construed narrowly or in a manner that does not cover the allegedly infringing technology in question. Such a loss of patent protection would have a material adverse impact on our business.</w:t>
      </w:r>
    </w:p>
    <w:p>
      <w:pPr>
        <w:spacing w:after="0" w:line="50"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right="80"/>
        <w:spacing w:after="0" w:line="255" w:lineRule="auto"/>
        <w:rPr>
          <w:sz w:val="20"/>
          <w:szCs w:val="20"/>
          <w:color w:val="auto"/>
        </w:rPr>
      </w:pPr>
      <w:r>
        <w:rPr>
          <w:rFonts w:ascii="Times New Roman" w:cs="Times New Roman" w:eastAsia="Times New Roman" w:hAnsi="Times New Roman"/>
          <w:sz w:val="18"/>
          <w:szCs w:val="18"/>
          <w:color w:val="auto"/>
        </w:rPr>
        <w:t>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Europe's Unified Patent Court, or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7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right="80"/>
        <w:spacing w:after="0" w:line="282" w:lineRule="auto"/>
        <w:rPr>
          <w:sz w:val="20"/>
          <w:szCs w:val="20"/>
          <w:color w:val="auto"/>
        </w:rPr>
      </w:pPr>
      <w:r>
        <w:rPr>
          <w:rFonts w:ascii="Times New Roman" w:cs="Times New Roman" w:eastAsia="Times New Roman" w:hAnsi="Times New Roman"/>
          <w:sz w:val="18"/>
          <w:szCs w:val="18"/>
          <w:color w:val="auto"/>
        </w:rPr>
        <w:t>and time-consuming process with uncertain outcomes. Accordingly, we may choose not to seek patent protection in certain countries, and we will not have the benefit of patent protection in such countries.</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6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jc w:val="both"/>
        <w:ind w:right="40" w:firstLine="509"/>
        <w:spacing w:after="0" w:line="255" w:lineRule="auto"/>
        <w:rPr>
          <w:sz w:val="20"/>
          <w:szCs w:val="20"/>
          <w:color w:val="auto"/>
        </w:rPr>
      </w:pPr>
      <w:r>
        <w:rPr>
          <w:rFonts w:ascii="Times New Roman" w:cs="Times New Roman" w:eastAsia="Times New Roman" w:hAnsi="Times New Roman"/>
          <w:sz w:val="18"/>
          <w:szCs w:val="18"/>
          <w:color w:val="auto"/>
        </w:rPr>
        <w:t>On February 27, 2026, the board of directors appointed Richard N. Kender, a current member of the board of directors, to serve as Executive Chair of the Board and as Interim Chief Executive Officer of the Company, Matthew Henn, Ph.D., the Company’s Chief Scientific Officer, to the additional role of President, and Kelly Brady, M.S., the Company’s Senior Vice President, Clinical Development, to the role of Executive Vice President, Chief Operating Officer, each effective March 2, 2026 (the “Effective Date”). As a result of the appointment of Mr. Kender as Interim Chief Executive Officer, Thomas J.</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DesRosier and Marella Thorell ceased serving as Co-Presidents and Co-Chief Executive Officers of the Company as of the Effective Date. Mr. DesRosier continues to serve as the Company’s Executive Vice President, Chief Legal Officer, and Ms. Thorell continues to serve as the Company’s Executive Vice President, Chief Financial Officer.</w:t>
      </w:r>
    </w:p>
    <w:p>
      <w:pPr>
        <w:spacing w:after="0" w:line="7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Management transitions may create uncertainty and involve a diversion of resources and management attention, be disruptive to our daily operations or impact public or market perception, any of which could negatively impact our ability to operate effectively or execute our strategies and result in a material adverse impact on our business, financial condition, results of operations or cash flows. If we are unable to execute an orderly transition, our business may be adversely affected. Furthermore, the success of our business is dependent on the continuation of an experienced and talented management team. If we were to lose the benefit of the experience, efforts, and abilities of any of our key executives or members of senior management, our business could be adversely affected.</w:t>
      </w:r>
    </w:p>
    <w:p>
      <w:pPr>
        <w:spacing w:after="0" w:line="18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are highly dependent on our Interim CEO,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potential future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hiring of scientific and clinical personnel from universities and research institutions.</w:t>
      </w:r>
    </w:p>
    <w:p>
      <w:pPr>
        <w:spacing w:after="0" w:line="8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and execution. Our consultants and advisors may be employed by employers other than us and may have commitments under consulting or advisory contracts with other entities that may limit their availability to us.</w:t>
      </w:r>
    </w:p>
    <w:p>
      <w:pPr>
        <w:spacing w:after="0" w:line="68"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On September 23, 2025, we announced that we implemented cost reduction actions, including decreasing our workforce by approximately 25%. We decreased the workforce by an additional 30% in February 2026 as part of additional cost reduction measures taken to extend our cash runway. These measures could result in personnel attrition beyond our planned reduction in headcount or reduce employee morale, which could in turn adversely impact productivity, including through a loss of continuity, loss of accumulated knowledge and/or inefficiency during transitional periods, or our ability to attract highly skilled employees.</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we are unable to continue to attract and retain high quality personnel, our ability to pursue our growth strategy will be limited.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internationally could materially adversely affect our business.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expanding internationally if any of our product candidates receive regulatory approval. We have conducted clinical studies internationally in the past, and will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right="100"/>
        <w:spacing w:after="0" w:line="282" w:lineRule="auto"/>
        <w:rPr>
          <w:sz w:val="20"/>
          <w:szCs w:val="20"/>
          <w:color w:val="auto"/>
        </w:rPr>
      </w:pPr>
      <w:r>
        <w:rPr>
          <w:rFonts w:ascii="Times New Roman" w:cs="Times New Roman" w:eastAsia="Times New Roman" w:hAnsi="Times New Roman"/>
          <w:sz w:val="18"/>
          <w:szCs w:val="18"/>
          <w:color w:val="auto"/>
        </w:rPr>
        <w:t>likely in the future conduct clinical studies in other countries as well. Doing business internationally involves a number of risks, including but not limited to:</w:t>
      </w:r>
    </w:p>
    <w:p>
      <w:pPr>
        <w:spacing w:after="0" w:line="54" w:lineRule="exact"/>
        <w:rPr>
          <w:sz w:val="20"/>
          <w:szCs w:val="20"/>
          <w:color w:val="auto"/>
        </w:rPr>
      </w:pPr>
    </w:p>
    <w:p>
      <w:pPr>
        <w:ind w:left="760" w:right="1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including tariffs,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and enforcing our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17" w:lineRule="exact"/>
        <w:rPr>
          <w:rFonts w:ascii="Times New Roman" w:cs="Times New Roman" w:eastAsia="Times New Roman" w:hAnsi="Times New Roman"/>
          <w:sz w:val="18"/>
          <w:szCs w:val="18"/>
          <w:color w:val="auto"/>
        </w:rPr>
      </w:pPr>
    </w:p>
    <w:p>
      <w:pPr>
        <w:ind w:left="760" w:right="32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a continued increase in inflation rates or interest rates, labor shortages, supply chain shortages, disruptions and instability in the banking industry and other parts of the financial services sector, or other economic, political or legal uncertainties or adverse developments;</w:t>
      </w:r>
    </w:p>
    <w:p>
      <w:pPr>
        <w:spacing w:after="0" w:line="6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w:t>
      </w:r>
    </w:p>
    <w:p>
      <w:pPr>
        <w:spacing w:after="0" w:line="53"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and/or political instability, unrest and wars, such as the conflicts involving Ukraine and Russia or Israel and its surrounding regions, which could delay or disrupt our business, and if such political unrest escalates or spills over to or otherwise impacts additional regions it could heighten many of the other risk factors included in this Item 1A;</w:t>
      </w:r>
    </w:p>
    <w:p>
      <w:pPr>
        <w:spacing w:after="0" w:line="6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as a result of severe weather events, climate change or otherwise), which could cause significant damage to the infrastructure upon which our business operations rely, and the timing, nature or severity of which we may be unable to prepare for;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outbreak of disease or epidemics, boycotts, curtailment of trade and other business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1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excess leased space that may adversely affect our financial condition and results of operations.</w:t>
      </w:r>
    </w:p>
    <w:p>
      <w:pPr>
        <w:spacing w:after="0" w:line="121"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Following the sale of our VOWST Business, the completion of the TSA, and our cost reduction actions, we have significantly reduced our workforce and manufacturing footprint. As a result, we have excess capacity under our existing lease obligations that exceeds our current and anticipated operational needs. We remain obligated to make rental and other payments under these leases regardless of whether we utilize the leased space. Our lease obligations require us to make substantial cash payments that reduce the cash available to fund our research and development programs, clinical trials, and other operational needs.</w:t>
      </w:r>
    </w:p>
    <w:p>
      <w:pPr>
        <w:spacing w:after="0" w:line="75" w:lineRule="exact"/>
        <w:rPr>
          <w:sz w:val="20"/>
          <w:szCs w:val="20"/>
          <w:color w:val="auto"/>
        </w:rPr>
      </w:pPr>
    </w:p>
    <w:p>
      <w:pPr>
        <w:ind w:right="20" w:firstLine="562"/>
        <w:spacing w:after="0" w:line="258" w:lineRule="auto"/>
        <w:rPr>
          <w:sz w:val="20"/>
          <w:szCs w:val="20"/>
          <w:color w:val="auto"/>
        </w:rPr>
      </w:pPr>
      <w:r>
        <w:rPr>
          <w:rFonts w:ascii="Times New Roman" w:cs="Times New Roman" w:eastAsia="Times New Roman" w:hAnsi="Times New Roman"/>
          <w:sz w:val="18"/>
          <w:szCs w:val="18"/>
          <w:color w:val="auto"/>
        </w:rPr>
        <w:t>We may seek to sublease the excess space to reduce our ongoing costs; however, there can be no assurance that we will be able to identify suitable subtenants or negotiate sublease arrangements on favorable terms, or at all. Current commercial real estate market conditions, including elevated vacancy rates and declining demand for certain types of office and laboratory space, may make it difficult to sublease our excess space or may require us to accept sublease terms that do not fully offset our lease obligations. Even if we are able to sublease the excess space, we would remain primarily liable to the landlord under the underlying leases, and any default by a subtenant could result in additional costs and liabilities to us.</w:t>
      </w:r>
    </w:p>
    <w:p>
      <w:pPr>
        <w:spacing w:after="0" w:line="75" w:lineRule="exact"/>
        <w:rPr>
          <w:sz w:val="20"/>
          <w:szCs w:val="20"/>
          <w:color w:val="auto"/>
        </w:rPr>
      </w:pPr>
    </w:p>
    <w:p>
      <w:pPr>
        <w:ind w:right="200" w:firstLine="562"/>
        <w:spacing w:after="0" w:line="282" w:lineRule="auto"/>
        <w:rPr>
          <w:sz w:val="20"/>
          <w:szCs w:val="20"/>
          <w:color w:val="auto"/>
        </w:rPr>
      </w:pPr>
      <w:r>
        <w:rPr>
          <w:rFonts w:ascii="Times New Roman" w:cs="Times New Roman" w:eastAsia="Times New Roman" w:hAnsi="Times New Roman"/>
          <w:sz w:val="18"/>
          <w:szCs w:val="18"/>
          <w:color w:val="auto"/>
        </w:rPr>
        <w:t>In addition, we may be required to recognize impairment charges with respect to right-of-use assets associated with leased properties that are no longer being fully utilized. Any such impairment charges could have a material adverse effect on our results of operations and financial condition.</w:t>
      </w:r>
    </w:p>
    <w:p>
      <w:pPr>
        <w:spacing w:after="0" w:line="54" w:lineRule="exact"/>
        <w:rPr>
          <w:sz w:val="20"/>
          <w:szCs w:val="20"/>
          <w:color w:val="auto"/>
        </w:rPr>
      </w:pPr>
    </w:p>
    <w:p>
      <w:pPr>
        <w:ind w:right="400" w:firstLine="562"/>
        <w:spacing w:after="0" w:line="266" w:lineRule="auto"/>
        <w:rPr>
          <w:sz w:val="20"/>
          <w:szCs w:val="20"/>
          <w:color w:val="auto"/>
        </w:rPr>
      </w:pPr>
      <w:r>
        <w:rPr>
          <w:rFonts w:ascii="Times New Roman" w:cs="Times New Roman" w:eastAsia="Times New Roman" w:hAnsi="Times New Roman"/>
          <w:sz w:val="18"/>
          <w:szCs w:val="18"/>
          <w:color w:val="auto"/>
        </w:rPr>
        <w:t>The costs associated with our excess leased space, combined with any inability to sublease such space or potential impairment charges, could materially and adversely affect our liquidity, cash flows, financial condition, and results of operations, and could limit our ability to invest in the advancement of SER-155 and our other pipeline programs.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personally identifiable information, intellectual property and proprietary business information owned or controlled by ourselves or our employees and other third parties. We manage and maintain our applications and data utilizing a combination of on-site systems and cloud-based data centers. We utilize external security and infrastructure vendors to manage parts of our data centers, and as a result a number of third-party vendors may or could have access to our confidential information. These applications and data encompass a wide variety of business-critical information, including research and development information, customer information, commercial information and business and financial information. We face a number of risks relative to protecting this critical information, including loss of access risk, inappropriate or unauthorized access, use, modification or disclosure, and the risk of our being unable to adequately monitor and audit and modify our controls over our confidential information. This risk extends to the third-party vendors and subcontractors we use to manage this sensitive data or otherwise process it on our behalf. The secure processing, storage, maintenance and transmission of this critical information are vital to our operations and business strategy, and we devote significant resources to protecting such information. Although we take reasonable measures to protect sensitive data from unauthorized access, use or disclosure,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w:t>
      </w:r>
    </w:p>
    <w:p>
      <w:pPr>
        <w:spacing w:after="0" w:line="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("AI"), that are designed to circumvent controls, to avoid detection, and to remove or obfuscate forensic evidence. Additionally, any integration of artificial intelligence in our or any third party's operations, products or services is expected to pose new or unknown cybersecurity risks and challenges.</w:t>
      </w:r>
    </w:p>
    <w:p>
      <w:pPr>
        <w:spacing w:after="0" w:line="8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attempts or incidents that threaten the confidentiality, integrity and availability of our information technology systems and confidential information.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If we or our third-party vendors were to experience a significant cybersecurity breach of our or their information technology systems or data, the costs associated with the investigation and remediation could be material. Any such real or perceived unauthorized access or use, breach, or other loss of confidential information could also result in regulatory scrutiny, reputational harm, legal claims or proceedings (including class actions), and liability under federal or state laws that protect the privacy of personal information, and regulatory enforcement, including penalties or fines. Notice of breaches may be required to affected individuals or state, federal or foreign regulators, and for extensive breaches, notice may need to be made to the media or State Attorneys General. Such notifications could be costly, harm our reputation and our ability to compete. Although we have implemented security measures to prevent unauthorized access, such data is currently accessible through multiple channels, and there is no guarantee that our cybersecurity risk management program and processes, including our policies, controls or procedures, will be fully implemented, complied with or effective in protecting our systems and data from breach. Additionally,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30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ind w:right="160"/>
        <w:spacing w:after="0" w:line="258" w:lineRule="auto"/>
        <w:rPr>
          <w:sz w:val="20"/>
          <w:szCs w:val="20"/>
          <w:color w:val="auto"/>
        </w:rPr>
      </w:pPr>
      <w:r>
        <w:rPr>
          <w:rFonts w:ascii="Times New Roman" w:cs="Times New Roman" w:eastAsia="Times New Roman" w:hAnsi="Times New Roman"/>
          <w:sz w:val="18"/>
          <w:szCs w:val="18"/>
          <w:color w:val="auto"/>
        </w:rPr>
        <w:t>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results of operations, financial performance and business.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and their implementing regulations, or collectively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Most healthcare providers, including research institutions from which we obtain clinical trial information, are subject to privacy and security regulations promulgated under HIPAA. We do not believe that we are currently acting as a covered entity or business associate under HIPAA and thus are not regulated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or collectively,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Additional compliance investment and potential business process changes may also be required. Similar laws have been enacted in other states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 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we may be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processing the personal data of individuals within the European Economic Area, or EEA or UK, or in the context of our activities within the EEA and the UK. Companies that must comply with the GDPR face increased compliance obligations and risk, including more robust regulatory enforcement of data protection requirements and potential fines for noncompliance of up to €20 million / £17.5 million or 4% of the annual global revenues of the noncompliant undertaking, whichever is greater. In addition to fines, a breach of the GDPR may result in regulatory investigations, reputational damage, orders to cease/ 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 states that reliance on the standard contractual clauses, or SCCs - a standard form of contract approved by the European Commission as an adequate personal data transfer mechanism - alone may not necessarily be sufficient in all circumstances and that transfers must be assessed on a case-by-case basis.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ind w:right="200"/>
        <w:spacing w:after="0" w:line="282" w:lineRule="auto"/>
        <w:rPr>
          <w:sz w:val="20"/>
          <w:szCs w:val="20"/>
          <w:color w:val="auto"/>
        </w:rPr>
      </w:pPr>
      <w:r>
        <w:rPr>
          <w:rFonts w:ascii="Times New Roman" w:cs="Times New Roman" w:eastAsia="Times New Roman" w:hAnsi="Times New Roman"/>
          <w:sz w:val="18"/>
          <w:szCs w:val="18"/>
          <w:color w:val="auto"/>
        </w:rPr>
        <w:t>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evolving regulatory framework for AI Technologies.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use AI and machine learning (collectively, “AI Technologies”) throughout our business, and are making modest investments in this area.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w:t>
      </w:r>
    </w:p>
    <w:p>
      <w:pPr>
        <w:spacing w:after="0" w:line="7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dispositions, joint ventures, or other strategic alternatives could disrupt our business, cause dilution to our stockholders and otherwise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from time to time acquire other businesses, products or technologies as well as pursue strategic alliances, joint ventures, technology licenses, investments in complementary businesses, dispose of assets, or pursue other strategic alternatives. We have not made any acquisitions to date, and our ability to do so successfully is unproven. On September 30, 2024, we completed the sale of our VOWST Business to SPN, which included all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VOWST. Any of these transactions could be material to our financial condition and operating results and expose us to many risks, including:</w:t>
      </w:r>
    </w:p>
    <w:p>
      <w:pPr>
        <w:spacing w:after="0" w:line="81"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 or disposed assets or businesses;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cybersecurity risks and vulnerabilities from any newly acquired information technology infrastructure;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or integrating acquired personnel, technologies and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transaction, acquisition integration, or disposition-related challenges;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or disposed businesses;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acquisition, disposition, or any other transaction or strategic alternative may not materialize. Future acquisitions, dispositions, or alternatives could result in potentially dilutive issuances of our equity securities, the incurrence of debt, contingent liabilities or amortization expenses or write-offs of goodwill, and may not achieve their intended benefits, any of which could harm our financial condition and our business. We cannot predict the number, timing or size of any transactions, or the effect that any such transactions might have on our operating results, our business, or our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been subject to securities class action litigation and may be subject to similar or other litigation in the future, which may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then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changing laws and regulations, which exposes us to potential liabilities, increased costs and other adverse effects on our business.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complex and changing laws, regulations, and executive orders, and compliance with these laws and regulations and executive orders is onerous and expensive. New and changing laws, regulations, and executive orders can adversely affect our business by increasing our costs, limiting the Company’s ability to pursue or offer a product candidate or product, and requiring changes to our business. New and changing laws, regulations, and executive orders can also create uncertainty about how such laws and regulations will be interpreted and applied. Regulatory changes and other actions that materially adversely affect our business may be announced with little or no advance notice we may not be able to effectively mitigate all adverse impacts from such measures. Differing interpretations of such legal obligations can expose us to significant fines, government investigations, litigation and reputational harm. If we are found to have violated laws, regulations, or executive orders, it could materially adversely affect our business, reputation, results of operations and financial condition.</w:t>
      </w:r>
    </w:p>
    <w:p>
      <w:pPr>
        <w:spacing w:after="0" w:line="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research and development credits to offset future taxable income or income tax liabilities, respectively, may be subject to certain limitations.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2025, we had net operating loss carryforwards, or NOLs, of $616.4 million for federal income tax purposes and $597.8 million for state income tax purposes, which may be available to offset our future taxable income, if any. Our federal NOLs subject to expiration begin to expire in various amounts in 2035. Our federal NOLs generated in taxable years beginning after December 31, 2017 are not subject to expiration, but may generally only be used to offset 80% of taxable income in years beginning after December 31, 2020. Our state NOLs also begin to expire in various amounts in 2035. As of December 31, 2025, we also had federal and state research and development and other tax credit carryforwards of approximately $46.2 million and $10.0 million, respectively, net of uncertain tax position reserves, available to reduce future income tax liabilities, if any. Our federal and state tax credit carryforwards begin to expire in various amounts in 2031 and 2028, respectively. The federal research and development tax credit carryforwards include an orphan drug credit carryforward of $25.9 million. These NOLs and tax credit carryforwards could expire unused, to the extent subject to expiration, and be unavailable to offset future taxable income or income tax liabilities, respectively.</w:t>
      </w:r>
    </w:p>
    <w:p>
      <w:pPr>
        <w:spacing w:after="0" w:line="80"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in general, under Sections 382 and 383 of the U.S. Internal Revenue Code of 1986, as amended, or the Code, a corporation that undergoes an “ownership change” is subject to limitations on its ability to use its pre-change NOLs and tax credit carryforwards to offset future taxable income and income taxes, respectively. For these purposes, an ownership change generally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8" w:name="page69"/>
    <w:bookmarkEnd w:id="68"/>
    <w:p>
      <w:pPr>
        <w:spacing w:after="0" w:line="254" w:lineRule="auto"/>
        <w:rPr>
          <w:sz w:val="20"/>
          <w:szCs w:val="20"/>
          <w:color w:val="auto"/>
        </w:rPr>
      </w:pPr>
      <w:r>
        <w:rPr>
          <w:rFonts w:ascii="Times New Roman" w:cs="Times New Roman" w:eastAsia="Times New Roman" w:hAnsi="Times New Roman"/>
          <w:sz w:val="18"/>
          <w:szCs w:val="18"/>
          <w:color w:val="auto"/>
        </w:rPr>
        <w:t>occurs where the aggregate change in stock ownership of one or more stockholders or groups of stockholders owning at least 5% of a corporation’s stock exceeds 50 percentage points over a rolling three-year period. Similar rules may apply under state tax laws. We have experienced ownership changes in the past, per a Section 382 study performed through December 31, 2024. We believe that none of our existing tax assets will expire unused as a result of the calculated limitations resulting from such ownership changes. However, we may have experienced additional ownership changes since December 31, 2024, and we may experience ownership changes in the future as a result of future transactions in our stock, some of which may be outside our control. If we have undergone additional ownership changes, or if we undergo ownership changes in the future, our ability to use our NOLs and tax credit carryforwards could be further limited. For these reasons, we may not be able to use a material portion of our NOLs or tax credit carryforwards, even if we attain profitability. We have recorded a full valuation allowance related to our NOLs and other deferred tax assets due to the uncertainty of the ultimate realization of the future tax benefits of such assets.</w:t>
      </w:r>
    </w:p>
    <w:p>
      <w:pPr>
        <w:spacing w:after="0" w:line="7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again in the future receive a notice of the failure to satisfy a continued listing rule from Nasdaq.</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we received written notice from Nasdaq notifying us that the bid price for our common stock had closed below the $1.00 Bid Price Requirement for continued inclusion on The Nasdaq Global Select Market. Though we regained compliance </w:t>
      </w:r>
      <w:r>
        <w:rPr>
          <w:rFonts w:ascii="Times New Roman" w:cs="Times New Roman" w:eastAsia="Times New Roman" w:hAnsi="Times New Roman"/>
          <w:sz w:val="18"/>
          <w:szCs w:val="18"/>
          <w:color w:val="212529"/>
        </w:rPr>
        <w:t>with the Bid Price Requirement 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timely manner, if in the future our common stock again closes below the $1.00 per share minimum bid price required by Nasdaq for 30 consecutive business days, </w:t>
      </w:r>
      <w:r>
        <w:rPr>
          <w:rFonts w:ascii="Times New Roman" w:cs="Times New Roman" w:eastAsia="Times New Roman" w:hAnsi="Times New Roman"/>
          <w:sz w:val="18"/>
          <w:szCs w:val="18"/>
          <w:color w:val="000000"/>
        </w:rPr>
        <w:t>we would again receive another notice of non-compliance with Nasdaq's listing standards and face the risk of delisting.</w:t>
      </w:r>
    </w:p>
    <w:p>
      <w:pPr>
        <w:spacing w:after="0" w:line="72"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If, in the future, our common stock fails to meet the Bid Price Requirement and we have effected a reverse stock split within the prior one-year period, we will not be eligible for any compliance period to address the bid price deficiency and would be issued a delisting determination rather than be granted a compliance period. Under these circumstances, we could appeal the delisting determination to a Nasdaq hearing panel, during which time any suspension or delisting action will ordinarily be stayed. If we were eligible for a compliance period, there can also be no assurance that we would regain compliance with the Bid Price Requirement during the 180-day compliance period, secure a second 180-day period to regain compliance, maintain compliance with the other Nasdaq listing requirements, or be successful in appealing any delisting determination.</w:t>
      </w:r>
    </w:p>
    <w:p>
      <w:pPr>
        <w:spacing w:after="0" w:line="7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If our common stock is delisted in the future, it is unlikely that we will be able to list our common stock on another national securities exchange on a timely basis or at all, and, as a result, we expect our securities would be quoted on an OTC market. If this were to occur, we and our stockholders could face significant material adverse consequences, including limited availability of market quotations and analyst coverage for our common stock, and reduced liquidity for the trading of our securities. Delisting also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p>
    <w:p>
      <w:pPr>
        <w:spacing w:after="0" w:line="7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stockholders who owned more than 5% of our outstanding common stock and their respective affiliates, in the aggregate, hold shares representing approximately 29% of our outstanding voting stock as of December 31, 2025.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ownership control may:</w:t>
      </w:r>
    </w:p>
    <w:p>
      <w:pPr>
        <w:spacing w:after="0" w:line="75"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the board of directors;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6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under the rules promulgated under the Exchange Act. We will remain a smaller reporting company until the fiscal year following the determination that both (i) the value of our voting and non-voting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ind w:right="120"/>
        <w:spacing w:after="0" w:line="258" w:lineRule="auto"/>
        <w:rPr>
          <w:sz w:val="20"/>
          <w:szCs w:val="20"/>
          <w:color w:val="auto"/>
        </w:rPr>
      </w:pPr>
      <w:r>
        <w:rPr>
          <w:rFonts w:ascii="Times New Roman" w:cs="Times New Roman" w:eastAsia="Times New Roman" w:hAnsi="Times New Roman"/>
          <w:sz w:val="18"/>
          <w:szCs w:val="18"/>
          <w:color w:val="auto"/>
        </w:rPr>
        <w:t>common shares held by non-affiliates is more than $250.0 million measured on the last business day of our second fiscal quarter and (ii) our annual revenues are more than $100.0 million during the most recently completed fiscal year and the value of our voting and non voting common shares held by non-affiliates is $700.0 million or more as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w:t>
      </w:r>
    </w:p>
    <w:p>
      <w:pPr>
        <w:spacing w:after="0" w:line="75"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and may in the future take advantage of these or others.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6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the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include those establishing:</w:t>
      </w:r>
    </w:p>
    <w:p>
      <w:pPr>
        <w:spacing w:after="0" w:line="79" w:lineRule="exact"/>
        <w:rPr>
          <w:sz w:val="20"/>
          <w:szCs w:val="20"/>
          <w:color w:val="auto"/>
        </w:rPr>
      </w:pPr>
    </w:p>
    <w:p>
      <w:pPr>
        <w:ind w:left="760" w:right="2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three-year staggered terms, which may delay the ability of stockholders to change the membership of a majority of our Board;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to elect a director to fill a vacancy created by the expansion of the Board or the resignation, death or removal of a director, which prevents stockholders from filling vacancies on our Board;</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the chief executive officer, the president or the Board,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6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subject to certain exceptions, as the sole and exclusive forum for certain types of actions and proceedings that may be initiated by our stockholders and our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or employees.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actions brought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0" w:name="page71"/>
    <w:bookmarkEnd w:id="70"/>
    <w:p>
      <w:pPr>
        <w:ind w:right="80"/>
        <w:spacing w:after="0" w:line="266" w:lineRule="auto"/>
        <w:rPr>
          <w:sz w:val="20"/>
          <w:szCs w:val="20"/>
          <w:color w:val="auto"/>
        </w:rPr>
      </w:pPr>
      <w:r>
        <w:rPr>
          <w:rFonts w:ascii="Times New Roman" w:cs="Times New Roman" w:eastAsia="Times New Roman" w:hAnsi="Times New Roman"/>
          <w:sz w:val="18"/>
          <w:szCs w:val="18"/>
          <w:color w:val="auto"/>
        </w:rPr>
        <w:t>against us by stockholders.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shall be deemed to have notice of and to have consented to the provisions of our restated certificate of incorporation and bylaws described above.</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these choice of forum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or bylaws to be inapplicable or unenforceable in such action. If a court were to find the choice of forum provisions contained in our restated certificate of incorporation or bylaws to be inapplicable or unenforceable in an action, we may incur additional costs associated with resolving such action in other jurisdictions, which could adversely affect our business, financial condition or results of operations.</w:t>
      </w:r>
    </w:p>
    <w:p>
      <w:pPr>
        <w:spacing w:after="0" w:line="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any future debt agreements may preclude us from paying dividends. As a result, capital appreciation, if any, of our common stock will be our stockholders’ sole source of gain for the foreseeable future.</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288" w:lineRule="exact"/>
        <w:rPr>
          <w:sz w:val="20"/>
          <w:szCs w:val="20"/>
          <w:color w:val="auto"/>
        </w:rPr>
      </w:pPr>
    </w:p>
    <w:p>
      <w:pPr>
        <w:ind w:left="760" w:right="38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execute and realize the benefits of strategic plans including accessing capital through potential business development and/or achieving overall financing goals;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requirement for additional capital to fund our operations following the third quarter of 2026;</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the Transaction with SPN;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compliance with stock exchange listing standards;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potential future commercialization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any future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may make our product candidates less attractive;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1" w:name="page72"/>
    <w:bookmarkEnd w:id="71"/>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or misleading opinion regarding our business, our common stock price and trading volume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84"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2" w:name="page73"/>
    <w:bookmarkEnd w:id="72"/>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However, while we remain a non-accelerated filer,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8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evolving and conflicting laws, regulations, trends and stakeholder expectations relating to environmental, social and governance, or ESG, practices or reporting could adversely impact our reputation, share price and access to and cost of capital or otherwise adversely impact our business.</w:t>
      </w:r>
    </w:p>
    <w:p>
      <w:pPr>
        <w:spacing w:after="0" w:line="6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Certain institutional investors, investor advocacy groups, investment funds, creditors and other influential financial market participants, as well as governments, regulators, customers, patients, employees and other stakeholders or third parties, have become increasingly focused on companies’ ESG practices, including the impact of business on the environment.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stockholders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may hinder the Company’s access to capital.</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reputation could be damaged if we do not, or are perceived not to, meet evolving stakeholder demand with respect to ESG matters, which could adversely affect our business, financial condition, profitability and cash flows. We may be criticized for our lack of ESG initiatives or goals or perceived as not taking sufficient action or for taking too much action in connection with any of these matters. In turn, we may take certain or terminate other actions to respond to evolving demand by regulators, governmental officials, investors, employees and other stakeholder; however, such actions may be costly or be subject to numerous conditions that are outside our control, and we cannot guarantee that we will meet these goals or targets or that such actions will have the desired effect even if met.</w:t>
      </w:r>
    </w:p>
    <w:p>
      <w:pPr>
        <w:spacing w:after="0" w:line="79"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has been an increase in litigation related to corporate diversity, equity and inclusion programs. Relatedly, both advocates and opponents to certain environmental and social matters are increasingly resorting to a range of activism forms, including media campaigns, shareholder proposals, and litigation, to advance their perspectives. To the extent we are subject to such litigation, activism or pressure, we may be required to incur costs or it may otherwise adversely impact our business or reputation.</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Additionally, we and/or other parties in our value chain are subject to, or are expected to be subject to additional climate and other ESG-related obligations arising from legislation and regulation in the United States, the European Union and other jurisdictions, including new reporting requirements, even as the availability and quality of the information that may be required to comply with such laws and regulations remains limited. We expect for our compliance costs with these laws, regulations, and reporting requirements to increase in the future, and any failure, or perceived failure, by us to adhere to such laws, regulations, and reporting requirements, or meet evolving and varied stakeholder expectations and standards, could harm our business, reputation,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or NIST CSF. This does not imply that we meet any particular technical standards, specifications, or requirements, only that we use the NIST CSF as a guide to help us identify, assess, and manage cybersecurity risks relevant to our business.</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incident response plan that includes procedures for responding to cybersecurity incidents;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based on our assessment of their criticality to our operations and respective risk profile, suppliers, and vendors who have access to our critical systems and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insurance to cover us for costs and expenses we may incur due to a cybersecurity incident.</w:t>
      </w:r>
    </w:p>
    <w:p>
      <w:pPr>
        <w:spacing w:after="0" w:line="11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“Risk Factors— Risks Related to Our Operations—Our business and operations may suffer in the event of information technology system failures, cyberattacks or deficiencies in our cybersecurity.”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management’s implementation of our cybersecurity risk management program.</w:t>
      </w:r>
    </w:p>
    <w:p>
      <w:pPr>
        <w:spacing w:after="0" w:line="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Audit Committee receives quarterly reports from our Vice President, Bioinformatics &amp; Information Technology, or VP of IT, on our cybersecurity risks. In addition, our VP of IT updates the Audit Committee, where it deems appropriate, regarding any cybersecurity incidents it considers to be significant or potentially significant. The Audit Committee regularly reports to the full Board regarding its activities, including those related to cybersecurity.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VP of IT,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VP of IT has nearly three decades of IT and computational experience in life sciences organizations. His cybersecurity work includes the development and implementation of cybersecurity policies, platforms, and robust end-user training curriculums. Our VP of IT and IT Group work together to monitor and report cybersecurity trends and threats to management. Additionally, we work with an external IT partner and external cybersecurity counsel to assess, identify, and manage risks from cybersecurity threats. The IT Group undertakes table-top business disruption, disaster recovery and related response strategies, and plans on a periodic basis, and aims to review, and if appropriate update, applicable policies and procedures annually.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4" w:name="page75"/>
    <w:bookmarkEnd w:id="74"/>
    <w:p>
      <w:pPr>
        <w:spacing w:after="0" w:line="266" w:lineRule="auto"/>
        <w:rPr>
          <w:sz w:val="20"/>
          <w:szCs w:val="20"/>
          <w:color w:val="auto"/>
        </w:rPr>
      </w:pPr>
      <w:r>
        <w:rPr>
          <w:rFonts w:ascii="Times New Roman" w:cs="Times New Roman" w:eastAsia="Times New Roman" w:hAnsi="Times New Roman"/>
          <w:sz w:val="18"/>
          <w:szCs w:val="18"/>
          <w:color w:val="auto"/>
        </w:rPr>
        <w:t>Our management team and IT Group takes steps to stay informed about and monitor efforts to prevent, detect, mitigate, and remediate cybersecurity risks and incidents through various means, which may include briefings from internal security personnel; threat intelligence and other information obtained from public or private sources, including external consultants engaged by us; and alerts and reports produced by security tools deployed in our IT environment.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Research and Offices</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Cambridge, Massachusetts, where we lease approximately 82,714 square feet of office, research, development, warehouse and laboratory space under a lease that expires in March 2033.</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Clinical Manufacturing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currently conduct our manufacturing operations in our leased facilities in Cambridge, Massachusetts, where we conduct process development, scale-up activities, the manufacture of active components for our biotherapeutic candidates, and quality control testing. We believe our current laboratory facilities and contract relationships are sufficient to meet our current bioprocess development and manufacturing needs. Product candidates may be brought into the facilities for economies of operation, or may remain external with contract manufacturing organizations, depending on business dynamics and development needs.</w:t>
      </w:r>
    </w:p>
    <w:p>
      <w:pPr>
        <w:spacing w:after="0" w:line="7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5" w:name="page76"/>
    <w:bookmarkEnd w:id="75"/>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“MCRB” since June 26, 2015. Prior to that time, there was no public market for our common stock.</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March 1, 2026, there were approximately eleven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inception and do not anticipate paying cash dividends in the foreseeable future. See “Management’s Discussion and Analysis of Financial Condition and Results of Operations – Liquidity and Capital Resources.”</w:t>
      </w:r>
    </w:p>
    <w:p>
      <w:pPr>
        <w:spacing w:after="0" w:line="5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make any sales of unregistered securities during the quarter ended December 31, 2025.</w:t>
      </w:r>
    </w:p>
    <w:p>
      <w:pPr>
        <w:spacing w:after="0" w:line="1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repurchases of shares of common stock made during the quarter ended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appearing elsewhere in this Annual Report on Form 10-K. Some of the information contained in this discussion and analysis or set forth elsewhere in this Annual Report on Form 10-K, such as statements regarding our plans, objectives, expectations, intentions and projections,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 discussion regarding our financial condition and results of operations for the years ended December 31, 2025 and 2024, including a year-to-year comparison between 2025 and 2024, is presented below. For a full discussion of changes from the year ended December 31, 2024 to the year ended December 31, 2023, refer to Management’s Discussion and Analysis of Financial Condition and Results of Operation in Part II, Item 7. of our Annual Report on Form 10-K for the year ended December 31, 2024 (filed with the SEC on March 13, 2025).</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company focused on improving patient outcomes in medically vulnerable populations through discovery and development of novel live biotherapeutic product, or LBP, candidates. We led the successful development and approval of VOWST, the first FDA-approved orally administered microbiome biotherapeutic and a Breakthrough Therapy designated drug, which was sold to Société des Produits Nestlé S.A., or SPN, and with certain of its affiliates, collectively, Nestlé Health Science, in September 2024. We have established field-leading capabilities and platforms that are powered by best-in-field human data sets to advance a portfolio of products that can uniquely address diseases by targeting host pathways that are modulated by microbes in the human body, and, in particular, diseases associated with mucosal barrier-immune interface targets. We believe clinical and nonclinical data across our programs support the development of LBPs to target the prevention and treatment of a broad swath of infections, and to treat inflammatory and immune, or I&amp;I, diseases. Our pipeline consists of SER-155, SER-603, and SER-147, as well as other potential candidates in earlier development.</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LBP candidates are consortia of bacteria designed to optimize specific, targeted pharmacological properties, and are formulated for oral delivery. We maintain a differentiated live biotherapeutics drug discovery and development platform that includes good manufacturing practices, or GMP, manufacturing capabilities for this novel drug modality. Our pipeline assets, including SER-155 and SER-603, are designed to target multiple disease-relevant pathways and are manufactured from standard clonal cell banks via cultivation. Our knowledge base and platforms enable selection of bacteria for precision consortia design to drive specific clinical outcomes and further provide unique insights on microbe-associated disease targets. We are designing LBP candidates to modulate host function to increase epithelium integrity and to induce immune homeostasis and tolerance, as well as to prevent the colonization and overgrowth of pathogens in the gastrointestinal, or GI, tract. We believe that the scientific and clinical data from the development of VOWST (our then product candidate SER-109 program) and the data from the SER-155 Phase 1b study (described below) validate our novel therapeutic approach in both infectious disease and I&amp;I diseases. In the context of infection, we believe that our technology may be replicable across different bacterial pathogens with the potential to develop live biotherapeutics to protect a range of medically compromised patients at risk of antimicrobial resistance, or AMR, infections and bloodstream infections, or BSIs, that can result from a compromised epithelial barrier and that can be a major cause of mortality.</w:t>
      </w:r>
    </w:p>
    <w:p>
      <w:pPr>
        <w:spacing w:after="0" w:line="12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SER-155, our most advanced LBP candidate, is an investigational, oral, live biotherapeutic designed to decolonize GI pathogens, improve GI epithelial barrier integrity, and induce immune homeostasis to prevent bacterial BSIs, including those that can harbor antimicrobial resistance, as well as other pathogen-associated negative clinical outcomes in patients undergoing allogeneic hematopoietic stem cell transplantation, or allo-HSCT. In December 2023, we received Fast Track Designation for SER-155 to reduce the risk of infection and GvHD in patients undergoing allo-HSCT, and in December 2024, the FDA granted Breakthrough Therapy designation to SER-155 for the reduction of BSIs in patients 18 years and older undergoing allo-HSCT. In our placebo-controlled Phase 1b study of SER-155 in allo-HSCT, SER-155 was associated with a 77% relative risk reduction in bacterial BSIs and a significant reduction in systemic antibiotic exposure as well as a lower incidence of febrile neutropenia, as compared to placebo through day 100 post HSCT. SER-155 was generally well tolerated, with no observed treatment-related serious adverse events. Importantly, we observed clinical translation on the drug candidate's mechanisms of action, including improvements in epithelial integrity and immune homeostasis. Following advancement of key startup activities for the SER-155 Phase 2 study in allo-HSCT, including the submission of a final protocol to the FDA in January 2026, study site evaluation and qualification with our CRO, and manufacturing of drug substance, we have paused additional investment in that program, preserving the optionality to efficiently restart the study, while continuing to seek funding for the Phase 2 study.</w:t>
      </w:r>
    </w:p>
    <w:p>
      <w:pPr>
        <w:spacing w:after="0" w:line="10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current strategy prioritizes advancing our programs that target I&amp;I indications. We have meaningfully advanced over the past decade our scientific understanding of how microbes in the GI functionally modulate pathways at the mucosal barrier-immune interface that are associated with inflammatory and immune-related disease. The clinical data from our SER-155 Phase 1b study in allo-HSCT, along with our extensive preclinical and translational clinical data compiled over the past decade support and inform the advancement of our earlier stage programs targeting I&amp;I diseases. We are evaluating SER-155 in immune checkpoint-related</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7" w:name="page78"/>
    <w:bookmarkEnd w:id="77"/>
    <w:p>
      <w:pPr>
        <w:ind w:right="140"/>
        <w:spacing w:after="0" w:line="261" w:lineRule="auto"/>
        <w:rPr>
          <w:sz w:val="20"/>
          <w:szCs w:val="20"/>
          <w:color w:val="auto"/>
        </w:rPr>
      </w:pPr>
      <w:r>
        <w:rPr>
          <w:rFonts w:ascii="Times New Roman" w:cs="Times New Roman" w:eastAsia="Times New Roman" w:hAnsi="Times New Roman"/>
          <w:sz w:val="18"/>
          <w:szCs w:val="18"/>
          <w:color w:val="auto"/>
        </w:rPr>
        <w:t>enterocolitis, or irEC, and we are developing SER-603, broadly in inflammatory bowel disease, or IBD, including ulcerative colitis, or UC, and Crohn's disease. We believe that our LBPs could represent a non-immunosuppressive treatment option for I&amp;I diseases that are linked to colitis and could broadly address immune therapy toxicities, both of which represent significant unmet medical needs and potential commercial opportunities. We are currently exploring potential collaborations related to those I&amp;I disease programs.</w:t>
      </w:r>
    </w:p>
    <w:p>
      <w:pPr>
        <w:spacing w:after="0" w:line="11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been collaborating with Memorial Sloan Kettering Cancer Center for over a decade on the impact of the GI microbiome on immune related diseases and cancer; recently this long-standing collaboration included an investigator-sponsored trial, or IST, evaluating SER-155 in 15 participants with irEC. irEC is among the most frequent and severe immune-related adverse events, or irAEs, in recipients of immune checkpoint inhibitor, or ICI, therapy and can be observed in up to 50% of patients, with rates varying based on cancer drug and treatment regimen. ICIs can cause a wide range of irAEs with links to T cell biology and epithelial barrier inflammation, both of which are biological functions shown in our preclinical and clinical pharmacology data to be positively impacted by SER-155. We expect to report initial clinical results, including preliminary safety, efficacy, pharmacology, and exploratory biomarker data in the second quarter of 2026. We believe data from this IST could further support the potential for live biotherapeutics to address a significant unmet need among the large population of cancer patients receiving ICIs and may further support evaluation of our biotherapeutic approach in this setting.</w:t>
      </w:r>
    </w:p>
    <w:p>
      <w:pPr>
        <w:spacing w:after="0" w:line="1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SER-603 is a novel, LBP candidate optimized to address disruptions in the GI microbiome and to improve GI mucosal barrier integrity through the inhibition of inflammatory bacteria and associated metabolites, the promotion of epithelial barrier integrity to reduce the translocation of inflammatory molecules and barrier inflammation, and to induce immune homeostasis through non-immunosuppressive regulatory T cell, or T-reg, induction via T cell signaling. Our research on SER-603 has been primarily supported through a partnership with the Crohn’s and Colitis Foundation, or CCF. These efforts aim to (i) confirm the functional phenotype and inflammatory state of patient subpopulations observed in our prior ulcerative colitis, or UC, clinical trials, and (ii) prioritize inflammatory targets and evaluate the potential to utilize biomarker-based patient selection and stratification for future studies. Many IBD patients experience an efficacy ceiling due to non-response or poor durability of response to existing therapies, and further, most advanced therapies target downstream inflammatory and immune responses and are immunosuppressive leading to toxicities and limitations with respect to combination therapies. IBD is a heterogeneous disease with both disruptions in the GI microbiome and epithelial barrier compromise being important drivers of disease that are not addressed by existing IBD therapies.</w:t>
      </w:r>
    </w:p>
    <w:p>
      <w:pPr>
        <w:spacing w:after="0" w:line="12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believe that SER-155 and other cultivated live biotherapeutic candidates could be developed in additional patient populations to address barrier compromise and bloodstream and AMR infections beyond allo-HSCT, including autologous-HSCT patients, cancer patients with neutropenia, chimeric antigen receptors therapy, or CAR-T, recipients, individuals with chronic liver disease, or CLD, solid organ transplant recipients, as well as patients in the intensive care unit, or ICU, and long-term acute care facilities. We continue to develop another proprietary live biotherapeutic composition, SER-147, designed to prevent bacterial bloodstream and spontaneous bacterial peritonitis, or SBP, infections in patients with metabolic disease, including CLD. Additionally, we are developing an oral liquid formulation based on SER-155 strains, for dosing in patients who cannot take oral capsules, such as intubated patients in the ICU, and other medically vulnerable patients at high risk of AMR infections, supported by a grant from CARB-X (Combating Antibiotic-Resistant Bacteria Biopharmaceutical Accelerator). We continue to leverage microbiome pharmacokinetic and pharmacodynamic data from across our clinical and preclinical portfolios, using our reverse translational development platform to prioritize future drug targets and to identify opportunities for monotherapy treatment and in combination with existing therapies across various indications, including inflammatory and immune diseases, cancer, and metabolic diseases.</w:t>
      </w:r>
    </w:p>
    <w:p>
      <w:pPr>
        <w:spacing w:after="0" w:line="12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built and deploy a reverse translational platform and knowledge base, which we call our MbTx Platform, for the discovery and development of live biotherapeutics, and maintain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live biotherapeutics; and a strain library and associated microbiological capabilities that spans broad biological and functional breadth. This platform and knowledge base are integrated through a proprietary knowledge graph and agentic artificial intelligence, enabling rapid identification of specific microbes, microbial genes, and microbial metabolites/peptides associated with disease and the design of therapeutic consortia of bacteria for specific pharmacological properties to restructure the gut microbiome and modulate functional pathways associated with disease. In addition, we own a valuable intellectual property estate related to the development and manufacture of live biotherapeutics.</w:t>
      </w:r>
    </w:p>
    <w:p>
      <w:pPr>
        <w:spacing w:after="0" w:line="10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programs, platforms, and technologies, building our intellectual property portfolio, developing our supply chain, business planning, raising capital and providing general and administrative support for these operations.</w:t>
      </w:r>
    </w:p>
    <w:p>
      <w:pPr>
        <w:spacing w:after="0" w:line="68"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are in early-stage clinical or preclinical development. Our ability to achieve profitability will depend heavily on the successful development and eventual commercialization of one or more of our product candidates. Since our inception, we have incurred significant operating losses. Our net loss from operations was $94.0 million, $121.3 million, and $195.1 million for the years ended December 31, 2025, 2024, and 2023, respectively. As of December 31, 2025, we had an accumulated deficit of $972.4 million.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8" w:name="page79"/>
    <w:bookmarkEnd w:id="78"/>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While we plan to focus our investment on advancing our early-stage live biotherapeutic candidates, starting with SER-603, in the near-term and, subject to receiving additional funding, progressing the development of SER-155 into a Phase 2 study, our expenses may increase in connection with these future activities. See “Risk Factors—Risks Related to Our Financial Position and Need for Additional Capital—</w:t>
      </w:r>
      <w:r>
        <w:rPr>
          <w:rFonts w:ascii="Times New Roman" w:cs="Times New Roman" w:eastAsia="Times New Roman" w:hAnsi="Times New Roman"/>
          <w:sz w:val="18"/>
          <w:szCs w:val="18"/>
          <w:i w:val="1"/>
          <w:iCs w:val="1"/>
          <w:color w:val="auto"/>
        </w:rPr>
        <w:t>We are a clinical-stage company and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incurred significant losses since our inception. We expect to incur losses for the foreseeable future and may never achieve or maintain profitability.</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product candidates, we expect to incur costs related to product manufacturing and commercialization, including marketing, sales and distribution. Furthermore, we expect to continue to incur additional costs associated with operating as a public company.</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Until such time as we can generate significant revenue from product sales, if ever, we expect to finance our operations through a combination of collaborations with third parties, public or private equity or debt financings or other sources. Adequate additional financing may not be available to us on acceptable terms, or at all. For example, the trading prices for our and other biopharmaceutical companies’ stock have been highly volatile as a result of factors such as the impacts of pandemics, increases in inflation rates, interest rates and tariffs. As a result, we may face difficulties raising capital through sales of our common stock and any such sales may be on unfavorable terms. Our inability to raise capital or secure a partnership as and when needed would have a negative impact on our financial condition and our ability to pursue our business strategy. We will need to generate significant revenue to achieve profitability, and we may never do so.</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2025, we had cash and cash equivalents totaling $45.8 million. Based on our currently available cash resources, and considering our future operating plans, we anticipate that we will require additional funding following the third quarter of 2026. In accordance with applicable accounting standards, we evaluated whether there are conditions and events, considered in the aggregate, that raise substantial doubt about our ability to continue as a going concern within 12 months after the date of the issuance of the consolidated financial statements included elsewhere in this Annual Report on Form 10-K. In performing this analysis, we excluded certain elements of our operating plan that cannot be considered probable of occurring. Under the applicable accounting standards, any future transactions or equity issuances cannot be considered probable, as these events are outside our control. Accordingly, management has concluded that substantial doubt exists about our ability to continue as a going concern for 12 months from the date the consolidated financial statements included elsewhere in this Annual Report on Form 10-K, are issued. See “Risk Factors— Risks Related to Our Financial Position and Need for Additional Capital —</w:t>
      </w:r>
      <w:r>
        <w:rPr>
          <w:rFonts w:ascii="Times New Roman" w:cs="Times New Roman" w:eastAsia="Times New Roman" w:hAnsi="Times New Roman"/>
          <w:sz w:val="18"/>
          <w:szCs w:val="18"/>
          <w:i w:val="1"/>
          <w:iCs w:val="1"/>
          <w:color w:val="auto"/>
        </w:rPr>
        <w:t>We have identified conditions and events that raise substantial doubt regarding our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 as a going concern</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September 23, 2025, we announced that we implemented cost reduction actions, including decreasing our workforce by approximately 25%. During the year ended December 31, 2025, we incurred approximately $1.0 million in restructuring costs, primarily related to severance costs. These costs were paid out in the fourth quarter of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Immunology and Inflammation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Irritable Bowel Disease and Ulcerative Colitis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UC, a form of IBD, is a relapsing-remitting chronic inflammatory disorder affecting the mucosal surface of the colon, leading to episodes of bloody diarrhea, urgency and mucosal inflammation (Danese and Fiocchi, 2011), which generally begins in young adulthood and endures for life. The incidence of UC is rising worldwide, and the prevalence of the disease is highest in the United States, Canada, and Europe. In the United States alone, the prevalence of UC is estimated to be 378 per 100,000, or approximately 1.25 million Americans (Lewis et al., 2023). The severity, extent, and duration of disease are also risk factors for developing colon cancer, which occurs at a rate as high as 0.5-1.0% per year, an important complication given the young age at which the disease strikes. Patients with UC also experience increased risk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 or CDI, and primary sclerosing cholangitis, compared to the general population (Dlalal &amp; Allegretti, 2022).</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majority of current medical therapies for the treatment of UC suppress the immune system rather than target reducing the triggers of immune activation and promoting immune tolerance. We believe there remains an unmet need for safer agents with novel non-immunosuppressive mechanisms of action. Moreover, alternative therapy is needed for patients with UC who experience frequent flares, are intolerant to the aminosalicylate class of medication, or where there are safety concerns relating to the use of immunomodulator or steroid therapy.</w:t>
      </w:r>
    </w:p>
    <w:p>
      <w:pPr>
        <w:spacing w:after="0" w:line="72"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Current IBD therapies primarily suppress immune responses rather than address upstream drivers of immune activation. Despite advances in biologics and small molecules, many patients fail to achieve durable remission, and a substantial subset experience incomplete response, loss of response over time, or safety limitations associated with chronic immunosuppression. Additionally, current therapeutic approaches in IBD do not address the potential role of microbiome functional disruptions in causing or aggravating disease in IBD. However, not all patients with IBD present with microbiome disruption; many patients with IBD demonstrate comparable taxonomic and functional microbiome diversity to healthy subjects (Lloyd-Price 2019). Similarly, pre-clinical models have shown that microbiomes from patients with IBD drive variable immune responses, with only a subset of microbiomes resulting in inflammation (Hart et al. 2017; Britton et al. 2019). These data suggest that the microbiome may play a role in a subset of subjects with IBD.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Data from our SER-287 Phase 2b study and the first cohort of subjects from our SER-301 Phase 1b study in patients with mild-to-moderate UC suggest that the pharmacodynamic effects observed for SER-287 and SER-301 were greater in a subset of patients. Based on these results, we continue to advance research and development activities supported by partnerships to evaluate the potential to utilize biomarker-based patient selection and stratification in future clinical development efforts in IBD, and to further optimize our live biotherapeutic lead candidates. In October 2023, we were awarded a $500,000 grant from the CCF to leverage our clinical results and biological mechanism insights to functionally characterize subpopulations and to define associated biomarkers for IBD patient selection and stratification of patients where the GI microbiome plays an active role in inflammation and could be modified to reduce colitis. Our preclinical studies conducted to date have recapitulated the patient subpopulation observations from the previously run trials and progressed associated biomarker delineation of the populations, as well as confirmed a microbiome-driven functional link to disease. These research efforts aim to prioritize inflammatory targets for future clinical trials and evaluate the potential to utilize biomarker-based patient selection and stratification for these future studies.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SER-603</w:t>
      </w:r>
    </w:p>
    <w:p>
      <w:pPr>
        <w:spacing w:after="0" w:line="11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SER-603 is an investigational live biotherapeutic designed to improve response rates and durability of remission in patients with IBD, including UC and Crohn's disease. SER-603 is being developed for use as either a stand-alone therapy in mild-to-moderate disease or as a mechanism-distinct adjunctive therapy in combination with biologics or small molecules in moderate-to-severe disease. The program leverages our prior clinical experience in UC, including learnings from SER-287 and SER-301, and incorporates biomarker-driven patient stratification and optimized microbiome conditioning strategies.</w:t>
      </w:r>
    </w:p>
    <w:p>
      <w:pPr>
        <w:spacing w:after="0" w:line="116"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SER-603 is in preclinical development, with IND-enabling activities ongoing. The program is supported by translational analyses from prior clinical studies and by preclinical studies that have recapitulated microbiome-defined patient subpopulation observations. We continue to evaluate biomarker-based patient selection approaches and functional characterization strategies to inform future clinical development.</w:t>
      </w:r>
    </w:p>
    <w:p>
      <w:pPr>
        <w:spacing w:after="0" w:line="9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Emerging clinical and preclinical evidence suggests that microbiome functional disruption contributes to disease activity in a defined subset of IBD patients. Observational and translational data from our prior SER-287 Phase 2b study and SER-301 Phase 1b study indicate that pharmacodynamic responses were greater in microbiome-defined subpopulations. These findings, along with external data demonstrating heterogeneity in microbiome-associated inflammatory responses, support the development of targeted, biomarker-informed live biotherapeutic strategies. We have discovered more than fifty GI bacterial features linked to inflammatory outcomes and have nominated and validated microbe associated biomarkers that can predict a response to current advanced therapies for IBD. Leveraging these biomarkers and our integrated preclinical and clinical data sets, SER-603 is optimized to address epithelial barrier dysfunction and microbiome-driven inflammation without systemic immunosuppression.</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Given the chronic nature of IBD and continued unmet need for safe, durable, and non-immunosuppressive treatment options, we believe SER-603 has the potential to address a substantial commercial opportunity. SER-603 targets multiple segments of the IBD market, including moderate-to-severe UC (approximately 300,000-400,000 patients in the United States) as combination therapy with current standards of care, moderate-to-severe Crohn's disease in combination therapy setting, and mild-to-moderate UC and Crohn's disease as potential monotherapy.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Immune checkpoint-related enterocolitis (irEC)</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IrEC is among the most frequent and severe irAEs in recipients of immune checkpoint-inhibitor therapy and can be observed in up to 50% of patients with rates varying based on cancer drug and treatment regimen. Immune checkpoint inhibitors can cause a wide range of irAEs with links to T cell biology and epithelial barrier inflammation, both of which are biological functions shown in our preclinical and clinical pharmacology data to be positively impacted by SER-155. We believe that supportive data from this study could provide further support for the expansion of indications that may be well suited for our biotherapeutic approach.</w:t>
      </w:r>
    </w:p>
    <w:p>
      <w:pPr>
        <w:spacing w:after="0" w:line="116"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Immune checkpoint inhibitors are a commonly used class of drugs that promote anti-tumor immune activity for cancer treatment. irEC represents a growing and underserved market driven by the rapid expansion of ICI use across oncology. Importantly, irEC shares substantial pathophysiologic overlap with inflammatory bowel disease (IBD), including epithelial barrier dysfunction, dysregulated mucosal immunity, and microbiome perturbation. This biological convergence enables clinical, regulatory, and commercial synergies between irEC and IBD development programs. With approximately 500,000 patients using ICI globally, approximately 50,000 to 100,000 are anticipated to experience clinically significant irEC. irEC rates vary, with rates highest in CTLA-4-based and combination therapies (~50%); grade 2+ irEC can lead to discontinuation of therapy, risking further cancer progression.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SER-155 in irEC</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SER-155 is currently being evaluated as a first-in-class live biotherapeutic candidate for the treatment of Grade 2–3 immune checkpoint inhibitor-related enterocolitis (irEC) as a result of ICI therapy. The program is designed to promote mucosal healing and modulate inflammation without systemic immunosuppression, with the goal of reducing or eliminating the need for high-dose corticosteroids, which carry the risk of toxicity and ICI efficacy impact. We believe SER-155 could be a first-in-class therapy; current approaches manage toxicity reactively with immunosuppression, which can negatively impact cancer treatment.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are nearing completion of a single-arm, open-label Phase 1b investigator-sponsored trial conducted with Memorial Sloan Kettering Cancer Center evaluating SER-155 as first-line treatment of irEC. The study was fully enrolled (n=15) in early 2026, and we expect to report initial clinical results, including preliminary safety, efficacy, pharmacology, and exploratory biomarker data in the second quarter of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Infection Risk Reduction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continue to be invested in the infectious disease space, with a renewed focus on leveraging our existing clinical data, translational insights, and manufacturing capabilities to support targeted development efforts across a defined set of related indications. We believe that the scientific and clinical data from our VOWST program (our then product candidate SER-109 program) validate our novel approach of using live biotherapeutics to decolonize pathogens and improve epithelial barrier integrity, resulting in reduced rate of infections in medically compromised patients. Data from the ECOSPOR III and ECOSPOR IV Phase 3 trial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(Feuerstadt et al., 2022) and </w:t>
      </w:r>
      <w:r>
        <w:rPr>
          <w:rFonts w:ascii="Times New Roman" w:cs="Times New Roman" w:eastAsia="Times New Roman" w:hAnsi="Times New Roman"/>
          <w:sz w:val="18"/>
          <w:szCs w:val="18"/>
          <w:i w:val="1"/>
          <w:iCs w:val="1"/>
          <w:color w:val="auto"/>
        </w:rPr>
        <w:t>Journal of the American 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w:t>
      </w:r>
      <w:r>
        <w:rPr>
          <w:rFonts w:ascii="Times New Roman" w:cs="Times New Roman" w:eastAsia="Times New Roman" w:hAnsi="Times New Roman"/>
          <w:sz w:val="18"/>
          <w:szCs w:val="18"/>
          <w:color w:val="auto"/>
        </w:rPr>
        <w:t>(Sims et al., 2023) suggest that live biotherapeutics have the potential to restructure the gut microbiome and shift the gut metabolic landscape.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data show that VOWST rapidly reduced the abundance of bacteria associated with common antibiotic resistance genes, or ARGs, and reduced ARG abundance in the gut (Straub et al., 2023). Collectively, we believe these data suggest the potential for live biotherapeutics to prevent the colonization and overgrowth of pathogens that can establish in the gut and ultimately to reduce infections. We believe that reducing pathogen colonization in the GI and improving GI epithelial barrier integrity to reduce the risk of infection may be replicable in a range of medically compromised patients, protecting them from infections and resulting downstream clinical sequelae.</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believe this approach may also enable us to reduce AMR, which the World Health Organization declared as a top ten global public health threat facing humanity, and with estimates that yearly deaths may reach 10 million by 2050, putting mortality due to AMR on par with deaths due to cancer. Recently, two manuscripts were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(Bryant et al. 2026) and the </w:t>
      </w:r>
      <w:r>
        <w:rPr>
          <w:rFonts w:ascii="Times New Roman" w:cs="Times New Roman" w:eastAsia="Times New Roman" w:hAnsi="Times New Roman"/>
          <w:sz w:val="18"/>
          <w:szCs w:val="18"/>
          <w:i w:val="1"/>
          <w:iCs w:val="1"/>
          <w:color w:val="auto"/>
        </w:rPr>
        <w:t>Journal of Infectious Diseases</w:t>
      </w:r>
      <w:r>
        <w:rPr>
          <w:rFonts w:ascii="Times New Roman" w:cs="Times New Roman" w:eastAsia="Times New Roman" w:hAnsi="Times New Roman"/>
          <w:sz w:val="18"/>
          <w:szCs w:val="18"/>
          <w:color w:val="auto"/>
        </w:rPr>
        <w:t xml:space="preserve"> (Bryant et al. 2025) highlighting new insights into the functional mechanism and clinical impact of VOWST. The </w:t>
      </w:r>
      <w:r>
        <w:rPr>
          <w:rFonts w:ascii="Times New Roman" w:cs="Times New Roman" w:eastAsia="Times New Roman" w:hAnsi="Times New Roman"/>
          <w:sz w:val="18"/>
          <w:szCs w:val="18"/>
          <w:i w:val="1"/>
          <w:iCs w:val="1"/>
          <w:color w:val="auto"/>
        </w:rPr>
        <w:t>Nature Medicine article</w:t>
      </w:r>
      <w:r>
        <w:rPr>
          <w:rFonts w:ascii="Times New Roman" w:cs="Times New Roman" w:eastAsia="Times New Roman" w:hAnsi="Times New Roman"/>
          <w:sz w:val="18"/>
          <w:szCs w:val="18"/>
          <w:color w:val="auto"/>
        </w:rPr>
        <w:t xml:space="preserve">, titled “The impact of an oral purified microbiome therapeutic on the GI microbiome”, confirmed our pharmacological hypotheses from earlier VOWST studies, with higher VOWST dosing associated with enhanced pharmacokinetics, as assessed by faster and more robust therapeutic species engraftment in the gut. Treatment also significantly altered the composition of the intestinal microbiome and microbe-associated metabolites, including decreased primary and increased secondary bile acids, as well as elevated short- and medium-chain fatty acids, functional changes that inhibit C. difficile spore germination and vegetative growth. Further, in vitro analyses confirmed that VOWST batches induced production of these metabolites that disrupt C. difficile life cycle and growth. Collectively, these findings support VOWST’s role in restoring microbe-associated metabolic functions critical to preventing CDI recurrence. A complementary publication in the </w:t>
      </w:r>
      <w:r>
        <w:rPr>
          <w:rFonts w:ascii="Times New Roman" w:cs="Times New Roman" w:eastAsia="Times New Roman" w:hAnsi="Times New Roman"/>
          <w:sz w:val="18"/>
          <w:szCs w:val="18"/>
          <w:i w:val="1"/>
          <w:iCs w:val="1"/>
          <w:color w:val="auto"/>
        </w:rPr>
        <w:t>Journal of Infectious Diseases</w:t>
      </w:r>
      <w:r>
        <w:rPr>
          <w:rFonts w:ascii="Times New Roman" w:cs="Times New Roman" w:eastAsia="Times New Roman" w:hAnsi="Times New Roman"/>
          <w:sz w:val="18"/>
          <w:szCs w:val="18"/>
          <w:color w:val="auto"/>
        </w:rPr>
        <w:t>, titled “Comparability of Gastrointestinal Microbiome and Bile Acid Profiles in Patients With First or Multiply Recurrent Clostridioides difficile Infection”, reported a post hoc analysis of the ECOSPOR IV Phase 3 trial, evaluating differences in gastrointestinal microbiome and bile acid profiles between patients experiencing a first recurrence C. difficile infection (frCDI) versus multiply recurrence infection (mrCDI). These data demonstrate that the underlying functional disease etiology is consistent in both first and multiply recurrent CDI patient populations, with VOWST demonstrating similar efficacy and drug pharmacology across the broad patient population.</w:t>
      </w:r>
    </w:p>
    <w:p>
      <w:pPr>
        <w:spacing w:after="0" w:line="8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believe these data provide important clinical translation and further demonstrate the potential of live biotherapeutics to target specific microbiome functions that are linked to serious disease, including those that are not effectively treated with other drug modalities. The underlying data supporting these publications was developed using Seres MbTx platform, which provides high-resolution assessment of drug pharmacology and functional mechanism of action. These data on bacterial function and pharmacology anchored the preclinical development of SER-155 and inform the continued development of Seres’ pipeline of next-generation live biotherapeutic products.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SER-155 in allo-HSCT</w:t>
      </w:r>
    </w:p>
    <w:p>
      <w:pPr>
        <w:spacing w:after="0" w:line="11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are developing SER-155, an investigational, oral, live biotherapeutic designed to decolonize GI pathogens, improve GI epithelial barrier integrity, and induce immune homeostasis to prevent bacterial BSIs as well as other pathogen associated negative clinical outcomes in patients undergoing allo-HSCT. SER-155 is a live biotherapeutic candidate designed to prevent frequent, expensive, and fatal infections in blood cancer patients.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SER-155 contains 16 bacterial strains selected using our reverse translation discovery and development platform technologies to optimize SER-155’s targeted profile. The design incorporates biomarker data from human clinical data and screening data from nonclinical human cell-based assays and in vivo disease models. The bacteria consortia is designed to optimize: (i) the prevention of the growth of various </w:t>
      </w:r>
      <w:r>
        <w:rPr>
          <w:rFonts w:ascii="Times New Roman" w:cs="Times New Roman" w:eastAsia="Times New Roman" w:hAnsi="Times New Roman"/>
          <w:sz w:val="18"/>
          <w:szCs w:val="18"/>
          <w:i w:val="1"/>
          <w:iCs w:val="1"/>
          <w:color w:val="auto"/>
        </w:rPr>
        <w:t>Enterococcaceae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Enterobacteriaceae</w:t>
      </w:r>
      <w:r>
        <w:rPr>
          <w:rFonts w:ascii="Times New Roman" w:cs="Times New Roman" w:eastAsia="Times New Roman" w:hAnsi="Times New Roman"/>
          <w:sz w:val="18"/>
          <w:szCs w:val="18"/>
          <w:color w:val="auto"/>
        </w:rPr>
        <w:t xml:space="preserve"> species known to potentially dominate the GI tract and lead to downstream negative clinical outcomes in medically compromised patients and that can harbor antibacterial resistance, (ii) the production of multiple bacterial metabolites that can promote mucosal and epithelial barrier integrity with the goal of reducing the likelihood of harmful bacteria translocating from the gut to the bloodstream through a compromised epithelium, and (iii)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production of multiple bacterial metabolites that can modulate immune pathways to induce immune tolerance with a potential impact on GvHD.</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rationale for this program is based in part on published clinical evidence from our collaborators at Memorial Sloan Kettering Cancer Center showing that allo-HSCT patients with decreased diversity of commensal microbes and pathogen domination in the GI tract were significantly more likely to die due to infection and/or lethal GvHD (Peled et al., 2020). There are an estimated 40,000 allo-HSCT procedures annually worldwide, and infection is one of the most common causes of mortality in these patients. The Center for International Blood &amp; Marrow Transplant Research, or CIBMTR, reports that 19-28% of deaths in allo-HSCT patients over 18 years of age within 100 days post-transplant are caused by infections and 5-14% by GvHD. In December 2023, we received Fast Track Designation for SER-155 to reduce the risk of infection and GvHD in allo-HSCT patients. In December 2024, the FDA granted Breakthrough Therapy designation for SER-155 for the reduction of BSIs in patients 18 years and older undergoing allo-HSCT.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SER-155 Phase 1b Study (including placebo-controlled Cohort)</w:t>
      </w:r>
    </w:p>
    <w:p>
      <w:pPr>
        <w:spacing w:after="0" w:line="11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SER-155 has been evaluated in a Phase 1b study in patients undergoing allo-HSCT. The SER-155 Phase 1b study included two cohorts. Cohort 1 was designed to assess safety and drug pharmacology, specifically the drug strain engraftment in the GI tract. Cohort 1 included 13 subjects who received any dosing of the SER-155 regimen, with 11 subjects subsequently receiving an allo-HSCT. Results from this cohort, announced in May 2023, showed SER-155 was generally well tolerated and resulted in successful drug strain engraftment and a reduction in pathogen domination in the GI microbiome relative to a historical control cohort.</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Study Cohort 2 utilized a randomized, double-blinded 1:1 placebo-controlled design to further evaluate safety and drug strain engraftment, as well as key secondary and exploratory endpoints such as the incidence of bacterial bloodstream infections and related medical consequences such as febrile neutropenia and antibiotic use. Cohort 2 included 45 patients in the intention-to-treat (ITT) population. Of the ITT population, 20 received SER-155 and 14 received placebo, each of whom subsequently received an allo-HSCT, with data available for clinical evaluation through day 100, the study’s prespecified primary observation point. Exploratory hypothesis testing was conducted at the two-sided α=0.05 level. Ninety-five percent (95%) 2-sided confidence intervals (CIs) were determined, where specified. No adjustment for multiplicity was done. A subset of patient samples was available for drug pharmacology analysis.</w:t>
      </w:r>
    </w:p>
    <w:p>
      <w:pPr>
        <w:spacing w:after="0" w:line="8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median age in Cohort 2 was 63, and most subjects had acute myeloid leukemia, acute lymphocytic leukemia, myelodysplastic syndrome or myeloproliferative neoplasia as their primary disease and received reduced-intensity conditioning pre-transplant. Most patients received peripheral blood stem cells from a matched unrelated donor. A majority received post-transplant cyclophosphamide as part of their GvHD prophylaxis.</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Results from Cohort 2, announced in September 2024, were consistent with the observations from Cohort 1. SER-155 was generally well tolerated, and no treatment-emergent serious adverse events related to drug were observed. SER-155 bacterial strains engrafted into the gastrointestinal tract of patients following the administration of SER-155.</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incidence of BSIs was significantly lower in the SER-155 arm compared with the placebo arm (2/20 (10%) vs. 6/14 (42.9%), respectively; [Odds Ratio: 0.15; 95% CI: 0.01, 1.13, p=0.0423]), which represents a relative risk reduction of approximately 77% and an absolute risk reduction of approximately 33%. In addition, while treatment antibiotic starts were similar in each arm, patients administered SER-155 were treated with antibiotics for a significantly shorter cumulative duration compared to patients in the placebo arm (9.2 days vs. 21.1 days, respectively, with a mean difference of -11.9 days [95% CI: -23.85, -0.04; p=0.0494]). The incidence of febrile neutropenia was lower in patients administered SER-155 compared to placebo (65% vs. 78.6%, respectively; [Odds Ratio: 0.51; 95% CI: 0.07, 2.99; p=0.4674]). Six cases of GI infections (C. difficile infections) were observed in the study, with four cases (20%) in the SER-155 arm and two cases (14.3%) in the placebo arm.</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Recent changes in the allo-HSCT standard of care and the increasing use of post-transplant cyclophosphamide as part of prophylactic therapy for GvHD have reduced rates of GvHD overall in this patient population. The rates of GvHD in the study were low, with two cases of grade 2 GvHD observed in each arm, and no cases of grade 3 or 4 GvHD were observed.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Cohort 2, the ability to detect pathogen domination (i.e., relative abundance in the GI ≥30%) in the placebo arm, and differences between the study arms, was constrained due to the limited number of placebo stool samples and an imbalance in the number of available stool samples between the arms. Observed pathogen domination events were low in the placebo and SER-155 arms with no significant differences identified. In a comparison of the prevalence of pathogen domination versus a larger allo-HSCT historical control cohort, pathogen domination in SER-155 subjects was substantially lower, providing further evidence of SER-155 activity.</w:t>
      </w:r>
    </w:p>
    <w:p>
      <w:pPr>
        <w:spacing w:after="0" w:line="75"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believe the available study data from Cohort 1 suggest that SER-155 administration results has the potential to significantly lower incidence rates of gastrointestinal dominations with pathogens of clinical concern, such as </w:t>
      </w:r>
      <w:r>
        <w:rPr>
          <w:rFonts w:ascii="Times New Roman" w:cs="Times New Roman" w:eastAsia="Times New Roman" w:hAnsi="Times New Roman"/>
          <w:sz w:val="18"/>
          <w:szCs w:val="18"/>
          <w:i w:val="1"/>
          <w:iCs w:val="1"/>
          <w:color w:val="auto"/>
        </w:rPr>
        <w:t>Enterococcaceae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Enterobacteriaceae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Streptococcaceae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Staphylococcaceae</w:t>
      </w:r>
      <w:r>
        <w:rPr>
          <w:rFonts w:ascii="Times New Roman" w:cs="Times New Roman" w:eastAsia="Times New Roman" w:hAnsi="Times New Roman"/>
          <w:sz w:val="18"/>
          <w:szCs w:val="18"/>
          <w:color w:val="auto"/>
        </w:rPr>
        <w:t>. We further believe the resulting Cohort 2 data, together with the Cohort 1 SER-155 Phase 1b study results provide encouraging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to support further development of SER-155 to potentially reduce GI associated bloodstream and AMR infections as well as increase immune tolerance in individuals undergoing allo-HSCT for cancers and other serious conditions.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2" w:name="page83"/>
    <w:bookmarkEnd w:id="82"/>
    <w:p>
      <w:pPr>
        <w:ind w:left="520"/>
        <w:spacing w:after="0"/>
        <w:rPr>
          <w:sz w:val="20"/>
          <w:szCs w:val="20"/>
          <w:color w:val="auto"/>
        </w:rPr>
      </w:pPr>
      <w:r>
        <w:rPr>
          <w:rFonts w:ascii="Times New Roman" w:cs="Times New Roman" w:eastAsia="Times New Roman" w:hAnsi="Times New Roman"/>
          <w:sz w:val="18"/>
          <w:szCs w:val="18"/>
          <w:u w:val="single" w:color="auto"/>
          <w:color w:val="auto"/>
        </w:rPr>
        <w:t>Proposed SER-155 Phase 2 Study</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SER-155 Phase 2 study will incorporate a well-powered, placebo-controlled design, which provides for a planned interim analysis to enable an expedited initial data readout. The SER-155 Phase 2 study is expected to enroll approximately 248 participants and incorporate an adaptive design and an interim data analysis when approximately half of the enrolled participants have reached the primary endpoint. We expect to obtain the interim clinical results within twelve months following study initiation, which we believe will facilitate timely engagement with the FDA on the design of a Phase 3 study and inform development in adjacent medically vulnerable patient populations. We believe that positive results, if achieved, from the Phase 2 study could enable advancement into a single Phase 3 trial to support registration.</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Following advancement of key startup activities for the SER-155 Phase 2 study in allo-HSCT, including the submission of a final protocol to the FDA in January 2026, study site evaluation and qualification with our CRO, and manufacturing of drug substance, we have paused additional investment in that program while continuing to seek funding for the Phase 2 study.</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continue our efforts to obtain capital and other resources to support further development of SER-155 and our broader portfolio of live biotherapeutic product candidates with applications for inflammatory diseases. We are evaluating a range of potential deal structures that we believe could leverage our live biotherapeutics expertise and success, as demonstrated by bringing VOWST from early development through FDA approval.</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October 2025, we presented new post hoc data from our SER-155 Phase 1b trial in an oral presentation at IDWeek in Atlanta, Georgia. The presentation included new post-hoc analysis from the completed SER-155 Phase 1b study describing differences between the SER-155 and placebo groups, including the bacterial and fungal organisms causing BSIs, BSI event clinical outcomes, antibacterial prophylaxis use, and patterns of AMR among the bacterial BSI organisms. These new data illustrated that BSIs occurred despite antibacterial prophylaxis, and that BSI bacteria exhibited AMR. Resistance to multiple antibacterial agent classes was observed only in the BSI bacteria from placebo-treated participants, two of whom had fatal outcomes related to their BSIs. These new data further support the potential of SER-155 as an innovative alternative approach to the significant unmet medical need for prevention of BSIs in HSCT patients, especially those BSIs associated with AMR that increases the risk of morbidity and mortality.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Exploratory biomarker data</w:t>
      </w:r>
    </w:p>
    <w:p>
      <w:pPr>
        <w:spacing w:after="0" w:line="11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January 2025, we reported exploratory translational biomarker data from the SER-155 Phase 1b study which provided evidence supporting the intended therapeutic mechanisms, including promotion of intestinal epithelial barrier integrity to reduce the potential of bacterial translocation into the bloodstream, and reduction of systemic inflammatory responses. Results from this exploratory biomarker analysis showed that SER-155 was associated with lower levels of fecal albumin and lower concentrations of various plasma biomarkers associated with systemic inflammation (i.e., IFN-y, TNF-α, IL-17, and IL-8) in the HSCT peri-transplant period, the period from the end of the first SER-155 treatment course through to neutrophil engraftment. The results support SER-155’s intended mechanisms of action and reinforce the previously reported promising clinical study efficacy and safety data. These systemic inflammatory response observations further support the potential to develop our live biotherapeutics to address inflammatory and immune diseases, including ulcerative colitis and Crohn’s disease.</w:t>
      </w:r>
    </w:p>
    <w:p>
      <w:pPr>
        <w:spacing w:after="0" w:line="84"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February 2025, clinical and biomarker results from our biotherapeutic programs were presented as a poster at the 2025 Tandem Transplantation &amp; Cellular Therapy Meetings of the American Society for Transplantation and Cellular Therapy (ASTCT) and Center for International Blood and Marrow Transplant Research (CIBMTR). SER-155 Phase 1b clinical study data were also featured in an oral presentation in the Best Abstracts in Infectious Diseases track at the Tandem meeting.</w:t>
      </w:r>
    </w:p>
    <w:p>
      <w:pPr>
        <w:spacing w:after="0" w:line="112"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In April 2025, we presented SER-155 Phase 1b clinical and exploratory biomarker results at the 51st annual meeting of the European Society for Blood and Marrow Transplantation, or EBMT. Our presented poster was recognized by the EBMT scientific organizing committee and obtained the “Best Clinical Poster Award.”</w:t>
      </w:r>
    </w:p>
    <w:p>
      <w:pPr>
        <w:spacing w:after="0" w:line="9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May 2025, we presented data at the Digestive Disease Week, or DDW conference highlighting preclinical and clinical data that enable identification of patients with a disease etiology linked to the gastrointestinal microbiome, and the identification of microbiome-based biomarkers that are predictive of response and suitable for patient selection and stratification in clinical trials. Our poster, entitled “Candidate Biomarkers of Microbiome Disruption for Patient Selection or Stratification in Clinical Trials of Microbiome Therapies in Ulcerative Colitis” received a Poster of Distinction award in the Microbiome and Microbial Therapies subgroup. We believe that the data generated suggest that live biotherapeutics could provide a novel treatment modality that could benefit patients living with gut-related inflammatory and immune diseases that are not effectively addressed today. Furthermore, research indicates that specific patient subpopulations optimally suited for biotherapeutic-based treatments may be identifiable. We are exploring options, including potential partnerships, to advance the development of our biotherapeutics in inflammatory and immune diseases, including ulcerative colitis and Crohn’s disease.</w:t>
      </w:r>
    </w:p>
    <w:p>
      <w:pPr>
        <w:spacing w:after="0" w:line="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May 2025, we presented new exploratory biomarker data from the SER-155 Phase 1b study in a poster session at the 2025 American Society of Clinical Oncology, or ASCO, Annual Meeting. The biomarker data presented at ASCO demonstrate the potential of SER-155 to promote immune reconstitution following allo-HSCT by modulating homeostatic cytokines and peripheral T-cell expansion. In post hoc analyses from the SER-155 Phase 1b study, significantly higher levels of the homeostatic cytokine IL-7 were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3" w:name="page84"/>
    <w:bookmarkEnd w:id="8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observed both after the second course of SER-155 (administered after neutrophil recovery) and at HSCT Day 100, as compared to placebo. Additionally, a higher frequency of CD4+ T cells was observed in peripheral blood at these same timepoints in the SER-155 arm. We believe the results support the ability of SER-155 to promote peripheral T-cell recovery and immune reconstitution to support favorable outcomes post allo-HSCT.</w:t>
      </w:r>
    </w:p>
    <w:p>
      <w:pPr>
        <w:spacing w:after="0" w:line="68"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believe that exploratory biomarker data presented at recent medical meetings have supported the intended mechanisms of SER-155 and demonstrated the broader potential of live biotherapeutics in inflammatory and immune mediated diseases.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Oral Live Biotherapeutic Product - Liquid Formulation (LBP-LF)</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July 2025, we were awarded a grant from CARB-X to support the development of an oral liquid formulation of an LBP based on SER-155 (LBP-LF) for medically vulnerable patient populations at risk of BSIs, including AMR infections, who cannot be dosed with oral capsules, such as intubated patients in the ICU. The CARB-X grant provides us with up to $3.6 million of funding for research, manufacture, and design of a Phase 1 clinical trial in ICU patients. LBP-LF is designed to target the prevention of bloodstream infections in medical ICU patients by </w:t>
      </w:r>
      <w:r>
        <w:rPr>
          <w:rFonts w:ascii="Times New Roman" w:cs="Times New Roman" w:eastAsia="Times New Roman" w:hAnsi="Times New Roman"/>
          <w:sz w:val="18"/>
          <w:szCs w:val="18"/>
          <w:i w:val="1"/>
          <w:iCs w:val="1"/>
          <w:color w:val="auto"/>
        </w:rPr>
        <w:t>Escherichia coli</w:t>
      </w:r>
      <w:r>
        <w:rPr>
          <w:rFonts w:ascii="Times New Roman" w:cs="Times New Roman" w:eastAsia="Times New Roman" w:hAnsi="Times New Roman"/>
          <w:sz w:val="18"/>
          <w:szCs w:val="18"/>
          <w:color w:val="auto"/>
        </w:rPr>
        <w:t xml:space="preserve"> and other gut-derived bacteria capable of harboring antibiotic resistance. Up to 50% of all preventable medical ICU deaths have been attributed to infections with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and other gut-derived bacteria (Mayr, 2006). These infections are also the leading cost in the medical ICU (Neidell, 2012). When ICU patients with multidrug resistant, or MDR, infections survive hospitalization, they have high long-term morbidity with over 20% 30-day readmission rates (Chang, 2015; Mayr, 2017). Over 5 million patients are admitted to ICUs in the U.S. annually, and these admissions account for approximately 20% of all acute care hospitalizations (Barrett et al. 2024).</w:t>
      </w:r>
    </w:p>
    <w:p>
      <w:pPr>
        <w:spacing w:after="0" w:line="8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Infections with pathogenic, often MDR, bacteria are the leading cause of mortality in the medical ICU, causing up to 9 deaths for every 100 ICU patients admitted (Vincent, 2009). Most patients are admitted to the medical ICU with a known or suspected infection (i.e., sepsis) but, with targeted or empiric antibiotics, most recover from this initial infection. Once in the ICU, secondary, healthcare-associated infections frequently develop during the prolonged recovery from sepsis and are a significant driver of mortality. LBP-LF is a novel approach that addresses both gut colonization and subsequent translocation by </w:t>
      </w:r>
      <w:r>
        <w:rPr>
          <w:rFonts w:ascii="Times New Roman" w:cs="Times New Roman" w:eastAsia="Times New Roman" w:hAnsi="Times New Roman"/>
          <w:sz w:val="18"/>
          <w:szCs w:val="18"/>
          <w:i w:val="1"/>
          <w:iCs w:val="1"/>
          <w:color w:val="auto"/>
        </w:rPr>
        <w:t>E. coli</w:t>
      </w:r>
      <w:r>
        <w:rPr>
          <w:rFonts w:ascii="Times New Roman" w:cs="Times New Roman" w:eastAsia="Times New Roman" w:hAnsi="Times New Roman"/>
          <w:sz w:val="18"/>
          <w:szCs w:val="18"/>
          <w:color w:val="auto"/>
        </w:rPr>
        <w:t xml:space="preserve"> and other gut-derived pathogens to prevent a significant proportion of these secondary hospital acquired infections. LBP-LF is in preclinical development, with IND-enabling activities ongoing and IND-readiness targeted by the end of 2026. Development of LBP-LF is ongoing with grant support from CARB-X  and in collaboration with Columbia University.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SER-147</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also developing another proprietary live biotherapeutic composition, SER-147, designed to prevent bacterial bloodstream and spontaneous bacterial peritonitis, or SBP, infections in patients with metabolic disease, including chronic liver disease, or CLD. SER-147 was designed and optimized using our reverse translational therapeutics development platform. CLD is a progressive condition marked by deterioration of liver function and is reaching epidemic proportions affecting nearly 1.7 billion people worldwide, causing substantial health burden on afflicted countries (GBD 2017 Cirrhosis Collaborators, 2020, Clinical Liver Disease, 2021).</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advanced stages of CLD, known as decompensated cirrhosis, patients exhibit significant immune dysfunction, microbiome disruption, and increased contact with the healthcare system, all of which drive increased susceptibility to bacterial infections such as SBP and BSIs (Bajaj et al., 2021, Albillos et al., 2022). Over 40% of patients with decompensated cirrhosis experience an infection within the first year of diagnosis. Antibiotics are the only prophylactic option for patients at high risk of infections like SBP, resulting in exposure to antibiotics for months or years. To combat increasing rates of AMR, antibacterial prophylaxis for primary SBP is no longer recommended for the majority of patients outside of very high-risk, leaving significant unmet need. Many cultivated live biotherapeutics currently in clinic are constrained by formulation technologies incompatible with concomitant medications commonly used in CLD.</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SER-147 is in preclinical development. The program is ready to progress to IND-enabling activities, including manufacturing, in order to advance to clinical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Notice and Compliance</w:t>
      </w:r>
    </w:p>
    <w:p>
      <w:pPr>
        <w:spacing w:after="0" w:line="121"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On November 7, 2024, we received a letter from the Listing Qualifications Department of The Nasdaq Stock Market LLC, or Nasdaq, notifying us that, for the last 30 consecutive business days, the bid price for our common stock had closed below the $1.00 per share minimum bid price requirement for continued inclusion on The Nasdaq Global Select Market pursuant to Nasdaq Listing Rule 5450(a)(1), or the Bid Price Requirement.</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On April 21, 2025, we effected a 1-for-20 reverse stock split of our common stock. Trading of our common stock on The Nasdaq Global Select Market commenced on a split-adjusted basis on April 22, 2025 and we regained compliance with the Bid Price Requirement.</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All shares of our common stock, stock-based instruments, and per-share data included in this Annual Report on Form 10-K have been retroactively adjusted as though the reverse stock split had been effected prior to all periods presented.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an extensive patent portfolio directed to rationally designed ecologies of spores and microbes. The portfolio includes both company-owned patents and applications, and those that we have rights to as licensee. The patents and applications included in our portfolio cover both composition of matter and methods (e.g., method of treating). Our intellectual property rights related to SER-155 and SER-147 extend through 2043 (not including any potential term extension). We plan on continuing to broaden our patent portfolio. Currently, we have 22 active patent families, which includes 18 nationalized applications and three at the provisional stage. To date, we have obtained issuance of 33 U.S. patents (which includes three as licensee). Of the issued U.S. patents, 13 U.S. patents (including one as licensee) have been assigned to Nestlé Health Science as part of its purchase of VOWST.</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connection with the Transaction and pursuant to the Purchase Agreement, we transferred certain patents and trademarks affiliated with the VOWST Business to SPN at Closing. In addition, in connection with Closing, we entered into a cross-license agreement, or the Cross-License Agreement, with SPN. Under the Cross-License Agreement, we granted to SPN a perpetual, worldwide, non-exclusive, fully paid-up license under certain Seres patents that have been issued or will issue in the future and current know-how controlled by us that was not transferred to SPN pursuant to the Purchase Agreement. In the field of the treatment of CDI and recurrent CDI and associated complications, or collectively, the CDI Field, the license to SPN under such Seres patents and know-how is exclusive to SPN for five years after the Closing and co-exclusive between SPN and Seres following that five year period. The license from Seres to SPN is to issued Company patents that currently or in the future cover the Product or improvements thereof and know-how that is used or reasonably useful in connection with the exploitation of the VOWST Business. We also granted SPN an exclusive, perpetual, worldwide, fully paid-up license under issued Seres patents that currently or in the future cover the Product and improvements thereof and know-how that is used or reasonably useful in connection with the exploitation of the Product to exploit SER-262 in the CDI Field. SPN granted to us a perpetual, worldwide, non-exclusive license under the patents and know-how that are transferred to SPN pursuant to the Purchase Agreement or developed under the TSA, for Seres' products for use outside of the CDI Field, and after five years from Closing for Seres products containing designed, cultivated, bacterial consortia not manufactured using human stool (excluding SER-262) in the CDI Field. From and after Closing, certain license agreements between us, SPN, and/or their respective affiliates terminated and are of no further force or effect, except as contemplated by the Purchase Agreement.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Exclusivity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obtain marketing approval for any of our product candidates, we expect to receive reference product exclusivity against biosimilar products.</w:t>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 sale of products. Our revenues have been derived primarily from our agreements with our collaborators. See “–Liquidity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activities and general and administrative costs. In connection with the TSA we entered into with NESA following the sale of the VOWST Business during the third quarter of 2024, our operating expenses also consisted of certain passthrough costs incurred in performing duties under the TSA and manufacturing services related to the VOWST Business and operations.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other obligations, which include:</w:t>
      </w:r>
    </w:p>
    <w:p>
      <w:pPr>
        <w:spacing w:after="0" w:line="54" w:lineRule="exact"/>
        <w:rPr>
          <w:sz w:val="20"/>
          <w:szCs w:val="20"/>
          <w:color w:val="auto"/>
        </w:rPr>
      </w:pPr>
    </w:p>
    <w:p>
      <w:pPr>
        <w:jc w:val="both"/>
        <w:ind w:left="1020" w:right="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research, preclinical activities and clinical trials on our behalf as well as contract manufacturing organizations and other third parties that manufacture or test drug products for use in our preclinical and clinical trials;</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in our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5" w:name="page86"/>
    <w:bookmarkEnd w:id="85"/>
    <w:p>
      <w:pPr>
        <w:ind w:left="1020" w:right="4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allocated expenses for rent and maintenance of facilities and other operating costs;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passthrough costs, reimbursable by Nestlé, incurred in performing duties under the TSA.</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primary focus of research and development since inception has been on our reverse translational platform and the subsequent development of our product candidates.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anticipate an overall decrease in research and development expenses in 2026 as compared to 2025, following the conclusion of the TSA, completion of the Phase 1b study of SER-155 in allo-HSCT, and the cost reduction actions that were implemented in September 2025 and February 2026, including pausing investment in the SER-155 Phase 2 study and headcount reductions. Research and development expenses may increase in the future if and as we resume development of any clinical or preclinical programs. In 2025, research and development expenses included labor and passthrough costs, reimbursable by Nestlé, incurred in performing obligations under the TSA. Given the conclusion of the TSA as of December 31, 2025, these costs and related reimbursements are not expected to reoccur in 2026.</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commercial,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In 2025, general and administrative expenses included labor and passthrough costs, reimbursed by Nestlé, incurred in performing obligations under the TSA.</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decrease in 2026 as compared to 2025, following the conclusion of the TSA, reduction of our workforce and overall cost containment efforts. General and administrative expenses may increase in the future as we continue to incur increased expenses associated with being a public company, including increased costs of accounting, audit, legal, regulatory and tax-related services associated with maintaining compliance with exchange listing rules and the requirements of the SEC, director and officer insurance costs and investor and public relations costs.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Services</w:t>
      </w:r>
    </w:p>
    <w:p>
      <w:pPr>
        <w:spacing w:after="0" w:line="119"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Under the TSA with NESA, beginning in the fourth quarter of 2024, we provided certain manufacturing services and related functions of the VOWST Business and operations. Expenses associated with the manufacturing services include certain facility-related, labor, lab supplies and consumables, and other manufacturing costs that would have been capitalized into inventory prior to the sale of VOWST Business.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provided the manufacturing services until December 31, 2025. We do not expect to incur any expenses related to manufacturing services related to the VOWST business in the future, as the TSA and other Transaction-related obligations concluded on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investments.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incurred under our loan and security agreement, or the Hercules Loan and Security Agreement, with Hercules Capital, Inc., or Hercules.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income, net primarily consists of:</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6" w:name="page87"/>
    <w:bookmarkEnd w:id="86"/>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sublease income;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premiums or accretion of discounts on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foreign currency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values of our warrant liabilities associated with our prior credit facility with Oaktree;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associated with the extinguishment of our prior credit facility with Oaktree;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Nestlé paid for costs associated with PRMS manufacturing; and reimbursement for certain labor and other passthrough costs of the transition services performed by the Company under the TSA;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associated with the change in the Company's accrued liabilities due to SPN - related party.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We completed the sale of the VOWST Business to SPN on September 30, 2024. The financial results of the VOWST Business have been classified as discontinued operations in the consolidated statements of operations and the related assets and liabilities of the VOWST Business have been classified as assets and liabilities of discontinued operations in the consolidated balance sheets. Unless otherwise noted, amounts and disclosures in this section relate to our continuing operations (except for the Liquidity and Capital Resources section).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2025, we had federal and state NOL carryforwards of $616.4 million and $597.8 million, respectively, both of which begin to expire in 2035. As of December 31, 2025, we also had federal and state research and development tax credit carryforwards of $46.2 million and $10.0 million, respectively, net of uncertain tax position reserves, which begin to expire in 2031 and 2028, respectively. The federal research and development tax credits include an orphan drug credit carryforward of $25.9 million.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The preparation of our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consolidated financial statements and disclosures based on varying assumptions.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our financial statements based on facts and circumstances known to us at that time, which include information from our CROs and CMOs reported to us on a periodic basis. Examples of estimated accrued research and development expenses include fees paid to:</w:t>
      </w:r>
    </w:p>
    <w:p>
      <w:pPr>
        <w:spacing w:after="0" w:line="81"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services on our behalf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providers in connection with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preclinical and clinical supplies.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4"/>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revenue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Manufacturing services</w:t>
            </w:r>
          </w:p>
        </w:tc>
        <w:tc>
          <w:tcPr>
            <w:tcW w:w="10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(93,971)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(121,315)</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(14,107)</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(125,771)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-1859280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-1859280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-1859280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-1165225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-1165225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-873760</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-873760</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-873760</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-316865</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-316865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-316865</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Total revenue was $0.8 million for the year ended December 31, 2025 consisting of costs reimbursable under the CARB-X grant that we were awarded in the third quarter of 2025.</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ind w:left="41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Live biotherapeutics platform</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23,573</w:t>
            </w:r>
          </w:p>
        </w:tc>
        <w:tc>
          <w:tcPr>
            <w:tcW w:w="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29,006</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(5,433)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SER-155</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Early stage programs</w:t>
            </w:r>
          </w:p>
        </w:tc>
        <w:tc>
          <w:tcPr>
            <w:tcW w:w="9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(7,136)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49,060</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(15,540)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-1362075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-1362075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-1362075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-1079500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-1079500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$49.1 million for the year ended December 31, 2025, compared to $64.6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decrease of $15.5 million was due primarily to the following:</w:t>
      </w:r>
    </w:p>
    <w:p>
      <w:pPr>
        <w:spacing w:after="0" w:line="99" w:lineRule="exact"/>
        <w:rPr>
          <w:sz w:val="20"/>
          <w:szCs w:val="20"/>
          <w:color w:val="auto"/>
        </w:rPr>
      </w:pPr>
    </w:p>
    <w:p>
      <w:pPr>
        <w:ind w:left="1020" w:right="4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$7.1 million, primarily due to a decrease in salaries, bonuses, employee benefits expenses, and stock-based compensation expense due to lower headcount,</w:t>
      </w:r>
    </w:p>
    <w:p>
      <w:pPr>
        <w:spacing w:after="0" w:line="53" w:lineRule="exact"/>
        <w:rPr>
          <w:rFonts w:ascii="Times New Roman" w:cs="Times New Roman" w:eastAsia="Times New Roman" w:hAnsi="Times New Roman"/>
          <w:sz w:val="18"/>
          <w:szCs w:val="18"/>
          <w:color w:val="auto"/>
        </w:rPr>
      </w:pPr>
    </w:p>
    <w:p>
      <w:pPr>
        <w:jc w:val="both"/>
        <w:ind w:left="1020" w:right="80" w:hanging="503"/>
        <w:spacing w:after="0" w:line="26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$5.4 million in expenses related to our live biotherapeutics platforms and research and development operations comprised of a decrease of $3.3 million of facilities and depreciation expense primarily due to the impairment charge that we recorded in the first quarter of 2024 related to our idled donor collection facility in Cambridge, Massachusetts, as well as decreases of $0.7 million of consulting and other costs, $0.6 million of clinical storage costs, and $0.8 million of lab assays; and</w:t>
      </w:r>
    </w:p>
    <w:p>
      <w:pPr>
        <w:spacing w:after="0" w:line="7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$3.1 million in expenses related to our SER-155 program due to lower clinical trial costs of $3.7 million as the Phase 1b study has been completed, partially offset by an increase of $0.3 million in lab supplies and consumables due to the commencement of manufacturing of clinical trial material for the planned Phase 2 study and an increase of $0.3 million of regulatory consulting.</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5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5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Facility-related and other</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0"/>
        </w:trPr>
        <w:tc>
          <w:tcPr>
            <w:tcW w:w="5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39,156</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(14,027)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-170815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were $39.2 million for the year ended December 31, 2025, compared to $53.2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decrease of $14.0 million was primarily due to the following:</w:t>
      </w:r>
    </w:p>
    <w:p>
      <w:pPr>
        <w:spacing w:after="0" w:line="99" w:lineRule="exact"/>
        <w:rPr>
          <w:sz w:val="20"/>
          <w:szCs w:val="20"/>
          <w:color w:val="auto"/>
        </w:rPr>
      </w:pPr>
    </w:p>
    <w:p>
      <w:pPr>
        <w:ind w:left="1020" w:right="3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$8.3 million primarily due to a decrease in salaries, bonus, employee benefit expenses and stock-based compensation expenses due to lower headcount;</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professional fees of $0.8 million primarily due to a decrease of $1.1 million related to lower audit, tax, and other consulting services, partially offset by a $0.3 million increase in legal fees; and</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facility-related and other costs of $4.9 million primarily related to headcount-based information technology costs that were reduced as a result of lower headcount, as well as impairment charges recorded in the first quarter of 2024.</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Services</w:t>
      </w:r>
    </w:p>
    <w:p>
      <w:pPr>
        <w:spacing w:after="0" w:line="119"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Manufacturing services were $6.5 million for the year ended December 31, 2025, compared to $3.5 million for the year ended December 31, 2024. The TSA with Nestl</w:t>
      </w:r>
      <w:r>
        <w:rPr>
          <w:rFonts w:ascii="Times New Roman" w:cs="Times New Roman" w:eastAsia="Times New Roman" w:hAnsi="Times New Roman"/>
          <w:sz w:val="18"/>
          <w:szCs w:val="18"/>
          <w:color w:val="212529"/>
        </w:rPr>
        <w:t>é</w:t>
      </w:r>
      <w:r>
        <w:rPr>
          <w:rFonts w:ascii="Times New Roman" w:cs="Times New Roman" w:eastAsia="Times New Roman" w:hAnsi="Times New Roman"/>
          <w:sz w:val="18"/>
          <w:szCs w:val="18"/>
          <w:color w:val="auto"/>
        </w:rPr>
        <w:t xml:space="preserve"> was effective in the fourth quarter of 2024, while 2025 reflects a full year of manufacturing services. The expenses are associated with the PRMS manufacturing performed on behalf of Nestlé, including labor, materials, allocated facility-related, lab supplies and other manufacturing costs that would have been capitalized into inventory prior to the sale of VOWST Business.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Other income (expense), net was $99.7 million of income for the year ended December 31, 2025 compared to $4.5 million of expense for the year ended December 31, 2024. The change in other income (expense), net was primarily due to the $75.0 million of installment payments received from Nestlé in January and July 2025, which were conditioned on our material compliance with obligations under the TSA, an increase of $7.0 million of reimbursement income from Nestlé associated with the performance of TSA services, and $0.6 million increase in sublease income. The increases were partially offset by a decrease in interest income of $1.7 million due to our lower cash balance. Additionally, the year ended December 31, 2024 included a $23.4 million loss associated with the extinguishment of the prior credit facility with Oaktree recorded in </w:t>
      </w:r>
      <w:r>
        <w:rPr>
          <w:rFonts w:ascii="Times New Roman" w:cs="Times New Roman" w:eastAsia="Times New Roman" w:hAnsi="Times New Roman"/>
          <w:sz w:val="18"/>
          <w:szCs w:val="18"/>
          <w:color w:val="212529"/>
        </w:rPr>
        <w:t>connection with the sale of the VOWST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to SPN</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78"/>
        <w:spacing w:after="0" w:line="261" w:lineRule="auto"/>
        <w:rPr>
          <w:sz w:val="20"/>
          <w:szCs w:val="20"/>
          <w:color w:val="auto"/>
        </w:rPr>
      </w:pPr>
      <w:r>
        <w:rPr>
          <w:rFonts w:ascii="Times New Roman" w:cs="Times New Roman" w:eastAsia="Times New Roman" w:hAnsi="Times New Roman"/>
          <w:sz w:val="18"/>
          <w:szCs w:val="18"/>
          <w:color w:val="auto"/>
        </w:rPr>
        <w:t>Since our inception, we have generated revenue only from collaborations and have incurred recurring net losses from operations. We anticipate that we will continue to incur losses for at least the next several years. We will need additional capital to fund our operations, which include our research and development and general and administrative expenses, which we may obtain from additional financings, public offerings, research funding, additional collaborations, contract and grant revenue or other sources.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9" w:name="page90"/>
    <w:bookmarkEnd w:id="89"/>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On August 5, 2024, we entered into the Purchase Agreement with SPN, pursuant to which we agreed to sell our VOWST Business to SPN and its designated affiliates, and SPN and its designated affiliates assumed certain liabilities from us. The Transaction closed on September 30, 2024 following stockholder approval. As consideration for the Transaction, SPN agreed to pay us:</w:t>
      </w:r>
    </w:p>
    <w:p>
      <w:pPr>
        <w:spacing w:after="0" w:line="68" w:lineRule="exact"/>
        <w:rPr>
          <w:sz w:val="20"/>
          <w:szCs w:val="20"/>
          <w:color w:val="auto"/>
        </w:rPr>
      </w:pPr>
    </w:p>
    <w:p>
      <w:pPr>
        <w:ind w:left="1020" w:right="8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which was paid at Closing, of $100 million, less approximately $17.9 million owed by us to an affiliate of SPN as of March 31, 2024 under the prior license agreement between us and the SPN affiliate, less approximately CHF 2.0 million in satisfaction of fees due under an existing manufacturing agreement between us and Bacthera;</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 million, which was received on January 15, 2025 and $25 million, which was received on July 1, 2025, (offset by $1.4 million paid by us to Nestl</w:t>
      </w:r>
      <w:r>
        <w:rPr>
          <w:rFonts w:ascii="Times New Roman" w:cs="Times New Roman" w:eastAsia="Times New Roman" w:hAnsi="Times New Roman"/>
          <w:sz w:val="18"/>
          <w:szCs w:val="18"/>
          <w:color w:val="212529"/>
        </w:rPr>
        <w:t>é</w:t>
      </w:r>
      <w:r>
        <w:rPr>
          <w:rFonts w:ascii="Times New Roman" w:cs="Times New Roman" w:eastAsia="Times New Roman" w:hAnsi="Times New Roman"/>
          <w:sz w:val="18"/>
          <w:szCs w:val="18"/>
          <w:color w:val="auto"/>
        </w:rPr>
        <w:t xml:space="preserve"> on July 1, 2025 related to certain employment obligations assumed by SPN, as described below), conditioned on our material compliance with obligations under the TSA entered into at Closing between us and NESA;</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 million Prepaid Milestone tied to the achievement of the First Sales Milestone of worldwide annual net sales of the Product of $150 million, which was paid in cash at Closing,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and</w:t>
      </w:r>
    </w:p>
    <w:p>
      <w:pPr>
        <w:spacing w:after="0" w:line="71"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 million tied to the achievement of worldwide annual net sales of the Product of $400 million and (y) $150 million tied to the achievement of worldwide annual net sales of the Product of $750 million, during the Milestone Period from Closing until December 31 of the calendar year in which the tenth anniversary of Closing occurs.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(i) first, by set-off against all accrued interest on the Prepaid Milestone until the amount of such accrued interest has been paid in full, (ii) second, by set-off against the outstanding balance of the Prepaid Milestone until the Prepaid Milestone has been repaid in full and (iii) thereafter, in cash. If any amount of the Prepaid Milestone (and any accrued interest thereon) remains outstanding as of following the last day of the Milestone Period (defined below), the balance thereof (together with any interest accrued thereon) will be forgiven and the right of set-off of SPN with respect thereto will be deemed forfeited. The installment payment received on July 1, 2025 was offset by the $1.4 million we paid to Nestl</w:t>
      </w:r>
      <w:r>
        <w:rPr>
          <w:rFonts w:ascii="Times New Roman" w:cs="Times New Roman" w:eastAsia="Times New Roman" w:hAnsi="Times New Roman"/>
          <w:sz w:val="18"/>
          <w:szCs w:val="18"/>
          <w:color w:val="212529"/>
        </w:rPr>
        <w:t>é</w:t>
      </w:r>
      <w:r>
        <w:rPr>
          <w:rFonts w:ascii="Times New Roman" w:cs="Times New Roman" w:eastAsia="Times New Roman" w:hAnsi="Times New Roman"/>
          <w:sz w:val="18"/>
          <w:szCs w:val="18"/>
          <w:color w:val="auto"/>
        </w:rPr>
        <w:t xml:space="preserve"> on the same date related to certain employment obligations assumed by SPN through the period prior to the Closing Date.</w:t>
      </w:r>
    </w:p>
    <w:p>
      <w:pPr>
        <w:spacing w:after="0" w:line="79"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auto"/>
        </w:rPr>
        <w:t>As a condition to Closing, we and SPN entered into the Securities Purchase Agreement, pursuant to which SPN purchased 714,285 shares of Common Stock at Closing, at a purchase price per share of $21.00, for an aggregate purchase price of $15.0 million.</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2021, we entered into a Sales Agreement, or the Sales Agreement, with Cowen and Company, LLC, or Cowen, to sell shares of our common stock with aggregate gross sales proceeds of up to $150.0 million, from time to time, through an "at-the-market" equity offering program under which Cowen acts as sales agent. During the year ended December 31, 2025, we sold 739,545 shares of common stock under the Sales Agreement, at an average price of approximately $18.48 per share, raising aggregate net proceeds of approximately $13.2 million after deducting an aggregate commission of approximately 3%. During the year ended December 31, 2024, we sold 1,030,846 shares of common stock under the Sales Agreement, at an average price of approximately $23.67 per share, raising aggregate net proceeds of approximately $23.5 million after deducting an aggregate commission of approximately 3% and other issuance costs.</w:t>
      </w:r>
    </w:p>
    <w:p>
      <w:pPr>
        <w:spacing w:after="0" w:line="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we had cash and cash equivalents totaling $45.8 million and an accumulated deficit of $972.4 million. For </w:t>
      </w:r>
      <w:r>
        <w:rPr>
          <w:rFonts w:ascii="Times New Roman" w:cs="Times New Roman" w:eastAsia="Times New Roman" w:hAnsi="Times New Roman"/>
          <w:sz w:val="18"/>
          <w:szCs w:val="18"/>
          <w:color w:val="222222"/>
        </w:rPr>
        <w:t>the year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December 31, 2025, we incurred a net loss from operations of $94.0 million, and used cash in operations of $73.9 million, net of $75.0 million in milestone payments received from Nestl</w:t>
      </w:r>
      <w:r>
        <w:rPr>
          <w:rFonts w:ascii="Times New Roman" w:cs="Times New Roman" w:eastAsia="Times New Roman" w:hAnsi="Times New Roman"/>
          <w:sz w:val="18"/>
          <w:szCs w:val="18"/>
          <w:color w:val="000000"/>
        </w:rPr>
        <w:t>é</w:t>
      </w:r>
      <w:r>
        <w:rPr>
          <w:rFonts w:ascii="Times New Roman" w:cs="Times New Roman" w:eastAsia="Times New Roman" w:hAnsi="Times New Roman"/>
          <w:sz w:val="18"/>
          <w:szCs w:val="18"/>
          <w:color w:val="222222"/>
        </w:rPr>
        <w:t>. We expect that our operating losses and negative cash flows will continue for the foreseeable future.</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applicable accounting standards, we have the responsibility to evaluate whether conditions or events raise substantial doubt about our ability to meet our future financial obligations as they become due within 12 months after the date the consolidated financial statements are issued. The ability to obtain sufficient proceeds from additional equity offerings, collaborations or other financing with terms favorable or acceptable to us cannot be considered probable, as these events are outside of our control. Based on our currently available cash resources, and considering our future operating plans, we anticipate that we will require additional funding following the third quarter of 2026. Accordingly, management has concluded that these circumstances raise substantial doubt about our ability to continue as a going concern. Substantial doubt about our ability to continue as a going concern may materially and adversely affect the price per share of our common stock, and it may be more difficult for us to obtain financing or enter into a partnership. If potential collaborators or partners decline to do business with us or potential investors decline to participate in any future financings due to such concerns, our ability to increase our cash position may be limited. We will need to generate significant revenues to achieve profitability, and we may never do so. Because of the numerous risks and uncertainties associated with the development of our current and any future product candidates, the development of our platform and technology and because the extent to which we may enter into collaborations with third parties for development of any of our product candidates is unknown, we are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0" w:name="page91"/>
    <w:bookmarkEnd w:id="90"/>
    <w:p>
      <w:pPr>
        <w:ind w:right="240"/>
        <w:spacing w:after="0" w:line="282" w:lineRule="auto"/>
        <w:rPr>
          <w:sz w:val="20"/>
          <w:szCs w:val="20"/>
          <w:color w:val="auto"/>
        </w:rPr>
      </w:pPr>
      <w:r>
        <w:rPr>
          <w:rFonts w:ascii="Times New Roman" w:cs="Times New Roman" w:eastAsia="Times New Roman" w:hAnsi="Times New Roman"/>
          <w:sz w:val="18"/>
          <w:szCs w:val="18"/>
          <w:color w:val="auto"/>
        </w:rPr>
        <w:t>unable to estimate the amounts of increased capital outlays and operating expenses required for completing the research and development of our product candidates.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sources and uses of cash, cash equivalents and restricted cash for the years ended December 31, 2025 and 2024.</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(148,609)</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142,293</w:t>
            </w:r>
          </w:p>
        </w:tc>
        <w:tc>
          <w:tcPr>
            <w:tcW w:w="80" w:type="dxa"/>
            <w:vAlign w:val="bottom"/>
          </w:tcPr>
          <w:p>
            <w:pPr>
              <w:spacing w:after="0"/>
              <w:rPr>
                <w:sz w:val="18"/>
                <w:szCs w:val="18"/>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(90,372)</w:t>
            </w:r>
          </w:p>
        </w:tc>
      </w:tr>
      <w:tr>
        <w:trPr>
          <w:trHeight w:val="20"/>
        </w:trPr>
        <w:tc>
          <w:tcPr>
            <w:tcW w:w="6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140" w:type="dxa"/>
            <w:vAlign w:val="bottom"/>
          </w:tcPr>
          <w:p>
            <w:pPr>
              <w:spacing w:after="0"/>
              <w:rPr>
                <w:sz w:val="18"/>
                <w:szCs w:val="18"/>
                <w:color w:val="auto"/>
              </w:rPr>
            </w:pPr>
          </w:p>
        </w:tc>
        <w:tc>
          <w:tcPr>
            <w:tcW w:w="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(96,688)</w:t>
            </w: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operating activities was $1.1 million, primarily due to net income of $5.7 million and non-cash charges of $23.2 million, partially offset by changes in our operating assets and liabilities of $27.8 million. Non-cash charges consisted of stock-based compensation expense of $10.8 million, $8.4 million related to the amortization of right-of-use assets, $4.1 million of depreciation and amortization, partially offset by a $0.2 million gain on sale of property and equipment. Changes in our operating assets and liabilities during the year ended December 31, 2025 consisted of a decrease in accrued liabilities due to SPN of $14.5 million, a decrease in operating lease liabilities of $8.7 million, a decrease in accrued expenses and other liabilities of $6.5 million, a decrease in accounts payable of $2.4 million, and an increase in accounts receivable relating to the CARB-X program of $0.1 million, partially offset by a decrease in prepaid expenses and other current and other non-current assets of $2.7 million and a decrease in accounts receivable due from SPN - related party of $1.7 million.</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was $148.6 million, primarily due to non-cash charges of $83.2 million and changes in our operating assets and liabilities of $65.5 million. Non-cash charges consisted of the $146.7 million gain on sale of VOWST Business and $0.5 million decrease in the fair value of warrants, partially offset by stock-based compensation expense of $21.0 million, $9.2 million related to the amortization of right-of-use assets, $5.5 million of depreciation and amortization, $1.4 million of amortization of debt issuance costs, $23.4 million of loss associated with the extinguishment of the prior credit facility with Oaktree, $0.3 million loss on disposal of fixed assets, and $3.3 million of impairment charges related to our long-lived assets. Changes in our operating assets and liabilities during the year ended December 31, 2024 consisted of a $1.0 million decrease in prepaid expenses and other current and non-current assets, a decrease in inventories of $33.8 million in connection with the sale of VOWST Business to SPN, a $2.9 million decrease in accounts payable, a decrease in deferred income - related party of $4.1 million, a decrease in collaboration receivable - related party of $8.7 million, a decrease in operating lease liabilities of $6.3 million, and a $10.2 million decrease in accrued expenses and other liabilities, partially offset by an increase in accrued liabilities due to SPN - related party of $15.7 million and an increase in accounts receivable due from SPN - related party of $2.1 million. The decrease in inventories, increase in accrued liabilities due to SPN - related party, increase in receivables due from SPN - related party, decrease in deferred income – related party and decrease in collaboration receivable – related party were all related to the sale of the VOWST Business. The decrease in operating lease liabilities was due to the cash payment of lease obligations and the decrease in accounts payable and accrued expenses were the results of payments to vendors and changes in the business following the sale of the VOWST Business.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net cash used in investing activities was $0.1 million, consisting of $0.3 million of purchases of property and equipment, partially offset by $0.2 million proceeds from the sale of property and equipment.</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investing activities was $142.3 million, primarily due to $141.3 million of proceeds from the sale of the VOWST Business and $1.4 million sale of a restricted investment relating to a security deposit on one of our leases that was reclassified as restricted cash, partially offset by $0.4 million of purchases of property and equipment.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was $13.9 million, consisting of $13.2 million from the issuance of common stock under our at the market equity program, net of issuance costs, $0.5 million from the exercise of stock options, and $0.2 million from the issuance of common stock under our 2015 Employee Stock Purchase Plan, or ESPP.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1" w:name="page92"/>
    <w:bookmarkEnd w:id="91"/>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used in financing activities was $90.4 million, consisting of $127.9 million repayment of the prior credit facility with Oaktree, partially offset by $23.5 million from the issuance of common stock under our at the market equity program, net of issuance costs, $13.5 million from the issuance of common stock in connection with the sale of the VOWST Business to SPN, and $0.5 million from the issuance of common stock under our 2015 ESPP.</w:t>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expenses may increase in connection with our ongoing clinical development activities and research and development activities. In addition, we expect to continue to incur additional costs associated with operating as a public company. We anticipate that our future expenses will increase if and as we:</w:t>
      </w:r>
    </w:p>
    <w:p>
      <w:pPr>
        <w:spacing w:after="0" w:line="68"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early-stage pipeline product candidates, including SER-603 in IBD and SER-155 in irEC;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for SER-155 in allo-HSCT and other medically vulnerable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extensive proprietary live biotherapeutic drug development know-how that may be used to support future research and development efforts, including our intellectual property portfolio and intellectual property that we may opportunistically acquire;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and distribution infrastructure and scale-up manufacturing capabilities to commercialize any other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any agreements with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68" w:lineRule="exact"/>
        <w:rPr>
          <w:sz w:val="20"/>
          <w:szCs w:val="20"/>
          <w:color w:val="auto"/>
        </w:rPr>
      </w:pPr>
    </w:p>
    <w:p>
      <w:pPr>
        <w:ind w:left="1020" w:right="70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conducting clinical trials for our lead candidate, SER-155 in allo-HSCT and other targeted indications, and other product candidates in our pipeline;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Milestone Payments we may receive from the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 research activities;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revenue, if any, of potential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for our current or future product candidates and achieve product sales. In addition, our product candidates, if approved, may not achieve commercial success. Additionally, part of our commercial revenues, if any, will be derived from sales of product candidates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Additionally, market volatility resulting from macroeconomic conditions, or other factors could also adversely impact our ability to access capital as and when needed. To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2" w:name="page93"/>
    <w:bookmarkEnd w:id="92"/>
    <w:p>
      <w:pPr>
        <w:ind w:right="80"/>
        <w:spacing w:after="0" w:line="258" w:lineRule="auto"/>
        <w:rPr>
          <w:sz w:val="20"/>
          <w:szCs w:val="20"/>
          <w:color w:val="auto"/>
        </w:rPr>
      </w:pPr>
      <w:r>
        <w:rPr>
          <w:rFonts w:ascii="Times New Roman" w:cs="Times New Roman" w:eastAsia="Times New Roman" w:hAnsi="Times New Roman"/>
          <w:sz w:val="18"/>
          <w:szCs w:val="18"/>
          <w:color w:val="auto"/>
        </w:rPr>
        <w:t>extent that we raise additional capital through the sale of equity or convertible debt securities, our stockholders’ ownership interest will be diluted, and the terms of these securities may include liquidation or other preferences that adversely affect our stockholders’ rights as common stockholders. Any debt financing and preferred equity financing, if available, may involve agreements that include, covenants limiting or restricting our ability to take specific actions, such as incurring additional debt, making capital expenditures or declaring dividends. Additional debt or preferred equity financing may also require the issuance of warrants, which could potentially dilute our stockholders’ ownership interest.</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in addition to our existing collaboration agreements, we may have to relinquish valuable rights to our technologies, future revenue streams, research programs, or product candidates or grant licenses on terms that may not be favorable to us. If we are unable to raise additional funds through equity, debt financings, or collaborations when needed, we may be required to delay, limit, reduce or terminate our product development programs or any potential future commercialization efforts or grant rights to develop and market product candidates that we would otherwise prefer to develop and market ourselves.</w:t>
      </w:r>
    </w:p>
    <w:p>
      <w:pPr>
        <w:spacing w:after="0" w:line="7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discussed in Note 1 of the consolidated financial statements included elsewhere in this Annual Report on Form 10-K, we have the responsibility to evaluate whether conditions or events raise substantial doubt about our ability to meet our future financial obligations as they become due within 12 months after the date the consolidated financial statements are issued. The ability to obtain sufficient proceeds from additional equity offerings, collaborations or other financing with terms favorable or acceptable to us cannot be considered probable, as these events are outside of our control. Accordingly, management has concluded that these circumstances raise substantial doubt about our ability to continue as a going concern. Based on our currently available cash resources, and considering our future operating plans, we anticipate that we will require additional funding following the third quarter of 2026.</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include those related to our lease commitments.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lease commitments reflect payments due under our operating lease agreements for our corporate headquarters, office and laboratory space, that expire between November 2028 and April 2033. As of December 31, 2025, our contractual commitments for our leases were $118.4 million, of which $20.0 million is expected to be paid within one year, and $98.4 million will be paid over the remaining term of such leases. We do not have any commitment for leases that had not yet commenced as of December 31, 2025. For additional information on our leases and timing of future payments, please read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this Form 10-K.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Profit Sharing Payments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and SPN shared 50/50 in the net profit or net loss achieved during the period from the Closing Date until December 31, 2025, or the Profit Sharing Period. During the Profit Sharing Period, we reimbursed SPN for (i) certain payments under the exclusive license agreement between us and Memorial Sloan Kettering Cancer Center, (ii) certain costs incurred in connection with an ongoing post-marketing safety study of VOWST and (iii) 80.1% of all rent and other costs due to the landlord under the lease for our Waltham facility. As of December 31, 2025, the remaining liability associated with all of these obligations was $3.3 million, all of which is expected to be paid within one year.</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1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19"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 accounting standards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in this report.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Interest Rate Fluctuation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 related to changes in interest rates.</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our cash and cash equivalents consisted of cash in operating bank accounts. Our interest income is sensitive to changes in the general level of U.S. interest rates. However, because of the short-term nature of the instruments in our portfolio, an immediate 10% change in market interest rates would not have a material impact on our financial position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as of the end of the period covered by this Annual Report on Form 10-K. Based on such evaluation, our principal executive officer and principal financial officer concluded that as of December 31, 2025, our disclosure controls and procedures were effective at the reasonable assurance level.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December 31, 2025 that have materially affected, or are reasonably likely to materially affect, our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and 15d-15(f) under the Securities Exchange Act of 1934, as amended.</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2025, our internal control over financial reporting was effective.</w:t>
      </w:r>
    </w:p>
    <w:p>
      <w:pPr>
        <w:spacing w:after="0" w:line="11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As we are a non-accelerated filer, management's report is not subject to attestation by our independent registered public accounting firm.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3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November 25, 2025, Teresa L. Young, Ph.D., our Chief Commercial and Strategy Officer, adopted a Rule 10b5-1 plan (the “Young 10b5-1 Plan”) intended to satisfy the affirmative defense of Rule 10b5-1(c) of the Exchange Act. The plan provides for the periodic sale of (1) up to 31,680 shares of common stock and (2) the net number of shares of common stock underlying 1,152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4" w:name="page95"/>
    <w:bookmarkEnd w:id="94"/>
    <w:p>
      <w:pPr>
        <w:spacing w:after="0" w:line="282" w:lineRule="auto"/>
        <w:rPr>
          <w:sz w:val="20"/>
          <w:szCs w:val="20"/>
          <w:color w:val="auto"/>
        </w:rPr>
      </w:pPr>
      <w:r>
        <w:rPr>
          <w:rFonts w:ascii="Times New Roman" w:cs="Times New Roman" w:eastAsia="Times New Roman" w:hAnsi="Times New Roman"/>
          <w:sz w:val="18"/>
          <w:szCs w:val="18"/>
          <w:color w:val="auto"/>
        </w:rPr>
        <w:t>unvested restricted stock units after giving effect to the number of shares to be sold outside of the Young 10b5-1 Plan to satisfy tax withholding obligations (which net amount is not currently determinable) between March 17, 2026 and March 12, 2027, unless otherwise terminated according to its terms.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November 26, 2025, Kelly Brady, M.S., our Executive Vice President, Chief Operating Officer, adopted a Rule 10b5-1 plan (the “Brady 10b5-1 Plan”) intended to satisfy the affirmative defense of Rule 10b5-1(c) of the Exchange Act. The plan provides for the periodic sale of (1) up to 7,611 shares of common stock and (2) the net number of shares of common stock underlying 797 unvested restricted stock units after giving effect to the number of shares to be sold outside of the Brady 10b5-1 Plan to satisfy tax withholding obligations (which net amount is not currently determinable) between March 17, 2026 and November 17, 2026, unless otherwise terminated according to its terms.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than the foregoing, no director or officer of the Company adopted or terminated a “Rule 10b5-1 trading arrangement” or “non-Rule 10b5-1 trading arrangement,” as each term is defined in Item 408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20" w:type="dxa"/>
            <w:vAlign w:val="bottom"/>
            <w:gridSpan w:val="3"/>
          </w:tcPr>
          <w:p>
            <w:pPr>
              <w:jc w:val="center"/>
              <w:ind w:right="5112"/>
              <w:spacing w:after="0"/>
              <w:rPr>
                <w:sz w:val="20"/>
                <w:szCs w:val="20"/>
                <w:color w:val="auto"/>
              </w:rPr>
            </w:pPr>
            <w:r>
              <w:rPr>
                <w:rFonts w:ascii="Times New Roman" w:cs="Times New Roman" w:eastAsia="Times New Roman" w:hAnsi="Times New Roman"/>
                <w:sz w:val="18"/>
                <w:szCs w:val="18"/>
                <w:b w:val="1"/>
                <w:bCs w:val="1"/>
                <w:color w:val="auto"/>
                <w:w w:val="99"/>
              </w:rPr>
              <w:t>PART III</w:t>
            </w:r>
          </w:p>
        </w:tc>
      </w:tr>
      <w:tr>
        <w:trPr>
          <w:trHeight w:val="32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24"/>
        </w:trPr>
        <w:tc>
          <w:tcPr>
            <w:tcW w:w="3540" w:type="dxa"/>
            <w:vAlign w:val="bottom"/>
          </w:tcPr>
          <w:p>
            <w:pPr>
              <w:spacing w:after="0"/>
              <w:rPr>
                <w:sz w:val="24"/>
                <w:szCs w:val="24"/>
                <w:color w:val="auto"/>
              </w:rPr>
            </w:pPr>
          </w:p>
        </w:tc>
        <w:tc>
          <w:tcPr>
            <w:tcW w:w="7700" w:type="dxa"/>
            <w:vAlign w:val="bottom"/>
            <w:gridSpan w:val="6"/>
          </w:tcPr>
          <w:p>
            <w:pPr>
              <w:jc w:val="center"/>
              <w:ind w:right="3452"/>
              <w:spacing w:after="0"/>
              <w:rPr>
                <w:sz w:val="20"/>
                <w:szCs w:val="20"/>
                <w:color w:val="auto"/>
              </w:rPr>
            </w:pPr>
            <w:r>
              <w:rPr>
                <w:rFonts w:ascii="Times New Roman" w:cs="Times New Roman" w:eastAsia="Times New Roman" w:hAnsi="Times New Roman"/>
                <w:sz w:val="18"/>
                <w:szCs w:val="18"/>
                <w:b w:val="1"/>
                <w:bCs w:val="1"/>
                <w:color w:val="auto"/>
              </w:rPr>
              <w:t>Director Biographical Information</w:t>
            </w:r>
          </w:p>
        </w:tc>
      </w:tr>
      <w:tr>
        <w:trPr>
          <w:trHeight w:val="364"/>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Age</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Dennis A. Ausiello, M.D. (3)(4)</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left="219"/>
              <w:spacing w:after="0" w:line="191" w:lineRule="exact"/>
              <w:rPr>
                <w:sz w:val="20"/>
                <w:szCs w:val="20"/>
                <w:color w:val="auto"/>
              </w:rPr>
            </w:pPr>
            <w:r>
              <w:rPr>
                <w:rFonts w:ascii="Times New Roman" w:cs="Times New Roman" w:eastAsia="Times New Roman" w:hAnsi="Times New Roman"/>
                <w:sz w:val="18"/>
                <w:szCs w:val="18"/>
                <w:color w:val="auto"/>
                <w:w w:val="99"/>
              </w:rPr>
              <w:t>80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Stephen Berenson (1)(3)</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Willard H. Dere, M.D. (1)(4)</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Claire M. Fraser, Ph.D. (1)(4)</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Kurt C. Graves (2)</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Richard N. Kender</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 and Interim Chief Executive Officer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Robert Rosiello (2)</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Eric D. Shaff</w:t>
            </w:r>
          </w:p>
        </w:tc>
        <w:tc>
          <w:tcPr>
            <w:tcW w:w="1680" w:type="dxa"/>
            <w:vAlign w:val="bottom"/>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Hans-Juergen Woerle, M.D., Ph.D. (4)</w:t>
            </w:r>
          </w:p>
        </w:tc>
        <w:tc>
          <w:tcPr>
            <w:tcW w:w="1680" w:type="dxa"/>
            <w:vAlign w:val="bottom"/>
            <w:tcBorders>
              <w:bottom w:val="single" w:sz="8" w:color="auto"/>
            </w:tcBorders>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9"/>
              </w:rPr>
              <w:t>60</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6"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audit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compensation and talent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nominating and corporate governance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science and clinical development committee.</w:t>
      </w:r>
    </w:p>
    <w:p>
      <w:pPr>
        <w:spacing w:after="0" w:line="11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Dennis A. Ausiello, M.D., </w:t>
      </w:r>
      <w:r>
        <w:rPr>
          <w:rFonts w:ascii="Times New Roman" w:cs="Times New Roman" w:eastAsia="Times New Roman" w:hAnsi="Times New Roman"/>
          <w:sz w:val="18"/>
          <w:szCs w:val="18"/>
          <w:color w:val="231F20"/>
        </w:rPr>
        <w:t>has served as a member of our board of directors since April 2015. Dr. Ausiello has served as the Jackson Distinguished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Professor 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previously served as Vice Chairman of the board of directors of Spexis AG, a clinical-stage biopharmaceutical company, from December 2021 to December 2025 and on the board of directors of Pfizer Inc. from 2006 to 2020,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8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i w:val="1"/>
          <w:iCs w:val="1"/>
          <w:color w:val="231F20"/>
        </w:rPr>
        <w:t xml:space="preserve">Stephen A. Berenson </w:t>
      </w:r>
      <w:r>
        <w:rPr>
          <w:rFonts w:ascii="Times New Roman" w:cs="Times New Roman" w:eastAsia="Times New Roman" w:hAnsi="Times New Roman"/>
          <w:sz w:val="17"/>
          <w:szCs w:val="17"/>
          <w:color w:val="231F20"/>
        </w:rPr>
        <w:t>has served as a member of our board of directors since August 2019 and served as our Chairman between December 2019 and March</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2026. Mr. Berenson is an Advisor Partner at Flagship Pioneering, a life sciences innovation firm which conceives, creates, resources and develops first-in-category bioplatform companies, after serving as Managing Partner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on the board of directors of Inari, a privately held agricultural company, since January 2024. He previously served as chairman of the board of directors of Cellarity, a privately held pharmaceutical company between July 2021and December 2025, as chairman of SAIL Biomedicines, a privately held pharmaceutical company, between August 2024 and December 2025, and on the board of directors of Moderna, Inc., a pharmaceutical and biotechnology company, between October 2017 and August 2024.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6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231F20"/>
        </w:rPr>
        <w:t>Willard H. Dere, M.D.</w:t>
      </w:r>
      <w:r>
        <w:rPr>
          <w:rFonts w:ascii="Times New Roman" w:cs="Times New Roman" w:eastAsia="Times New Roman" w:hAnsi="Times New Roman"/>
          <w:sz w:val="18"/>
          <w:szCs w:val="18"/>
          <w:color w:val="231F20"/>
        </w:rPr>
        <w:t>, has served as a member of our board of directors since July 2017. Dr. Dere has served as Chief Advisor to the Chief Executive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Officer and Chief Medical Officer of Angita Bio, a biotechnology company, since July 2022. Dr. Dere has also been Professor Emeritus, Department of Internal Medicine, at the University of Utah School of Medicine since July 2022. From November 2014 until June 2022, Dr. Dere held multiple roles at the University of Utah Health Sciences Center, including Associate Vice President for Research, Co-Director of the Utah Clinical and Translational Science Institute, and Co-Director of the Center for Genomic Medicine. Prior to his professorship, from 2003 until 2014, Dr. Dere worked at Amgen, where he was Senior Vice President and head of Global Development, and led development programs in multiple therapeutic areas. From 1989 to 2014, he worked at Eli Lilly and led multiple development programs, and also worked in clinical pharmacology, regulatory affairs and safety. Dr. Dere has served on the boards of directors of BioMarin Pharmaceutical, Inc. since 2016 and Metagenomi, Inc. since August 2021,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ind w:right="280"/>
        <w:spacing w:after="0" w:line="261" w:lineRule="auto"/>
        <w:rPr>
          <w:sz w:val="20"/>
          <w:szCs w:val="20"/>
          <w:color w:val="auto"/>
        </w:rPr>
      </w:pPr>
      <w:r>
        <w:rPr>
          <w:rFonts w:ascii="Times New Roman" w:cs="Times New Roman" w:eastAsia="Times New Roman" w:hAnsi="Times New Roman"/>
          <w:sz w:val="18"/>
          <w:szCs w:val="18"/>
          <w:color w:val="231F20"/>
        </w:rPr>
        <w:t>previously served on the boards of directors of Mersana Therapeutics, Ocera Therapeutics and Radius Health.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231F20"/>
        </w:rPr>
        <w:t>Claire M. Fraser, Ph.D.</w:t>
      </w:r>
      <w:r>
        <w:rPr>
          <w:rFonts w:ascii="Times New Roman" w:cs="Times New Roman" w:eastAsia="Times New Roman" w:hAnsi="Times New Roman"/>
          <w:sz w:val="18"/>
          <w:szCs w:val="18"/>
          <w:color w:val="231F20"/>
        </w:rPr>
        <w:t>, has served as a member of our board of directors since January 2023. Dr. Fraser has been a faculty member at the University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Maryland School of Medicine in Baltimore, Maryland for the past 19 years and is the Founding Director of the Institute for Genome Sciences and Professor Emerita of Medicine and Microbiology and Immunology. From 1998 to 2007, she served as President and Director of The Institute for Genomic Research, a not-for-profit research organization engaged in human and microbial genomics studies. Dr. Fraser has served on the Board of Directors of Becton, Dickinson, and Company, a medical technology company, since 2006, and previously served as the Chair of the Board and a director of the American Association for the Advancement of Science. Dr. Fraser received her bachelor’s degree in Biology from Rensselaer Polytechnic Institute, her Ph.D. in Pharmacology from State University of New York-Buffalo and is an elected member of both the National Academy of Sciences and the National Academy of Medicine. We believe Dr. Fraser is qualified to serve on our board of directors due to her extensive academic experience and her knowledge of the microbiome industry.</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Kurt C. Graves </w:t>
      </w:r>
      <w:r>
        <w:rPr>
          <w:rFonts w:ascii="Times New Roman" w:cs="Times New Roman" w:eastAsia="Times New Roman" w:hAnsi="Times New Roman"/>
          <w:sz w:val="18"/>
          <w:szCs w:val="18"/>
          <w:color w:val="231F20"/>
        </w:rPr>
        <w:t>has served as a member of our board of directors since November 2015. Mr. Graves has served as the Chairman, President and Chief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Executive Officer of i20 Therapeutics, Inc., a biotechnology company, since August 2023, and as a director since August 2021. He previously served as the Executive Chairman of i20 Therapeutics' board of directors from August 2021 to August 2023.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senior leadership positions at Novartis Pharmaceuticals Corporation, or Novartis Corp., from 1999 to June 2007, including the Global General Medicines Business Unit Head and Global Chief Marketing Officer for the pharmaceuticals division of Novartis Corp. from September 2003 to June 2007. Prior to Novartis Corp., Mr. Graves held senior leadership positions at Merck and Astra-Merck where he led the U.S. Business Unit responsible for Prilosec, Nexium and Prilosec OTC over a 10-year period. He served as Chairman on the board of directors of Radius Health, Inc. from May 2011 to March 2020, and as a director on Achillion Pharmaceuticals, Inc., or Achillion, from June 2012 to January 2020, when Achillion was acquired.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7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Richard N. Kender </w:t>
      </w:r>
      <w:r>
        <w:rPr>
          <w:rFonts w:ascii="Times New Roman" w:cs="Times New Roman" w:eastAsia="Times New Roman" w:hAnsi="Times New Roman"/>
          <w:sz w:val="18"/>
          <w:szCs w:val="18"/>
          <w:color w:val="231F20"/>
        </w:rPr>
        <w:t>has served as our Executive Chair and Interim Chief Executive Officer since March 2026 and has been a member of our board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directors since October 2014. From October 1978 to September 2013, Mr. Kender held positions in a variety of corporate areas at Merck &amp; Co., Inc., or Merck, a pharmaceutical company, most recently serving as Senior Vice President of Business Development and Corporate Licensing. Mr. Kender has served on the board of directors of Longeveron Inc. since May 2024. He previously served on the boards of directors of Poxel S.A. between March 2015 and July 2025, Bicycle Therapeutics PLC between July 2019 and June 2025, INC Research Holdings, Inc. (now known as Syneos Health) between December 2014 and August 2017, Abide Therapeutics, Inc., a privately held company, between December 2015 and May 2019, Omega Therapeutics between June 2024 and April 2025, and ReViral Ltd., a privately held company, from November 2019 to June 2022.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231F20"/>
        </w:rPr>
        <w:t xml:space="preserve">Robert Rosiello </w:t>
      </w:r>
      <w:r>
        <w:rPr>
          <w:rFonts w:ascii="Times New Roman" w:cs="Times New Roman" w:eastAsia="Times New Roman" w:hAnsi="Times New Roman"/>
          <w:sz w:val="18"/>
          <w:szCs w:val="18"/>
          <w:color w:val="231F20"/>
        </w:rPr>
        <w:t>has served as a member of our board of directors since August 2025.</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Mr. Rosiello is an Executive Partner at Flagship Pioneering, which 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joined in 2018 and where he focuses on building capability to help originate, manage, and grow new Flagship companies. From September 1984 to June 2015, Mr. Rosiello worked at McKinsey &amp; Company advising CEOs and boards of leading health care, technology, and consumer companies. He served as a senior partner for 18 years and was a member of McKinsey’s Senior Partner Review and Compensation Committees. Mr. Rosiello led the work that shifted McKinsey’s recruiting toward non-MBAs and developed innovative leadership training for McKinsey’s senior partners. He also led significant pro bono work for Save the Children, Americares, Carnegie Corporation, and Fairfield University. From July 2015 to August 2016, Mr. Rosiello was both Executive Vice President and Chief Financial Officer at Valeant Pharmaceuticals, where he led the finance, human resources, and IT functions. He led Valeant’s financial restatement and regained timely reporting status with the SEC. Mr. Rosiello has served on the Board of the Marine Biological Laboratory, a privately held company, since July 2024, New England Conservatory of Music, a privately held company, since July 2024 and SANA Biotechnology since June 2025. Mr. Rosiello previously served on the boards of Axcella Health, Inc. between October 2022 and November 2023, Evelo Biosciences between April 2023 and November 2023, Inari Agriculture, a privately held company between September 2015 and December 2021 and Omega Therapeutics, Inc between October 2024 and January 2025. Mr. Rosiello also previously served on the Board and Executive Committee of Catholic Charities of New York, between March 2012 and December 2025. Mr. Rosiello received his B.A. in economics from the University of North Carolina, where he was a Morehead Scholar and graduated Phi Beta Kappa, an M.Sc. in economics from the London School of Economics, and an M.B.A. from Harvard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Business School. We believe that Mr. Rosiello’s extensive business and financial experience qualifies him to serve on our board of directors.</w:t>
      </w:r>
    </w:p>
    <w:p>
      <w:pPr>
        <w:spacing w:after="0" w:line="2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Eric D. Shaff </w:t>
      </w:r>
      <w:r>
        <w:rPr>
          <w:rFonts w:ascii="Times New Roman" w:cs="Times New Roman" w:eastAsia="Times New Roman" w:hAnsi="Times New Roman"/>
          <w:sz w:val="18"/>
          <w:szCs w:val="18"/>
          <w:color w:val="231F20"/>
        </w:rPr>
        <w:t>has served as a member of our board of directors since January 2019. Mr. Shaff has been the President and Chief Executive Officer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PsiThera, Inc. since September 2025. Previously, he served as our President and Chief Executive Officer between January 2019 and July 2025 and as our Chief Operating and Financial Officer and Executive Vice President between January 2018 and January 2019 and as our Chief Financial Officer between November 2014 and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previously served on the board of directors of Sigilon Therapeutics, Inc. from 2017 to August 2023.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231F20"/>
        </w:rPr>
        <w:t>Hans-Juergen Woerle, M.D., Ph.D.</w:t>
      </w:r>
      <w:r>
        <w:rPr>
          <w:rFonts w:ascii="Times New Roman" w:cs="Times New Roman" w:eastAsia="Times New Roman" w:hAnsi="Times New Roman"/>
          <w:sz w:val="18"/>
          <w:szCs w:val="18"/>
          <w:color w:val="231F20"/>
        </w:rPr>
        <w:t>, has served as a member of our board of directors since February 2025. Dr. Woerle has served as Chief Medical Officer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and Chief Scientific Officer at Nestlé Health Science S.A. since November 2018, where he is responsible for global research and development strategy. Dr. Woerle served on the boards of directors of Cerecin Inc., a clinical-stage biotechnology company, from June 2020 to September 2024 and Enterome, SA, a clinical-stage biopharmaceutical company from June 2020 to March 2025. Dr. Woerle is a board-certified physician and a specialist in internal medicine and endocrinology, holding an adjunct professorship at University of Ulm. Dr. Woerle earned his bachelor's degree, master's degree and medical degree from Ludwig Maximilian University. We believe Dr. Woerle is qualified to serve on our board of directors because of his extensive experience as a physician and in clinical research and development.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8340" w:type="dxa"/>
            <w:vAlign w:val="bottom"/>
            <w:gridSpan w:val="5"/>
          </w:tcPr>
          <w:p>
            <w:pPr>
              <w:ind w:left="112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r>
      <w:tr>
        <w:trPr>
          <w:trHeight w:val="432"/>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N. Kender</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Executive Chair and Interim Chief Executive Officer</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Matthew Henn, Ph.D.</w:t>
            </w:r>
          </w:p>
        </w:tc>
        <w:tc>
          <w:tcPr>
            <w:tcW w:w="26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Scientific Officer</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Kelly Brady, M.S.</w:t>
            </w:r>
          </w:p>
        </w:tc>
        <w:tc>
          <w:tcPr>
            <w:tcW w:w="26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Thomas J. DesRosier</w:t>
            </w:r>
          </w:p>
        </w:tc>
        <w:tc>
          <w:tcPr>
            <w:tcW w:w="26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Marella Thorell</w:t>
            </w:r>
          </w:p>
        </w:tc>
        <w:tc>
          <w:tcPr>
            <w:tcW w:w="26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Teresa L. Young, Ph.D.,</w:t>
            </w:r>
          </w:p>
        </w:tc>
        <w:tc>
          <w:tcPr>
            <w:tcW w:w="26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Commercial and Strategy Officer</w:t>
            </w:r>
          </w:p>
        </w:tc>
      </w:tr>
    </w:tbl>
    <w:p>
      <w:pPr>
        <w:spacing w:after="0" w:line="317" w:lineRule="exact"/>
        <w:rPr>
          <w:sz w:val="20"/>
          <w:szCs w:val="20"/>
          <w:color w:val="auto"/>
        </w:rPr>
      </w:pPr>
    </w:p>
    <w:p>
      <w:pPr>
        <w:ind w:right="20"/>
        <w:spacing w:after="0" w:line="221" w:lineRule="exact"/>
        <w:rPr>
          <w:sz w:val="20"/>
          <w:szCs w:val="20"/>
          <w:color w:val="auto"/>
        </w:rPr>
      </w:pPr>
      <w:r>
        <w:rPr>
          <w:rFonts w:ascii="Times New Roman" w:cs="Times New Roman" w:eastAsia="Times New Roman" w:hAnsi="Times New Roman"/>
          <w:sz w:val="18"/>
          <w:szCs w:val="18"/>
          <w:i w:val="1"/>
          <w:iCs w:val="1"/>
          <w:color w:val="231F20"/>
        </w:rPr>
        <w:t xml:space="preserve">Kelly Brady, M.S. </w:t>
      </w:r>
      <w:r>
        <w:rPr>
          <w:rFonts w:ascii="Times New Roman" w:cs="Times New Roman" w:eastAsia="Times New Roman" w:hAnsi="Times New Roman"/>
          <w:sz w:val="18"/>
          <w:szCs w:val="18"/>
          <w:color w:val="231F20"/>
        </w:rPr>
        <w:t>has served as our Executive Vice President, Chief Operating Officer since March 2026. She served as our Senior Vice President,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Clinical Development from January 2023 to March 2026, and, prior to this, served as our Vice President, Clinical Operations, Executive Director, Clinical Operations, and Senior Director, Clinical Operations between June 2018 and January 2023. </w:t>
      </w:r>
      <w:r>
        <w:rPr>
          <w:rFonts w:ascii="Times New Roman" w:cs="Times New Roman" w:eastAsia="Times New Roman" w:hAnsi="Times New Roman"/>
          <w:sz w:val="18"/>
          <w:szCs w:val="18"/>
          <w:color w:val="000000"/>
        </w:rPr>
        <w:t>Prior to joining the Company in 2018, Ms. Brady was Senior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Director and Global Clinical Program Lead at Akebia Therapeutics, Inc., where she oversaw pivotal programs in anemia due to chronic kidney disease. She also held roles of increasing responsibility in operations and program management at Acetylon Pharmaceuticals, Inc., with the company’s eventual acquisition by Celgene Corporation. Earlier in her career, she served as the Global Phase 3 Clinical Operations Leader at Millennium Pharmaceuticals, Inc. (later Takeda Oncology), executing pivotal global oncology trials for ADCETRIS</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00"/>
        </w:rPr>
        <w:t>, and as a member of the operations team at Osiris Therapeutics, Inc., managing global graft</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versus</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host disease studies for the world’s first approved stem</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cell therapy Prochymal. Ms. Brady holds a B.S. in Neuroscience from Lafayette College and an M.S. in Biotechnology from Johns Hopkins University.</w:t>
      </w:r>
    </w:p>
    <w:p>
      <w:pPr>
        <w:spacing w:after="0" w:line="3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Thomas J. DesRosier </w:t>
      </w:r>
      <w:r>
        <w:rPr>
          <w:rFonts w:ascii="Times New Roman" w:cs="Times New Roman" w:eastAsia="Times New Roman" w:hAnsi="Times New Roman"/>
          <w:sz w:val="18"/>
          <w:szCs w:val="18"/>
          <w:color w:val="auto"/>
        </w:rPr>
        <w:t>has served as our Chief Legal Officer, Executive Vice President, and Secretary since May 2016. He has also served as our Co-President/Chief Executive Officer from July 2025 to March 2026. From 2015 to 2016, Mr. DesRosier served as Executive Vice President, Chief Legal and Administrative Officer and Secretary of ARIAD Pharmaceuticals, Inc., a biopharmaceutical company, from 2014 to 2015 as Executive Vice President, Chief Legal and Administrative Officer and Secretary of Cubist Pharmaceuticals, Inc., or Cubist, a biopharmaceutical company, and from 2013 to 2014 as Senior Vice President, Chief Legal Officer and Secretary of Cubist.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Matthew Henn, Ph.D., </w:t>
      </w:r>
      <w:r>
        <w:rPr>
          <w:rFonts w:ascii="Times New Roman" w:cs="Times New Roman" w:eastAsia="Times New Roman" w:hAnsi="Times New Roman"/>
          <w:sz w:val="18"/>
          <w:szCs w:val="18"/>
          <w:color w:val="auto"/>
        </w:rPr>
        <w:t>has served as our President and Chief Scientific Officer since March 2026. He has also served as our Executive Vice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Scientific Officer from February 2019 to March 2026. Dr. Henn has been involved in the discovery and development of multiple live biotherapeutics, including two breakthrough therapy designated biologics, across infectious, inflammatory, and oncology indications, and has authored over 75 peer-reviewed publications. He has extensive research experience in microbiology, genomics, and computational biology, as well as in drug pharmacology and clinical translation. His research has focused on microbial populations and the functional role of microbes in both environmental and human disease applications, and the development of genomic and functional screening technologies to study these populations. Prior to joining Seres in 2012, he was the Director of Viral Genomics and Assistant Director of the Genome Sequencing Center for Infectious Diseases at the Broad Institute of Massachusetts Institute of Technology and Harvard. He has served on various National Institutes of Health, or NIH, working groups on antimicrobial resistance and microbiome research, as a scientific advisor for NIH’s Viral Pathogen Bioinformatics Resource Center, as an ad-hoc reviewer and editor of various peer-reviewed journals, and as a scientific advisor to non-profit and for-profit organizations. He currently serves on the Microbiome Therapeutics Innovation Group board of directors, the World Microbiome Partnership steering committee, and Life Sciences Cares board of advisors. Dr. Henn is formally trained in ecology and evolutionary biology and earned his Ph.D. in ecosystem sciences from the University of California at Berkeley, where he was a NASA Earth Systems Sciences Fellow, and trained as a National Science Foundation Postdoctoral Fellow in Microbiology at Duke University.</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Marella Thorell </w:t>
      </w:r>
      <w:r>
        <w:rPr>
          <w:rFonts w:ascii="Times New Roman" w:cs="Times New Roman" w:eastAsia="Times New Roman" w:hAnsi="Times New Roman"/>
          <w:sz w:val="18"/>
          <w:szCs w:val="18"/>
          <w:color w:val="auto"/>
        </w:rPr>
        <w:t>has served as our Executive Vice President and Chief Financial Officer since March 2024. She has also served as our Co-President/Chief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from August 2025 to March 2026. From September 2022 to December 2023, Ms. Thorell served as the Chief Financial Officer and Treasurer of Evelo Biosciences, Inc., a biotechnology company. From January 2021 to July 2022, she served as Chief Accounting Officer and previously as Head of Finance at Centessa Pharmaceuticals PLC, or Centessa, a pharmaceutical company. In that role, she led the establishment of Centessa’s finance operations, led its public company readiness activities in connection with its initial public offering, and oversaw accounting operations. Previously, from October 2019 to December 2020, Ms. Thorell served as Chief Financial Officer at Palladio Biosciences, a biotechnology company, prior to its acquisition by Centessa. Before that, Ms. Thorell spent over ten years at Realm Therapeutics PLC, a biopharmaceutical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p>
      <w:pPr>
        <w:ind w:right="300"/>
        <w:spacing w:after="0" w:line="258" w:lineRule="auto"/>
        <w:rPr>
          <w:sz w:val="20"/>
          <w:szCs w:val="20"/>
          <w:color w:val="auto"/>
        </w:rPr>
      </w:pPr>
      <w:r>
        <w:rPr>
          <w:rFonts w:ascii="Times New Roman" w:cs="Times New Roman" w:eastAsia="Times New Roman" w:hAnsi="Times New Roman"/>
          <w:sz w:val="18"/>
          <w:szCs w:val="18"/>
          <w:color w:val="auto"/>
        </w:rPr>
        <w:t>serving in various roles of increasing responsibility, including Chief Financial Officer and Chief Operating Officer. Ms. Thorell served on the board of directors and as the Audit Committee Chair of Carisma Therapeutics, a biopharmaceutical company, from June 2024 through December 2025 and previously served on the boards of directors of ESSA Pharma Inc., a pharmaceutical company from July 2019 to October 2025, and Vallon Pharmaceuticals, Inc., a pharmaceutical company, from February 2021 until its reverse-merger with GRI Bio in April 2023. Ms. Thorell holds a B.S. in Business from Lehigh University.</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Teresa L. Young, Ph.D., </w:t>
      </w:r>
      <w:r>
        <w:rPr>
          <w:rFonts w:ascii="Times New Roman" w:cs="Times New Roman" w:eastAsia="Times New Roman" w:hAnsi="Times New Roman"/>
          <w:sz w:val="18"/>
          <w:szCs w:val="18"/>
          <w:color w:val="auto"/>
        </w:rPr>
        <w:t>has served as our Executive Vice President, Chief Commercial and Strategy Officer since June 2020. Previously, Dr. Young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all officers, directors and employees, which is available on our website at www.serestherapeutics.com in the “Investors and News”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in the preceding sentence. The information contained on our website is not incorporated by reference into this Annual Report on Form 10-K.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640" w:firstLine="578"/>
        <w:spacing w:after="0" w:line="282" w:lineRule="auto"/>
        <w:rPr>
          <w:sz w:val="20"/>
          <w:szCs w:val="20"/>
          <w:color w:val="auto"/>
        </w:rPr>
      </w:pPr>
      <w:r>
        <w:rPr>
          <w:rFonts w:ascii="Times New Roman" w:cs="Times New Roman" w:eastAsia="Times New Roman" w:hAnsi="Times New Roman"/>
          <w:sz w:val="18"/>
          <w:szCs w:val="18"/>
          <w:color w:val="auto"/>
        </w:rPr>
        <w:t>The remainder of the information required to be disclosed by this item will be contained in the Proxy Statement for our Annual Meeting of Stockholders to be held in 2026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2026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2026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2026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2026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“Index to Consolidated Financial Statements” on page F-1 below for the list of financial statements filed as part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all exhibits filed as a part of this Annual Report on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10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60" w:type="dxa"/>
            <w:vAlign w:val="bottom"/>
            <w:gridSpan w:val="20"/>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0"/>
                <w:szCs w:val="10"/>
                <w:color w:val="auto"/>
              </w:rPr>
            </w:pPr>
          </w:p>
        </w:tc>
        <w:tc>
          <w:tcPr>
            <w:tcW w:w="13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0"/>
                <w:szCs w:val="10"/>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20"/>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50"/>
        </w:trPr>
        <w:tc>
          <w:tcPr>
            <w:tcW w:w="10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41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Asset Purchase Agreement, dated August 5, 2024, by and</w:t>
              </w:r>
            </w:hyperlink>
          </w:p>
        </w:tc>
        <w:tc>
          <w:tcPr>
            <w:tcW w:w="620" w:type="dxa"/>
            <w:vAlign w:val="bottom"/>
            <w:gridSpan w:val="12"/>
          </w:tcPr>
          <w:p>
            <w:pPr>
              <w:spacing w:after="0"/>
              <w:rPr>
                <w:sz w:val="21"/>
                <w:szCs w:val="21"/>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8/6/24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5"/>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between the Registrant and Société des Produits Nestlé S.A.</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264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Restated Certificate of Incorporation</w:t>
              </w:r>
            </w:hyperlink>
          </w:p>
        </w:tc>
        <w:tc>
          <w:tcPr>
            <w:tcW w:w="20" w:type="dxa"/>
            <w:vAlign w:val="bottom"/>
            <w:tcBorders>
              <w:top w:val="single" w:sz="8" w:color="0000FF"/>
              <w:bottom w:val="single" w:sz="8" w:color="0000EE"/>
            </w:tcBorders>
          </w:tcPr>
          <w:p>
            <w:pPr>
              <w:spacing w:after="0"/>
              <w:rPr>
                <w:sz w:val="24"/>
                <w:szCs w:val="24"/>
                <w:color w:val="auto"/>
              </w:rPr>
            </w:pPr>
          </w:p>
        </w:tc>
        <w:tc>
          <w:tcPr>
            <w:tcW w:w="1660" w:type="dxa"/>
            <w:vAlign w:val="bottom"/>
            <w:tcBorders>
              <w:top w:val="single" w:sz="8" w:color="0000FF"/>
            </w:tcBorders>
            <w:gridSpan w:val="9"/>
          </w:tcPr>
          <w:p>
            <w:pPr>
              <w:spacing w:after="0"/>
              <w:rPr>
                <w:sz w:val="24"/>
                <w:szCs w:val="24"/>
                <w:color w:val="auto"/>
              </w:rPr>
            </w:pPr>
          </w:p>
        </w:tc>
        <w:tc>
          <w:tcPr>
            <w:tcW w:w="480" w:type="dxa"/>
            <w:vAlign w:val="bottom"/>
            <w:gridSpan w:val="8"/>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7/1/15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37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Certificate of Amendment to Restated Certificate of</w:t>
              </w:r>
            </w:hyperlink>
          </w:p>
        </w:tc>
        <w:tc>
          <w:tcPr>
            <w:tcW w:w="1020" w:type="dxa"/>
            <w:vAlign w:val="bottom"/>
            <w:gridSpan w:val="13"/>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6/28/23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5"/>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Incorporation of Registrant, dated June 27, 2023</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37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Certificate of Amendment to Restated Certificate of</w:t>
              </w:r>
            </w:hyperlink>
          </w:p>
        </w:tc>
        <w:tc>
          <w:tcPr>
            <w:tcW w:w="1020" w:type="dxa"/>
            <w:vAlign w:val="bottom"/>
            <w:gridSpan w:val="13"/>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4/8/24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5"/>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Incorporation of Registrant, dated April 5, 2024</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37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Certificate of Amendment to Restated Certificate of</w:t>
              </w:r>
            </w:hyperlink>
          </w:p>
        </w:tc>
        <w:tc>
          <w:tcPr>
            <w:tcW w:w="1020" w:type="dxa"/>
            <w:vAlign w:val="bottom"/>
            <w:gridSpan w:val="13"/>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4/22/25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Incorporation of Registrant, dated April 21, 2025</w:t>
              </w:r>
            </w:hyperlink>
          </w:p>
        </w:tc>
        <w:tc>
          <w:tcPr>
            <w:tcW w:w="126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24"/>
                <w:szCs w:val="24"/>
                <w:color w:val="auto"/>
              </w:rPr>
            </w:pPr>
          </w:p>
        </w:tc>
        <w:tc>
          <w:tcPr>
            <w:tcW w:w="4800" w:type="dxa"/>
            <w:vAlign w:val="bottom"/>
            <w:gridSpan w:val="2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Bylaws</w:t>
              </w:r>
            </w:hyperlink>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44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Specimen Stock Certificate evidencing the shares of common</w:t>
              </w:r>
            </w:hyperlink>
          </w:p>
        </w:tc>
        <w:tc>
          <w:tcPr>
            <w:tcW w:w="320" w:type="dxa"/>
            <w:vAlign w:val="bottom"/>
            <w:gridSpan w:val="5"/>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50">
              <w:r>
                <w:rPr>
                  <w:rFonts w:ascii="Times New Roman" w:cs="Times New Roman" w:eastAsia="Times New Roman" w:hAnsi="Times New Roman"/>
                  <w:sz w:val="18"/>
                  <w:szCs w:val="18"/>
                  <w:color w:val="0000FF"/>
                  <w:w w:val="94"/>
                </w:rPr>
                <w:t>stock</w:t>
              </w:r>
            </w:hyperlink>
          </w:p>
        </w:tc>
        <w:tc>
          <w:tcPr>
            <w:tcW w:w="20" w:type="dxa"/>
            <w:vAlign w:val="bottom"/>
            <w:tcBorders>
              <w:bottom w:val="single" w:sz="8" w:color="0000EE"/>
            </w:tcBorders>
          </w:tcPr>
          <w:p>
            <w:pPr>
              <w:spacing w:after="0"/>
              <w:rPr>
                <w:sz w:val="17"/>
                <w:szCs w:val="17"/>
                <w:color w:val="auto"/>
              </w:rPr>
            </w:pPr>
          </w:p>
        </w:tc>
        <w:tc>
          <w:tcPr>
            <w:tcW w:w="4400" w:type="dxa"/>
            <w:vAlign w:val="bottom"/>
            <w:gridSpan w:val="23"/>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48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46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Warrant, dated April 27, 2023, issued by the Registrant</w:t>
              </w:r>
            </w:hyperlink>
          </w:p>
        </w:tc>
        <w:tc>
          <w:tcPr>
            <w:tcW w:w="140" w:type="dxa"/>
            <w:vAlign w:val="bottom"/>
            <w:gridSpan w:val="2"/>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to the Lenders, together with a schedule of warrant holders</w:t>
              </w:r>
            </w:hyperlink>
          </w:p>
        </w:tc>
        <w:tc>
          <w:tcPr>
            <w:tcW w:w="20" w:type="dxa"/>
            <w:vAlign w:val="bottom"/>
            <w:tcBorders>
              <w:bottom w:val="single" w:sz="8" w:color="0000EE"/>
            </w:tcBorders>
          </w:tcPr>
          <w:p>
            <w:pPr>
              <w:spacing w:after="0"/>
              <w:rPr>
                <w:sz w:val="17"/>
                <w:szCs w:val="17"/>
                <w:color w:val="auto"/>
              </w:rPr>
            </w:pPr>
          </w:p>
        </w:tc>
        <w:tc>
          <w:tcPr>
            <w:tcW w:w="54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4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2025 Incentive Award Plan, as amended and forms of award</w:t>
              </w:r>
            </w:hyperlink>
          </w:p>
        </w:tc>
        <w:tc>
          <w:tcPr>
            <w:tcW w:w="400" w:type="dxa"/>
            <w:vAlign w:val="bottom"/>
            <w:gridSpan w:val="7"/>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4/14/25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5"/>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agreements thereunder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44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2015 Incentive Award Plan, as amended and forms of award</w:t>
              </w:r>
            </w:hyperlink>
          </w:p>
        </w:tc>
        <w:tc>
          <w:tcPr>
            <w:tcW w:w="400" w:type="dxa"/>
            <w:vAlign w:val="bottom"/>
            <w:gridSpan w:val="7"/>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5"/>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agreements thereunder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6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2015 Employee Stock Purchase Plan</w:t>
              </w:r>
            </w:hyperlink>
          </w:p>
        </w:tc>
        <w:tc>
          <w:tcPr>
            <w:tcW w:w="20" w:type="dxa"/>
            <w:vAlign w:val="bottom"/>
            <w:tcBorders>
              <w:bottom w:val="single" w:sz="8" w:color="0000EE"/>
            </w:tcBorders>
          </w:tcPr>
          <w:p>
            <w:pPr>
              <w:spacing w:after="0"/>
              <w:rPr>
                <w:sz w:val="24"/>
                <w:szCs w:val="24"/>
                <w:color w:val="auto"/>
              </w:rPr>
            </w:pPr>
          </w:p>
        </w:tc>
        <w:tc>
          <w:tcPr>
            <w:tcW w:w="2120" w:type="dxa"/>
            <w:vAlign w:val="bottom"/>
            <w:gridSpan w:val="16"/>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2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2012 Stock Incentive Plan, as amended and form of option</w:t>
              </w:r>
            </w:hyperlink>
          </w:p>
        </w:tc>
        <w:tc>
          <w:tcPr>
            <w:tcW w:w="540" w:type="dxa"/>
            <w:vAlign w:val="bottom"/>
            <w:gridSpan w:val="10"/>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5/27/15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agreement thereunder</w:t>
              </w:r>
            </w:hyperlink>
          </w:p>
        </w:tc>
        <w:tc>
          <w:tcPr>
            <w:tcW w:w="3180" w:type="dxa"/>
            <w:vAlign w:val="bottom"/>
            <w:gridSpan w:val="21"/>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46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2022 Employment Inducement Award Plan and forms of award</w:t>
              </w:r>
            </w:hyperlink>
          </w:p>
        </w:tc>
        <w:tc>
          <w:tcPr>
            <w:tcW w:w="180" w:type="dxa"/>
            <w:vAlign w:val="bottom"/>
            <w:gridSpan w:val="3"/>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5"/>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agreements thereunder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4800" w:type="dxa"/>
            <w:vAlign w:val="bottom"/>
            <w:gridSpan w:val="25"/>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Non-Employee Director Compensation Program</w:t>
              </w:r>
            </w:hyperlink>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5/7/25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840" w:type="dxa"/>
            <w:vAlign w:val="bottom"/>
            <w:tcBorders>
              <w:left w:val="single" w:sz="8" w:color="0000EE"/>
            </w:tcBorders>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46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Lease, dated September 22, 2021, by and between the Registrant</w:t>
              </w:r>
            </w:hyperlink>
          </w:p>
        </w:tc>
        <w:tc>
          <w:tcPr>
            <w:tcW w:w="1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3/5/24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5"/>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and HCP/KING 101 CPD LLC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4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Second Amended and Restated Employment Agreement, dated</w:t>
              </w:r>
            </w:hyperlink>
          </w:p>
        </w:tc>
        <w:tc>
          <w:tcPr>
            <w:tcW w:w="220" w:type="dxa"/>
            <w:vAlign w:val="bottom"/>
            <w:gridSpan w:val="4"/>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January 29, 2021, by and between the Registrant and Eric D.</w:t>
              </w:r>
            </w:hyperlink>
          </w:p>
        </w:tc>
        <w:tc>
          <w:tcPr>
            <w:tcW w:w="3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Shaff</w:t>
              </w:r>
            </w:hyperlink>
          </w:p>
        </w:tc>
        <w:tc>
          <w:tcPr>
            <w:tcW w:w="20" w:type="dxa"/>
            <w:vAlign w:val="bottom"/>
            <w:tcBorders>
              <w:bottom w:val="single" w:sz="8" w:color="0000EE"/>
            </w:tcBorders>
          </w:tcPr>
          <w:p>
            <w:pPr>
              <w:spacing w:after="0"/>
              <w:rPr>
                <w:sz w:val="17"/>
                <w:szCs w:val="17"/>
                <w:color w:val="auto"/>
              </w:rPr>
            </w:pPr>
          </w:p>
        </w:tc>
        <w:tc>
          <w:tcPr>
            <w:tcW w:w="4380" w:type="dxa"/>
            <w:vAlign w:val="bottom"/>
            <w:gridSpan w:val="2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43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Letter Agreement, dated July 21, 2025, by and between the</w:t>
              </w:r>
            </w:hyperlink>
          </w:p>
        </w:tc>
        <w:tc>
          <w:tcPr>
            <w:tcW w:w="500" w:type="dxa"/>
            <w:vAlign w:val="bottom"/>
            <w:gridSpan w:val="9"/>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8/6/25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Company and Eric D. Shaff</w:t>
              </w:r>
            </w:hyperlink>
          </w:p>
        </w:tc>
        <w:tc>
          <w:tcPr>
            <w:tcW w:w="274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080" w:type="dxa"/>
            <w:vAlign w:val="bottom"/>
          </w:tcPr>
          <w:p>
            <w:pPr>
              <w:spacing w:after="0"/>
              <w:rPr>
                <w:sz w:val="24"/>
                <w:szCs w:val="24"/>
                <w:color w:val="auto"/>
              </w:rPr>
            </w:pPr>
          </w:p>
        </w:tc>
        <w:tc>
          <w:tcPr>
            <w:tcW w:w="4700" w:type="dxa"/>
            <w:vAlign w:val="bottom"/>
            <w:gridSpan w:val="2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62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Employment Agreement, dated January</w:t>
              </w:r>
            </w:hyperlink>
          </w:p>
        </w:tc>
      </w:tr>
      <w:tr>
        <w:trPr>
          <w:trHeight w:val="196"/>
        </w:trPr>
        <w:tc>
          <w:tcPr>
            <w:tcW w:w="1200" w:type="dxa"/>
            <w:vAlign w:val="bottom"/>
          </w:tcPr>
          <w:p>
            <w:pPr>
              <w:spacing w:after="0"/>
              <w:rPr>
                <w:sz w:val="17"/>
                <w:szCs w:val="17"/>
                <w:color w:val="auto"/>
              </w:rPr>
            </w:pPr>
          </w:p>
        </w:tc>
        <w:tc>
          <w:tcPr>
            <w:tcW w:w="40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29, 2021, by and between the Registrant and Thomas J.</w:t>
              </w:r>
            </w:hyperlink>
          </w:p>
        </w:tc>
        <w:tc>
          <w:tcPr>
            <w:tcW w:w="600" w:type="dxa"/>
            <w:vAlign w:val="bottom"/>
            <w:gridSpan w:val="1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20" w:type="dxa"/>
            <w:vAlign w:val="bottom"/>
            <w:gridSpan w:val="40"/>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DesRosier</w:t>
              </w:r>
            </w:hyperlink>
          </w:p>
        </w:tc>
      </w:tr>
      <w:tr>
        <w:trPr>
          <w:trHeight w:val="20"/>
        </w:trPr>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3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Letter Agreement, dated July 21, 2025, by and between the</w:t>
              </w:r>
            </w:hyperlink>
          </w:p>
        </w:tc>
        <w:tc>
          <w:tcPr>
            <w:tcW w:w="320" w:type="dxa"/>
            <w:vAlign w:val="bottom"/>
            <w:gridSpan w:val="10"/>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Company and Thomas J. DesRosier</w:t>
              </w:r>
            </w:hyperlink>
          </w:p>
        </w:tc>
        <w:tc>
          <w:tcPr>
            <w:tcW w:w="20" w:type="dxa"/>
            <w:vAlign w:val="bottom"/>
            <w:tcBorders>
              <w:bottom w:val="single" w:sz="8" w:color="0000EE"/>
            </w:tcBorders>
          </w:tcPr>
          <w:p>
            <w:pPr>
              <w:spacing w:after="0"/>
              <w:rPr>
                <w:sz w:val="17"/>
                <w:szCs w:val="17"/>
                <w:color w:val="auto"/>
              </w:rPr>
            </w:pPr>
          </w:p>
        </w:tc>
        <w:tc>
          <w:tcPr>
            <w:tcW w:w="2020" w:type="dxa"/>
            <w:vAlign w:val="bottom"/>
            <w:gridSpan w:val="25"/>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58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Second Amended and Restated Employment Agreement, dated</w:t>
              </w:r>
            </w:hyperlink>
          </w:p>
        </w:tc>
        <w:tc>
          <w:tcPr>
            <w:tcW w:w="4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5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January 29, 2021, by and between the Registrant and Matthew</w:t>
              </w:r>
            </w:hyperlink>
          </w:p>
        </w:tc>
        <w:tc>
          <w:tcPr>
            <w:tcW w:w="8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1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R. Henn, Ph.D.</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33"/>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5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Retention Agreement, dated October 5, 2025, by and between</w:t>
              </w:r>
            </w:hyperlink>
          </w:p>
        </w:tc>
        <w:tc>
          <w:tcPr>
            <w:tcW w:w="12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31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the Company and Matthew R. Henn, Ph.D.</w:t>
              </w:r>
            </w:hyperlink>
          </w:p>
        </w:tc>
        <w:tc>
          <w:tcPr>
            <w:tcW w:w="1520" w:type="dxa"/>
            <w:vAlign w:val="bottom"/>
            <w:gridSpan w:val="22"/>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3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Letter Agreement dated March 2, 2026, by and between the</w:t>
              </w:r>
            </w:hyperlink>
          </w:p>
        </w:tc>
        <w:tc>
          <w:tcPr>
            <w:tcW w:w="280" w:type="dxa"/>
            <w:vAlign w:val="bottom"/>
            <w:gridSpan w:val="9"/>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6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Company and Matthew Henn, Ph.D.</w:t>
              </w:r>
            </w:hyperlink>
          </w:p>
        </w:tc>
        <w:tc>
          <w:tcPr>
            <w:tcW w:w="2000" w:type="dxa"/>
            <w:vAlign w:val="bottom"/>
            <w:gridSpan w:val="24"/>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62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Amended and Restated Employment Agreement, dated January</w:t>
              </w:r>
            </w:hyperlink>
          </w:p>
        </w:tc>
      </w:tr>
      <w:tr>
        <w:trPr>
          <w:trHeight w:val="196"/>
        </w:trPr>
        <w:tc>
          <w:tcPr>
            <w:tcW w:w="1200" w:type="dxa"/>
            <w:vAlign w:val="bottom"/>
          </w:tcPr>
          <w:p>
            <w:pPr>
              <w:spacing w:after="0"/>
              <w:rPr>
                <w:sz w:val="17"/>
                <w:szCs w:val="17"/>
                <w:color w:val="auto"/>
              </w:rPr>
            </w:pPr>
          </w:p>
        </w:tc>
        <w:tc>
          <w:tcPr>
            <w:tcW w:w="452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29, 2021, by and between the Registrant and Teresa L. Young</w:t>
              </w:r>
            </w:hyperlink>
          </w:p>
        </w:tc>
        <w:tc>
          <w:tcPr>
            <w:tcW w:w="100" w:type="dxa"/>
            <w:vAlign w:val="bottom"/>
            <w:gridSpan w:val="3"/>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5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Retention Agreement, dated October 2, 2025, by and between</w:t>
              </w:r>
            </w:hyperlink>
          </w:p>
        </w:tc>
        <w:tc>
          <w:tcPr>
            <w:tcW w:w="12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20" w:type="dxa"/>
            <w:vAlign w:val="bottom"/>
            <w:gridSpan w:val="4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 Company and Teresa L. Young</w:t>
              </w:r>
            </w:hyperlink>
          </w:p>
        </w:tc>
      </w:tr>
      <w:tr>
        <w:trPr>
          <w:trHeight w:val="20"/>
        </w:trPr>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2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Employment Agreement, dated February 24, 2024, by and</w:t>
              </w:r>
            </w:hyperlink>
          </w:p>
        </w:tc>
        <w:tc>
          <w:tcPr>
            <w:tcW w:w="380" w:type="dxa"/>
            <w:vAlign w:val="bottom"/>
            <w:gridSpan w:val="1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20" w:type="dxa"/>
            <w:vAlign w:val="bottom"/>
            <w:gridSpan w:val="40"/>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between the Registrant and Marella Thorell</w:t>
              </w:r>
            </w:hyperlink>
          </w:p>
        </w:tc>
      </w:tr>
      <w:tr>
        <w:trPr>
          <w:trHeight w:val="20"/>
        </w:trPr>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3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Letter Agreement, dated July 21, 2025, by and between the</w:t>
              </w:r>
            </w:hyperlink>
          </w:p>
        </w:tc>
        <w:tc>
          <w:tcPr>
            <w:tcW w:w="320" w:type="dxa"/>
            <w:vAlign w:val="bottom"/>
            <w:gridSpan w:val="10"/>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1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Company and Marella Thorell</w:t>
              </w:r>
            </w:hyperlink>
          </w:p>
        </w:tc>
        <w:tc>
          <w:tcPr>
            <w:tcW w:w="20" w:type="dxa"/>
            <w:vAlign w:val="bottom"/>
            <w:tcBorders>
              <w:bottom w:val="single" w:sz="8" w:color="0000EE"/>
            </w:tcBorders>
          </w:tcPr>
          <w:p>
            <w:pPr>
              <w:spacing w:after="0"/>
              <w:rPr>
                <w:sz w:val="17"/>
                <w:szCs w:val="17"/>
                <w:color w:val="auto"/>
              </w:rPr>
            </w:pPr>
          </w:p>
        </w:tc>
        <w:tc>
          <w:tcPr>
            <w:tcW w:w="2420" w:type="dxa"/>
            <w:vAlign w:val="bottom"/>
            <w:gridSpan w:val="28"/>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54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dated March</w:t>
            </w:r>
          </w:p>
        </w:tc>
        <w:tc>
          <w:tcPr>
            <w:tcW w:w="8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36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w w:val="99"/>
              </w:rPr>
              <w:t>18, 2025, by and between the Company and Kelly M. Brady</w:t>
            </w:r>
          </w:p>
        </w:tc>
        <w:tc>
          <w:tcPr>
            <w:tcW w:w="260" w:type="dxa"/>
            <w:vAlign w:val="bottom"/>
            <w:gridSpan w:val="8"/>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3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Letter Agreement dated March 2, 2026, by and between the</w:t>
              </w:r>
            </w:hyperlink>
          </w:p>
        </w:tc>
        <w:tc>
          <w:tcPr>
            <w:tcW w:w="280" w:type="dxa"/>
            <w:vAlign w:val="bottom"/>
            <w:gridSpan w:val="9"/>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2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Company and Kelly M. Brady</w:t>
              </w:r>
            </w:hyperlink>
          </w:p>
        </w:tc>
        <w:tc>
          <w:tcPr>
            <w:tcW w:w="2420" w:type="dxa"/>
            <w:vAlign w:val="bottom"/>
            <w:gridSpan w:val="28"/>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4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Employment Letter Agreement dated March 2, 2026, by and</w:t>
              </w:r>
            </w:hyperlink>
          </w:p>
        </w:tc>
        <w:tc>
          <w:tcPr>
            <w:tcW w:w="22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33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between the Company and Richard N. Kender</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19"/>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5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Securities Purchase Agreement, dated September 30, 2024, by</w:t>
              </w:r>
            </w:hyperlink>
          </w:p>
        </w:tc>
        <w:tc>
          <w:tcPr>
            <w:tcW w:w="8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5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and between Seres Therapeutics, Inc. and Société des Produits</w:t>
              </w:r>
            </w:hyperlink>
          </w:p>
        </w:tc>
        <w:tc>
          <w:tcPr>
            <w:tcW w:w="8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20" w:type="dxa"/>
            <w:vAlign w:val="bottom"/>
            <w:gridSpan w:val="40"/>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Nestlé S.A.</w:t>
              </w:r>
            </w:hyperlink>
          </w:p>
        </w:tc>
      </w:tr>
      <w:tr>
        <w:trPr>
          <w:trHeight w:val="20"/>
        </w:trPr>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5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Transition Services Agreement, dated September 30, 2024, by</w:t>
              </w:r>
            </w:hyperlink>
          </w:p>
        </w:tc>
        <w:tc>
          <w:tcPr>
            <w:tcW w:w="10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3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and between Seres Therapeutics, Inc. and Nestlé Enterprises</w:t>
              </w:r>
            </w:hyperlink>
          </w:p>
        </w:tc>
        <w:tc>
          <w:tcPr>
            <w:tcW w:w="24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175">
              <w:r>
                <w:rPr>
                  <w:rFonts w:ascii="Times New Roman" w:cs="Times New Roman" w:eastAsia="Times New Roman" w:hAnsi="Times New Roman"/>
                  <w:sz w:val="18"/>
                  <w:szCs w:val="18"/>
                  <w:color w:val="0000FF"/>
                  <w:w w:val="93"/>
                </w:rPr>
                <w:t>S.A.</w:t>
              </w:r>
            </w:hyperlink>
          </w:p>
        </w:tc>
        <w:tc>
          <w:tcPr>
            <w:tcW w:w="20" w:type="dxa"/>
            <w:vAlign w:val="bottom"/>
            <w:tcBorders>
              <w:bottom w:val="single" w:sz="8" w:color="0000EE"/>
            </w:tcBorders>
          </w:tcPr>
          <w:p>
            <w:pPr>
              <w:spacing w:after="0"/>
              <w:rPr>
                <w:sz w:val="17"/>
                <w:szCs w:val="17"/>
                <w:color w:val="auto"/>
              </w:rPr>
            </w:pPr>
          </w:p>
        </w:tc>
        <w:tc>
          <w:tcPr>
            <w:tcW w:w="4280" w:type="dxa"/>
            <w:vAlign w:val="bottom"/>
            <w:gridSpan w:val="38"/>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4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Cross-License Agreement, dated September 30, 2024, by and</w:t>
              </w:r>
            </w:hyperlink>
          </w:p>
        </w:tc>
        <w:tc>
          <w:tcPr>
            <w:tcW w:w="160" w:type="dxa"/>
            <w:vAlign w:val="bottom"/>
            <w:gridSpan w:val="5"/>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2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between Seres Therapeutics, Inc. and Société des Produits</w:t>
              </w:r>
            </w:hyperlink>
          </w:p>
        </w:tc>
        <w:tc>
          <w:tcPr>
            <w:tcW w:w="400" w:type="dxa"/>
            <w:vAlign w:val="bottom"/>
            <w:gridSpan w:val="1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4620" w:type="dxa"/>
            <w:vAlign w:val="bottom"/>
            <w:gridSpan w:val="40"/>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Nestlé S.A.</w:t>
              </w:r>
            </w:hyperlink>
          </w:p>
        </w:tc>
      </w:tr>
      <w:tr>
        <w:trPr>
          <w:trHeight w:val="20"/>
        </w:trPr>
        <w:tc>
          <w:tcPr>
            <w:tcW w:w="120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5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Securities Purchase Agreement, dated August 12, 2020 by and</w:t>
              </w:r>
            </w:hyperlink>
          </w:p>
        </w:tc>
        <w:tc>
          <w:tcPr>
            <w:tcW w:w="8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20" w:type="dxa"/>
            <w:vAlign w:val="bottom"/>
            <w:gridSpan w:val="40"/>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between the Company and Société des Produits Nestlé S.A.</w:t>
              </w:r>
            </w:hyperlink>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4100" w:type="dxa"/>
            <w:vAlign w:val="bottom"/>
            <w:tcBorders>
              <w:top w:val="single" w:sz="8" w:color="0000FF"/>
              <w:bottom w:val="single" w:sz="8" w:color="0000FF"/>
            </w:tcBorders>
            <w:gridSpan w:val="2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Performance Option Agreement under the 2015</w:t>
              </w:r>
            </w:hyperlink>
          </w:p>
        </w:tc>
        <w:tc>
          <w:tcPr>
            <w:tcW w:w="180" w:type="dxa"/>
            <w:vAlign w:val="bottom"/>
            <w:tcBorders>
              <w:top w:val="single" w:sz="8" w:color="0000FF"/>
            </w:tcBorders>
            <w:gridSpan w:val="4"/>
          </w:tcPr>
          <w:p>
            <w:pPr>
              <w:spacing w:after="0"/>
              <w:rPr>
                <w:sz w:val="24"/>
                <w:szCs w:val="24"/>
                <w:color w:val="auto"/>
              </w:rPr>
            </w:pPr>
          </w:p>
        </w:tc>
        <w:tc>
          <w:tcPr>
            <w:tcW w:w="340" w:type="dxa"/>
            <w:vAlign w:val="bottom"/>
            <w:gridSpan w:val="11"/>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20" w:type="dxa"/>
            <w:vAlign w:val="bottom"/>
            <w:gridSpan w:val="40"/>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Incentive Award Plan</w:t>
              </w:r>
            </w:hyperlink>
          </w:p>
        </w:tc>
      </w:tr>
      <w:tr>
        <w:trPr>
          <w:trHeight w:val="20"/>
        </w:trPr>
        <w:tc>
          <w:tcPr>
            <w:tcW w:w="120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4620" w:type="dxa"/>
            <w:vAlign w:val="bottom"/>
            <w:gridSpan w:val="40"/>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Seres Therapeutics, Inc. Insider Trading Compliance Policy</w:t>
              </w:r>
            </w:hyperlink>
          </w:p>
        </w:tc>
      </w:tr>
      <w:tr>
        <w:trPr>
          <w:trHeight w:val="49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300" w:type="dxa"/>
            <w:vAlign w:val="bottom"/>
            <w:tcBorders>
              <w:top w:val="single" w:sz="8" w:color="0000FF"/>
            </w:tcBorders>
            <w:gridSpan w:val="30"/>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Subsidiaries of Seres Therapeutics, Inc.</w:t>
              </w:r>
            </w:hyperlink>
          </w:p>
        </w:tc>
        <w:tc>
          <w:tcPr>
            <w:tcW w:w="320" w:type="dxa"/>
            <w:vAlign w:val="bottom"/>
            <w:gridSpan w:val="10"/>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right w:val="single" w:sz="8" w:color="0000EE"/>
            </w:tcBorders>
            <w:gridSpan w:val="4"/>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0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w:t>
            </w:r>
          </w:p>
        </w:tc>
        <w:tc>
          <w:tcPr>
            <w:tcW w:w="620" w:type="dxa"/>
            <w:vAlign w:val="bottom"/>
            <w:gridSpan w:val="18"/>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46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FF"/>
              </w:rPr>
              <w:t>Registered Public Accounting Firm</w:t>
            </w:r>
          </w:p>
        </w:tc>
      </w:tr>
      <w:tr>
        <w:trPr>
          <w:trHeight w:val="20"/>
        </w:trPr>
        <w:tc>
          <w:tcPr>
            <w:tcW w:w="120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152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Rule 13a-14(a)/15d-14(a) Certification of Interim Chief</w:t>
            </w:r>
          </w:p>
        </w:tc>
        <w:tc>
          <w:tcPr>
            <w:tcW w:w="560" w:type="dxa"/>
            <w:vAlign w:val="bottom"/>
            <w:gridSpan w:val="1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Officer</w:t>
            </w:r>
          </w:p>
        </w:tc>
        <w:tc>
          <w:tcPr>
            <w:tcW w:w="40" w:type="dxa"/>
            <w:vAlign w:val="bottom"/>
            <w:tcBorders>
              <w:bottom w:val="single" w:sz="8" w:color="0000EE"/>
            </w:tcBorders>
          </w:tcPr>
          <w:p>
            <w:pPr>
              <w:spacing w:after="0"/>
              <w:rPr>
                <w:sz w:val="17"/>
                <w:szCs w:val="17"/>
                <w:color w:val="auto"/>
              </w:rPr>
            </w:pPr>
          </w:p>
        </w:tc>
        <w:tc>
          <w:tcPr>
            <w:tcW w:w="3300" w:type="dxa"/>
            <w:vAlign w:val="bottom"/>
            <w:gridSpan w:val="31"/>
          </w:tcPr>
          <w:p>
            <w:pPr>
              <w:spacing w:after="0"/>
              <w:rPr>
                <w:sz w:val="17"/>
                <w:szCs w:val="17"/>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2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w:t>
            </w:r>
          </w:p>
        </w:tc>
        <w:tc>
          <w:tcPr>
            <w:tcW w:w="420" w:type="dxa"/>
            <w:vAlign w:val="bottom"/>
            <w:gridSpan w:val="1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5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Officer</w:t>
            </w:r>
          </w:p>
        </w:tc>
        <w:tc>
          <w:tcPr>
            <w:tcW w:w="4100" w:type="dxa"/>
            <w:vAlign w:val="bottom"/>
            <w:gridSpan w:val="37"/>
          </w:tcPr>
          <w:p>
            <w:pPr>
              <w:spacing w:after="0"/>
              <w:rPr>
                <w:sz w:val="17"/>
                <w:szCs w:val="17"/>
                <w:color w:val="auto"/>
              </w:rPr>
            </w:pPr>
          </w:p>
        </w:tc>
      </w:tr>
      <w:tr>
        <w:trPr>
          <w:trHeight w:val="453"/>
        </w:trPr>
        <w:tc>
          <w:tcPr>
            <w:tcW w:w="1200" w:type="dxa"/>
            <w:vAlign w:val="bottom"/>
          </w:tcPr>
          <w:p>
            <w:pPr>
              <w:spacing w:after="0"/>
              <w:rPr>
                <w:sz w:val="24"/>
                <w:szCs w:val="24"/>
                <w:color w:val="auto"/>
              </w:rPr>
            </w:pPr>
          </w:p>
        </w:tc>
        <w:tc>
          <w:tcPr>
            <w:tcW w:w="4580" w:type="dxa"/>
            <w:vAlign w:val="bottom"/>
            <w:gridSpan w:val="39"/>
          </w:tcPr>
          <w:p>
            <w:pPr>
              <w:ind w:left="4280"/>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2/1/21</w:t>
            </w:r>
          </w:p>
        </w:tc>
      </w:tr>
      <w:tr>
        <w:trPr>
          <w:trHeight w:val="7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8/6/25</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2/1/21</w:t>
            </w:r>
          </w:p>
        </w:tc>
      </w:tr>
      <w:tr>
        <w:trPr>
          <w:trHeight w:val="7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11/5/25</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3/2/26</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3/2/21</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11/5/25</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5/8/24</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001-37465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8/6/25</w:t>
            </w:r>
          </w:p>
        </w:tc>
      </w:tr>
    </w:tbl>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3/2/26</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3/2/26</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10/1/24</w:t>
            </w:r>
          </w:p>
        </w:tc>
      </w:tr>
      <w:tr>
        <w:trPr>
          <w:trHeight w:val="7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10/1/24</w:t>
            </w:r>
          </w:p>
        </w:tc>
      </w:tr>
      <w:tr>
        <w:trPr>
          <w:trHeight w:val="7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10/1/24</w:t>
            </w:r>
          </w:p>
        </w:tc>
      </w:tr>
      <w:tr>
        <w:trPr>
          <w:trHeight w:val="7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8/14/20</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5/8/24</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19.1</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3/13/25</w:t>
            </w:r>
          </w:p>
        </w:tc>
      </w:tr>
      <w:tr>
        <w:trPr>
          <w:trHeight w:val="51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21.1</w:t>
            </w:r>
          </w:p>
        </w:tc>
        <w:tc>
          <w:tcPr>
            <w:tcW w:w="7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3/2/20</w:t>
            </w:r>
          </w:p>
        </w:tc>
      </w:tr>
    </w:tbl>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820" w:space="180"/>
            <w:col w:w="4720"/>
          </w:cols>
          <w:pgMar w:left="320" w:top="972" w:right="8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w:t>
            </w:r>
          </w:p>
        </w:tc>
        <w:tc>
          <w:tcPr>
            <w:tcW w:w="348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Interim Chief Executive Officer</w:t>
            </w:r>
          </w:p>
        </w:tc>
        <w:tc>
          <w:tcPr>
            <w:tcW w:w="40" w:type="dxa"/>
            <w:vAlign w:val="bottom"/>
            <w:tcBorders>
              <w:bottom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w:t>
            </w: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w:t>
            </w:r>
          </w:p>
        </w:tc>
        <w:tc>
          <w:tcPr>
            <w:tcW w:w="28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Financial Officer</w:t>
            </w:r>
          </w:p>
        </w:tc>
        <w:tc>
          <w:tcPr>
            <w:tcW w:w="20" w:type="dxa"/>
            <w:vAlign w:val="bottom"/>
            <w:tcBorders>
              <w:bottom w:val="single" w:sz="8" w:color="0000EE"/>
            </w:tcBorders>
          </w:tcPr>
          <w:p>
            <w:pPr>
              <w:spacing w:after="0"/>
              <w:rPr>
                <w:sz w:val="24"/>
                <w:szCs w:val="24"/>
                <w:color w:val="auto"/>
              </w:rPr>
            </w:pPr>
          </w:p>
        </w:tc>
        <w:tc>
          <w:tcPr>
            <w:tcW w:w="88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w:t>
            </w: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3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Policy for Recovery of Erroneously Awarded Compensation</w:t>
              </w:r>
            </w:hyperlink>
          </w:p>
        </w:tc>
        <w:tc>
          <w:tcPr>
            <w:tcW w:w="20" w:type="dxa"/>
            <w:vAlign w:val="bottom"/>
            <w:tcBorders>
              <w:bottom w:val="single" w:sz="8" w:color="0000EE"/>
            </w:tcBorders>
          </w:tcPr>
          <w:p>
            <w:pPr>
              <w:spacing w:after="0"/>
              <w:rPr>
                <w:sz w:val="24"/>
                <w:szCs w:val="24"/>
                <w:color w:val="auto"/>
              </w:rPr>
            </w:pPr>
          </w:p>
        </w:tc>
        <w:tc>
          <w:tcPr>
            <w:tcW w:w="340" w:type="dxa"/>
            <w:vAlign w:val="bottom"/>
            <w:gridSpan w:val="3"/>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001-37465</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97.1</w:t>
            </w:r>
          </w:p>
        </w:tc>
        <w:tc>
          <w:tcPr>
            <w:tcW w:w="17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3/5/24</w:t>
            </w:r>
          </w:p>
        </w:tc>
      </w:tr>
      <w:tr>
        <w:trPr>
          <w:trHeight w:val="29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Inline XBRL Instance Document- the Instance Document does</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4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 appear in the interactive data file because its XBRL tags are</w:t>
            </w: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4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embedded within the Inline XBRL document</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Inline XBRL Taxonomy Extension Schema Document</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88"/>
              </w:rPr>
              <w:t>*</w:t>
            </w:r>
          </w:p>
        </w:tc>
      </w:tr>
      <w:tr>
        <w:trPr>
          <w:trHeight w:val="27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Cover Page Interactive Data File (formatted as Inline XBRL and</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200" w:type="dxa"/>
            <w:vAlign w:val="bottom"/>
          </w:tcPr>
          <w:p>
            <w:pPr>
              <w:spacing w:after="0"/>
              <w:rPr>
                <w:sz w:val="20"/>
                <w:szCs w:val="20"/>
                <w:color w:val="auto"/>
              </w:rPr>
            </w:pPr>
          </w:p>
        </w:tc>
        <w:tc>
          <w:tcPr>
            <w:tcW w:w="4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contained in Exhibit 101)</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ind w:firstLine="8"/>
        <w:spacing w:after="0" w:line="250" w:lineRule="auto"/>
        <w:tabs>
          <w:tab w:leader="none" w:pos="12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Company hereby undertakes to furnish supplemental copies of any of the omitted schedules upon request by the SEC.</w:t>
      </w: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pursuant to Regulation S-K, Item 601(b)(10)(iv). Such omitted information is both (i) not material and (ii) the type that the Registrant treats as private or confidential.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SERES THERAPEUTICS, INC.</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75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Richard N. Kender</w:t>
            </w:r>
          </w:p>
        </w:tc>
      </w:tr>
      <w:tr>
        <w:trPr>
          <w:trHeight w:val="189"/>
        </w:trPr>
        <w:tc>
          <w:tcPr>
            <w:tcW w:w="37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9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Richard N. Kender</w:t>
            </w:r>
          </w:p>
        </w:tc>
      </w:tr>
      <w:tr>
        <w:trPr>
          <w:trHeight w:val="236"/>
        </w:trPr>
        <w:tc>
          <w:tcPr>
            <w:tcW w:w="37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Chair and Interim Chief Executive Officer</w:t>
            </w:r>
          </w:p>
        </w:tc>
      </w:tr>
    </w:tbl>
    <w:p>
      <w:pPr>
        <w:spacing w:after="0" w:line="22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981" w:right="339" w:bottom="1440" w:gutter="0" w:footer="0" w:header="0"/>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Signature</w:t>
            </w:r>
          </w:p>
        </w:tc>
        <w:tc>
          <w:tcPr>
            <w:tcW w:w="378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231F20"/>
              </w:rPr>
              <w:t>Title</w:t>
            </w:r>
          </w:p>
        </w:tc>
        <w:tc>
          <w:tcPr>
            <w:tcW w:w="0" w:type="dxa"/>
            <w:vAlign w:val="bottom"/>
          </w:tcPr>
          <w:p>
            <w:pPr>
              <w:spacing w:after="0"/>
              <w:rPr>
                <w:sz w:val="1"/>
                <w:szCs w:val="1"/>
                <w:color w:val="auto"/>
              </w:rPr>
            </w:pPr>
          </w:p>
        </w:tc>
      </w:tr>
      <w:tr>
        <w:trPr>
          <w:trHeight w:val="216"/>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Richard N. Kender</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Executive Chair and Interim Chief Executive</w:t>
            </w:r>
          </w:p>
        </w:tc>
        <w:tc>
          <w:tcPr>
            <w:tcW w:w="0" w:type="dxa"/>
            <w:vAlign w:val="bottom"/>
          </w:tcPr>
          <w:p>
            <w:pPr>
              <w:spacing w:after="0"/>
              <w:rPr>
                <w:sz w:val="1"/>
                <w:szCs w:val="1"/>
                <w:color w:val="auto"/>
              </w:rPr>
            </w:pPr>
          </w:p>
        </w:tc>
      </w:tr>
      <w:tr>
        <w:trPr>
          <w:trHeight w:val="226"/>
        </w:trPr>
        <w:tc>
          <w:tcPr>
            <w:tcW w:w="4140" w:type="dxa"/>
            <w:vAlign w:val="bottom"/>
            <w:tcBorders>
              <w:bottom w:val="single" w:sz="8" w:color="auto"/>
            </w:tcBorders>
            <w:vMerge w:val="continue"/>
          </w:tcPr>
          <w:p>
            <w:pPr>
              <w:spacing w:after="0"/>
              <w:rPr>
                <w:sz w:val="19"/>
                <w:szCs w:val="19"/>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Officer (Principal Executive Officer)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Richard N. Kender</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140" w:type="dxa"/>
            <w:vAlign w:val="bottom"/>
          </w:tcPr>
          <w:p>
            <w:pPr>
              <w:spacing w:after="0"/>
              <w:rPr>
                <w:sz w:val="22"/>
                <w:szCs w:val="22"/>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Executive Vice President, Chief Financial Officer</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231F20"/>
                <w:w w:val="99"/>
              </w:rPr>
              <w:t>and Treasurer (Principal Financial and Accounting</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Marella Thorell</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Officer)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Marella Thorell</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231F20"/>
              </w:rPr>
              <w:t>Stephen Berenson</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Director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Stephen Berenson</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Dennis A. Ausiello</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Director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Dennis A. Ausiello, M.D.</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 Rosiello</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 Rosiello</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Willard H. Dere</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Willard H. Dere, M.D.</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Claire M. Fraser</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Director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Claire M. Fraser, Ph.D.</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/s/ Kurt C. Graves</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Director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Kurt C. Graves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Hans-Juergen Woerle, M.D., Ph.D.</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Hans-Juergen Woerle, M.D., Ph.D.</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D. Shaff</w:t>
            </w:r>
          </w:p>
        </w:tc>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Eric D. Shaff</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Date</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12, 2026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12, 2026</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12, 2026</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12, 2026</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12, 2026</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12, 2026</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12, 2026</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12, 2026</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12, 2026</w:t>
      </w:r>
    </w:p>
    <w:p>
      <w:pPr>
        <w:spacing w:after="0" w:line="461" w:lineRule="exact"/>
        <w:rPr>
          <w:sz w:val="20"/>
          <w:szCs w:val="20"/>
          <w:color w:val="auto"/>
        </w:rPr>
      </w:pPr>
    </w:p>
    <w:p>
      <w:pPr>
        <w:sectPr>
          <w:pgSz w:w="11900" w:h="16838" w:orient="portrait"/>
          <w:cols w:equalWidth="0" w:num="2">
            <w:col w:w="8840" w:space="720"/>
            <w:col w:w="1680"/>
          </w:cols>
          <w:pgMar w:left="320" w:top="981" w:right="3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5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860" w:type="dxa"/>
            <w:vAlign w:val="bottom"/>
            <w:gridSpan w:val="4"/>
            <w:vMerge w:val="restart"/>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40" w:type="dxa"/>
            <w:vAlign w:val="bottom"/>
            <w:tcBorders>
              <w:bottom w:val="single" w:sz="8" w:color="0000FF"/>
            </w:tcBorders>
            <w:gridSpan w:val="4"/>
            <w:vMerge w:val="continue"/>
          </w:tcPr>
          <w:p>
            <w:pPr>
              <w:spacing w:after="0"/>
              <w:rPr>
                <w:sz w:val="14"/>
                <w:szCs w:val="14"/>
                <w:color w:val="auto"/>
              </w:rPr>
            </w:pPr>
          </w:p>
        </w:tc>
        <w:tc>
          <w:tcPr>
            <w:tcW w:w="4860" w:type="dxa"/>
            <w:vAlign w:val="bottom"/>
            <w:gridSpan w:val="4"/>
            <w:vMerge w:val="continue"/>
          </w:tcPr>
          <w:p>
            <w:pPr>
              <w:spacing w:after="0"/>
              <w:rPr>
                <w:sz w:val="14"/>
                <w:szCs w:val="14"/>
                <w:color w:val="auto"/>
              </w:rPr>
            </w:pPr>
          </w:p>
        </w:tc>
        <w:tc>
          <w:tcPr>
            <w:tcW w:w="840" w:type="dxa"/>
            <w:vAlign w:val="bottom"/>
            <w:tcBorders>
              <w:top w:val="single" w:sz="8" w:color="auto"/>
            </w:tcBorders>
          </w:tcPr>
          <w:p>
            <w:pPr>
              <w:ind w:left="600"/>
              <w:spacing w:after="0" w:line="169"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17"/>
                <w:szCs w:val="17"/>
                <w:color w:val="auto"/>
              </w:rPr>
            </w:pPr>
          </w:p>
        </w:tc>
        <w:tc>
          <w:tcPr>
            <w:tcW w:w="5720" w:type="dxa"/>
            <w:vAlign w:val="bottom"/>
            <w:gridSpan w:val="5"/>
          </w:tcPr>
          <w:p>
            <w:pPr>
              <w:spacing w:after="0"/>
              <w:rPr>
                <w:sz w:val="17"/>
                <w:szCs w:val="17"/>
                <w:color w:val="auto"/>
              </w:rPr>
            </w:pPr>
          </w:p>
        </w:tc>
        <w:tc>
          <w:tcPr>
            <w:tcW w:w="860" w:type="dxa"/>
            <w:vAlign w:val="bottom"/>
            <w:gridSpan w:val="2"/>
          </w:tcPr>
          <w:p>
            <w:pPr>
              <w:ind w:left="60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104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years ended December 31, 2025, 2024 and 2023</w:t>
            </w:r>
          </w:p>
        </w:tc>
        <w:tc>
          <w:tcPr>
            <w:tcW w:w="860" w:type="dxa"/>
            <w:vAlign w:val="bottom"/>
            <w:gridSpan w:val="2"/>
          </w:tcPr>
          <w:p>
            <w:pPr>
              <w:ind w:left="60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942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(Deficit) as of December 31, 2025, 2024 and 2023</w:t>
            </w:r>
          </w:p>
        </w:tc>
        <w:tc>
          <w:tcPr>
            <w:tcW w:w="980" w:type="dxa"/>
            <w:vAlign w:val="bottom"/>
          </w:tcPr>
          <w:p>
            <w:pPr>
              <w:spacing w:after="0"/>
              <w:rPr>
                <w:sz w:val="17"/>
                <w:szCs w:val="17"/>
                <w:color w:val="auto"/>
              </w:rPr>
            </w:pPr>
          </w:p>
        </w:tc>
        <w:tc>
          <w:tcPr>
            <w:tcW w:w="860" w:type="dxa"/>
            <w:vAlign w:val="bottom"/>
            <w:gridSpan w:val="2"/>
          </w:tcPr>
          <w:p>
            <w:pPr>
              <w:ind w:left="60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2022</w:t>
            </w:r>
          </w:p>
        </w:tc>
        <w:tc>
          <w:tcPr>
            <w:tcW w:w="3480" w:type="dxa"/>
            <w:vAlign w:val="bottom"/>
            <w:gridSpan w:val="3"/>
          </w:tcPr>
          <w:p>
            <w:pPr>
              <w:spacing w:after="0"/>
              <w:rPr>
                <w:sz w:val="17"/>
                <w:szCs w:val="17"/>
                <w:color w:val="auto"/>
              </w:rPr>
            </w:pPr>
          </w:p>
        </w:tc>
        <w:tc>
          <w:tcPr>
            <w:tcW w:w="860" w:type="dxa"/>
            <w:vAlign w:val="bottom"/>
            <w:gridSpan w:val="2"/>
          </w:tcPr>
          <w:p>
            <w:pPr>
              <w:ind w:left="60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96"/>
        </w:trPr>
        <w:tc>
          <w:tcPr>
            <w:tcW w:w="104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60" w:type="dxa"/>
            <w:vAlign w:val="bottom"/>
            <w:gridSpan w:val="2"/>
          </w:tcPr>
          <w:p>
            <w:pPr>
              <w:ind w:left="600"/>
              <w:spacing w:after="0" w:line="19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669"/>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F-1</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Seres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Seres Therapeutics, Inc. and its subsidiaries (the “Company”) as of December 31, 2025 and 2024, and the related consolidated statements of operations and comprehensive income (loss), of stockholders' equity (deficit) and of cash flows for each of the three years in the period ended December 31, 2025, including the related notes (collectively referred to as the “consolidated financial statements”). In our opinion, the consolidated financial statements present fairly, in all material respects, the financial position of the Company as of December 31, 2025 and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December 31, 2025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incurred recurring losses from operations and has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ind w:right="160" w:firstLine="45"/>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Associated with Other Operational Costs</w:t>
      </w:r>
    </w:p>
    <w:p>
      <w:pPr>
        <w:spacing w:after="0" w:line="16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research and development costs are expensed as incurred. Research and development expenses include other operational costs related to the Company’s research and development activities, including allocated facility-related expenses and external costs of outside vendors engaged to conduct both preclinical studies and clinical trials, and certain costs of fulfilling the Company's obligations under the Transition Services Agreement (TSA). The Company's research and development expense for the year ended December 31, 2025 was $49.1 million, a significant portion of which is associated with other operational costs.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research and development expenses associated with other operational costs is a critical audit matter is a high degree of auditor effort in performing procedures related to research and development expenses associated with other operational costs.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testing research and development expenses associated with other operational costs on a sample basis by obtaining and inspecting source documents, such as underlying agreements with outside vendors, purchase orders and invoices received, where applicable.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5" w:right="55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45,766</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due from SPN - related party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 (1)</w:t>
            </w: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Borders>
              <w:bottom w:val="single" w:sz="8" w:color="CFF0FC"/>
            </w:tcBorders>
          </w:tcPr>
          <w:p>
            <w:pPr>
              <w:spacing w:after="0"/>
              <w:rPr>
                <w:sz w:val="18"/>
                <w:szCs w:val="18"/>
                <w:color w:val="auto"/>
              </w:rPr>
            </w:pPr>
          </w:p>
        </w:tc>
      </w:tr>
      <w:tr>
        <w:trPr>
          <w:trHeight w:val="209"/>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38,674</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r>
      <w:tr>
        <w:trPr>
          <w:trHeight w:val="209"/>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139,810</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 due to SPN - related party</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00" w:type="dxa"/>
            <w:vAlign w:val="bottom"/>
            <w:tcBorders>
              <w:bottom w:val="single" w:sz="8" w:color="CFF0FC"/>
            </w:tcBorders>
          </w:tcPr>
          <w:p>
            <w:pPr>
              <w:spacing w:after="0"/>
              <w:rPr>
                <w:sz w:val="18"/>
                <w:szCs w:val="18"/>
                <w:color w:val="auto"/>
              </w:rPr>
            </w:pPr>
          </w:p>
        </w:tc>
      </w:tr>
      <w:tr>
        <w:trPr>
          <w:trHeight w:val="209"/>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82,966</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126,026</w:t>
            </w:r>
          </w:p>
        </w:tc>
        <w:tc>
          <w:tcPr>
            <w:tcW w:w="100" w:type="dxa"/>
            <w:vAlign w:val="bottom"/>
          </w:tcPr>
          <w:p>
            <w:pPr>
              <w:spacing w:after="0"/>
              <w:rPr>
                <w:sz w:val="18"/>
                <w:szCs w:val="18"/>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at December 31, 2025 and 2024;</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 shares issued and outstanding at December 31, 2025 and 2024</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360,000,000 shares authorized at December 31, 2025 and 2024,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9,556,446 and 8,650,227 shares issued and outstanding at December 31, 2025 and 2024,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16"/>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1,016,611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991,874</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(972,403)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(978,099)</w:t>
            </w:r>
          </w:p>
        </w:tc>
      </w:tr>
      <w:tr>
        <w:trPr>
          <w:trHeight w:val="209"/>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138,193</w:t>
            </w:r>
          </w:p>
        </w:tc>
        <w:tc>
          <w:tcPr>
            <w:tcW w:w="180" w:type="dxa"/>
            <w:vAlign w:val="bottom"/>
          </w:tcPr>
          <w:p>
            <w:pPr>
              <w:spacing w:after="0"/>
              <w:rPr>
                <w:sz w:val="18"/>
                <w:szCs w:val="18"/>
                <w:color w:val="auto"/>
              </w:rPr>
            </w:pPr>
          </w:p>
        </w:tc>
        <w:tc>
          <w:tcPr>
            <w:tcW w:w="5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139,810</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-3813810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-2125345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-1704975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7" w:lineRule="exact"/>
        <w:rPr>
          <w:sz w:val="20"/>
          <w:szCs w:val="20"/>
          <w:color w:val="auto"/>
        </w:rPr>
      </w:pPr>
    </w:p>
    <w:p>
      <w:pPr>
        <w:ind w:firstLine="8"/>
        <w:spacing w:after="0" w:line="242" w:lineRule="auto"/>
        <w:tabs>
          <w:tab w:leader="none" w:pos="185"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$0 as of December 31, 2025 and $2,683 as of December 31, 2024 of unbilled receivable from SPN (related party) related to certain costs of the transition services performed by the Company. See Note 3, </w:t>
      </w:r>
      <w:r>
        <w:rPr>
          <w:rFonts w:ascii="Times New Roman" w:cs="Times New Roman" w:eastAsia="Times New Roman" w:hAnsi="Times New Roman"/>
          <w:sz w:val="17"/>
          <w:szCs w:val="17"/>
          <w:i w:val="1"/>
          <w:iCs w:val="1"/>
          <w:color w:val="auto"/>
        </w:rPr>
        <w:t>Discontinued Operations and TSA</w:t>
      </w:r>
      <w:r>
        <w:rPr>
          <w:rFonts w:ascii="Times New Roman" w:cs="Times New Roman" w:eastAsia="Times New Roman" w:hAnsi="Times New Roman"/>
          <w:sz w:val="17"/>
          <w:szCs w:val="17"/>
          <w:color w:val="auto"/>
        </w:rPr>
        <w:t>, for further details.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49,060</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64,600</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Manufacturing services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0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94,760</w:t>
            </w: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121,315</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195,097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(93,971)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(121,315)</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(195,097)</w:t>
            </w:r>
          </w:p>
        </w:tc>
        <w:tc>
          <w:tcPr>
            <w:tcW w:w="0" w:type="dxa"/>
            <w:vAlign w:val="bottom"/>
          </w:tcPr>
          <w:p>
            <w:pPr>
              <w:spacing w:after="0"/>
              <w:rPr>
                <w:sz w:val="1"/>
                <w:szCs w:val="1"/>
                <w:color w:val="auto"/>
              </w:rPr>
            </w:pPr>
          </w:p>
        </w:tc>
      </w:tr>
      <w:tr>
        <w:trPr>
          <w:trHeight w:val="209"/>
        </w:trPr>
        <w:tc>
          <w:tcPr>
            <w:tcW w:w="6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 (2)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(14,107)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99,667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(4,456)</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(125,771)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(190,130)</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(113,724)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income (loss) from continuing operations per share attributable to common</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 basic</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from discontinued operations per share attributable to common stockholders</w:t>
            </w: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60" w:type="dxa"/>
            <w:vAlign w:val="bottom"/>
          </w:tcPr>
          <w:p>
            <w:pPr>
              <w:spacing w:after="0"/>
              <w:rPr>
                <w:sz w:val="17"/>
                <w:szCs w:val="17"/>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44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basic</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from continuing operations per share attributable to common</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 diluted</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198"/>
        </w:trPr>
        <w:tc>
          <w:tcPr>
            <w:tcW w:w="6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income from discontinued operations per share attributable to common stockholders</w:t>
            </w:r>
          </w:p>
        </w:tc>
        <w:tc>
          <w:tcPr>
            <w:tcW w:w="4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diluted</w:t>
            </w:r>
          </w:p>
        </w:tc>
        <w:tc>
          <w:tcPr>
            <w:tcW w:w="440" w:type="dxa"/>
            <w:vAlign w:val="bottom"/>
            <w:gridSpan w:val="2"/>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500" w:type="dxa"/>
            <w:vAlign w:val="bottom"/>
            <w:gridSpan w:val="2"/>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8,858,975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7,769,910</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8,869,742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7,769,910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investments, net of tax of $0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(113,712)</w:t>
            </w: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-3985260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-3985260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-3693795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-3693795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-2853690</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-2853690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-2571115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-2571115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-1173480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-1173480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-316865</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-316865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60" w:firstLine="8"/>
        <w:spacing w:after="0" w:line="238" w:lineRule="auto"/>
        <w:tabs>
          <w:tab w:leader="none" w:pos="185"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$13,311 and $6,292 for the years ended December 31, 2025 and 2024 related to reimbursement received from SPN (related party) for transition services provided by the Company.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000" w:type="dxa"/>
            <w:vAlign w:val="bottom"/>
            <w:gridSpan w:val="3"/>
            <w:vMerge w:val="restart"/>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200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76"/>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0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740" w:type="dxa"/>
            <w:vAlign w:val="bottom"/>
          </w:tcPr>
          <w:p>
            <w:pPr>
              <w:jc w:val="right"/>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Par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11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12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6,261,400</w:t>
            </w:r>
          </w:p>
        </w:tc>
        <w:tc>
          <w:tcPr>
            <w:tcW w:w="960" w:type="dxa"/>
            <w:vAlign w:val="bottom"/>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875,300</w:t>
            </w:r>
          </w:p>
        </w:tc>
        <w:tc>
          <w:tcPr>
            <w:tcW w:w="4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(864,511)</w:t>
            </w: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FF0FC"/>
          </w:tcPr>
          <w:p>
            <w:pPr>
              <w:ind w:left="80"/>
              <w:spacing w:after="0" w:line="182" w:lineRule="exact"/>
              <w:rPr>
                <w:sz w:val="20"/>
                <w:szCs w:val="20"/>
                <w:color w:val="auto"/>
              </w:rPr>
            </w:pPr>
            <w:r>
              <w:rPr>
                <w:rFonts w:ascii="Times New Roman" w:cs="Times New Roman" w:eastAsia="Times New Roman" w:hAnsi="Times New Roman"/>
                <w:sz w:val="17"/>
                <w:szCs w:val="17"/>
                <w:color w:val="auto"/>
              </w:rPr>
              <w:t>Issuance of common stock upon vesting of RSUs and</w:t>
            </w: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PSUs, net of tax withholdings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61,958</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30,133</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offering, net of issuance costs of $772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385,554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Issuance of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34,101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(113,724)</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(113,724)</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6,752,073</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933,372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(978,235)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(44,856)</w:t>
            </w:r>
          </w:p>
        </w:tc>
        <w:tc>
          <w:tcPr>
            <w:tcW w:w="0" w:type="dxa"/>
            <w:vAlign w:val="bottom"/>
          </w:tcPr>
          <w:p>
            <w:pPr>
              <w:spacing w:after="0"/>
              <w:rPr>
                <w:sz w:val="1"/>
                <w:szCs w:val="1"/>
                <w:color w:val="auto"/>
              </w:rPr>
            </w:pPr>
          </w:p>
        </w:tc>
      </w:tr>
      <w:tr>
        <w:trPr>
          <w:trHeight w:val="174"/>
        </w:trPr>
        <w:tc>
          <w:tcPr>
            <w:tcW w:w="4040" w:type="dxa"/>
            <w:vAlign w:val="bottom"/>
            <w:shd w:val="clear" w:color="auto" w:fill="CFF0FC"/>
          </w:tcPr>
          <w:p>
            <w:pPr>
              <w:ind w:left="80"/>
              <w:spacing w:after="0" w:line="174" w:lineRule="exact"/>
              <w:rPr>
                <w:sz w:val="20"/>
                <w:szCs w:val="20"/>
                <w:color w:val="auto"/>
              </w:rPr>
            </w:pPr>
            <w:r>
              <w:rPr>
                <w:rFonts w:ascii="Times New Roman" w:cs="Times New Roman" w:eastAsia="Times New Roman" w:hAnsi="Times New Roman"/>
                <w:sz w:val="17"/>
                <w:szCs w:val="17"/>
                <w:color w:val="auto"/>
              </w:rPr>
              <w:t>Issuance of common stock upon vesting of RSUs and</w:t>
            </w:r>
          </w:p>
        </w:tc>
        <w:tc>
          <w:tcPr>
            <w:tcW w:w="10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PSUs, net of tax withholdings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123,602</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29,421</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offering, net of issuance costs of $867</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1,030,846</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Issuance of common stock from Securities Purchase</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Agreement - related party</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714,285</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20,971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8,650,227</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991,874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(978,099)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40" w:type="dxa"/>
            <w:vAlign w:val="bottom"/>
            <w:tcBorders>
              <w:top w:val="single" w:sz="8" w:color="CFF0FC"/>
            </w:tcBorders>
          </w:tcPr>
          <w:p>
            <w:pPr>
              <w:ind w:left="80"/>
              <w:spacing w:after="0" w:line="174"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FF0FC"/>
          </w:tcPr>
          <w:p>
            <w:pPr>
              <w:ind w:left="80"/>
              <w:spacing w:after="0" w:line="182" w:lineRule="exact"/>
              <w:rPr>
                <w:sz w:val="20"/>
                <w:szCs w:val="20"/>
                <w:color w:val="auto"/>
              </w:rPr>
            </w:pPr>
            <w:r>
              <w:rPr>
                <w:rFonts w:ascii="Times New Roman" w:cs="Times New Roman" w:eastAsia="Times New Roman" w:hAnsi="Times New Roman"/>
                <w:sz w:val="17"/>
                <w:szCs w:val="17"/>
                <w:color w:val="auto"/>
              </w:rPr>
              <w:t>Issuance of common stock upon vesting of RSUs and</w:t>
            </w: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PSUs, net of tax withholdings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124,855</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17,839</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offering, net of issuance costs of $498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739,545</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7"/>
                <w:szCs w:val="17"/>
                <w:color w:val="auto"/>
              </w:rPr>
              <w:t>Adjustment for fractional shares due to reverse stock</w:t>
            </w: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split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9,556,466</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1,016,611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(972,403)</w:t>
            </w: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-3025140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-3025140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-3025140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-3025140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-3025140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-1585595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-1585595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-1585595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-1585595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-1585595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3"/>
                <w:szCs w:val="13"/>
                <w:color w:val="auto"/>
              </w:rPr>
            </w:pPr>
          </w:p>
        </w:tc>
      </w:tr>
      <w:tr>
        <w:trPr>
          <w:trHeight w:val="155"/>
        </w:trPr>
        <w:tc>
          <w:tcPr>
            <w:tcW w:w="61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4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1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960" w:type="dxa"/>
            <w:vAlign w:val="bottom"/>
            <w:gridSpan w:val="2"/>
          </w:tcPr>
          <w:p>
            <w:pPr>
              <w:jc w:val="right"/>
              <w:ind w:right="3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5,696</w:t>
            </w:r>
          </w:p>
        </w:tc>
        <w:tc>
          <w:tcPr>
            <w:tcW w:w="280" w:type="dxa"/>
            <w:vAlign w:val="bottom"/>
          </w:tcPr>
          <w:p>
            <w:pPr>
              <w:spacing w:after="0"/>
              <w:rPr>
                <w:sz w:val="14"/>
                <w:szCs w:val="14"/>
                <w:color w:val="auto"/>
              </w:rPr>
            </w:pPr>
          </w:p>
        </w:tc>
        <w:tc>
          <w:tcPr>
            <w:tcW w:w="42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136</w:t>
            </w:r>
          </w:p>
        </w:tc>
        <w:tc>
          <w:tcPr>
            <w:tcW w:w="240" w:type="dxa"/>
            <w:vAlign w:val="bottom"/>
          </w:tcPr>
          <w:p>
            <w:pPr>
              <w:spacing w:after="0"/>
              <w:rPr>
                <w:sz w:val="14"/>
                <w:szCs w:val="14"/>
                <w:color w:val="auto"/>
              </w:rPr>
            </w:pPr>
          </w:p>
        </w:tc>
        <w:tc>
          <w:tcPr>
            <w:tcW w:w="42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(113,724)</w:t>
            </w: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10,840</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20,971</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34,101</w:t>
            </w: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Depreciation and amortization expense</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4,133</w:t>
            </w:r>
          </w:p>
        </w:tc>
        <w:tc>
          <w:tcPr>
            <w:tcW w:w="2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5,468</w:t>
            </w: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6,243</w:t>
            </w: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Non-cash operating lease cost</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8,420</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9,230</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8,871</w:t>
            </w: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Net (accretion) amortization of (discounts) premiums on investments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(236)</w:t>
            </w:r>
          </w:p>
        </w:tc>
      </w:tr>
      <w:tr>
        <w:trPr>
          <w:trHeight w:val="162"/>
        </w:trPr>
        <w:tc>
          <w:tcPr>
            <w:tcW w:w="610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Gain on sale of VOWST Business, net of transaction costs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1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(146,707)</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10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Amortization of debt issuance costs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1,413</w:t>
            </w: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1,139</w:t>
            </w: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Loss associated with extinguishment of debt</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23,351</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1,625</w:t>
            </w: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(Gain)/loss on disposal of fixed assets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(192)</w:t>
            </w: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317</w:t>
            </w: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10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Impairment of long-lived assets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3,267</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10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(546)</w:t>
            </w: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(1,554)</w:t>
            </w:r>
          </w:p>
        </w:tc>
      </w:tr>
      <w:tr>
        <w:trPr>
          <w:trHeight w:val="162"/>
        </w:trPr>
        <w:tc>
          <w:tcPr>
            <w:tcW w:w="6100" w:type="dxa"/>
            <w:vAlign w:val="bottom"/>
          </w:tcPr>
          <w:p>
            <w:pPr>
              <w:ind w:left="240"/>
              <w:spacing w:after="0" w:line="162" w:lineRule="exact"/>
              <w:rPr>
                <w:sz w:val="20"/>
                <w:szCs w:val="20"/>
                <w:color w:val="auto"/>
              </w:rPr>
            </w:pPr>
            <w:r>
              <w:rPr>
                <w:rFonts w:ascii="Times New Roman" w:cs="Times New Roman" w:eastAsia="Times New Roman" w:hAnsi="Times New Roman"/>
                <w:sz w:val="15"/>
                <w:szCs w:val="15"/>
                <w:color w:val="auto"/>
              </w:rPr>
              <w:t>Collaboration (profit) loss sharing - related party (1)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1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5,158</w:t>
            </w: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24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Accounts receivable due from SPN - related party</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1,708</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(2,068)</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10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and non-current assets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2,720</w:t>
            </w:r>
          </w:p>
        </w:tc>
        <w:tc>
          <w:tcPr>
            <w:tcW w:w="2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987</w:t>
            </w: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(29,124)</w:t>
            </w:r>
          </w:p>
        </w:tc>
      </w:tr>
      <w:tr>
        <w:trPr>
          <w:trHeight w:val="162"/>
        </w:trPr>
        <w:tc>
          <w:tcPr>
            <w:tcW w:w="61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(157)</w:t>
            </w:r>
          </w:p>
        </w:tc>
        <w:tc>
          <w:tcPr>
            <w:tcW w:w="420" w:type="dxa"/>
            <w:vAlign w:val="bottom"/>
          </w:tcPr>
          <w:p>
            <w:pPr>
              <w:spacing w:after="0"/>
              <w:rPr>
                <w:sz w:val="14"/>
                <w:szCs w:val="14"/>
                <w:color w:val="auto"/>
              </w:rPr>
            </w:pPr>
          </w:p>
        </w:tc>
        <w:tc>
          <w:tcPr>
            <w:tcW w:w="11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10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Collaboration receivable - related party</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8,674</w:t>
            </w: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(8,674)</w:t>
            </w:r>
          </w:p>
        </w:tc>
      </w:tr>
      <w:tr>
        <w:trPr>
          <w:trHeight w:val="162"/>
        </w:trPr>
        <w:tc>
          <w:tcPr>
            <w:tcW w:w="61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1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(33,795)</w:t>
            </w:r>
          </w:p>
        </w:tc>
        <w:tc>
          <w:tcPr>
            <w:tcW w:w="42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(29,647)</w:t>
            </w:r>
          </w:p>
        </w:tc>
      </w:tr>
      <w:tr>
        <w:trPr>
          <w:trHeight w:val="162"/>
        </w:trPr>
        <w:tc>
          <w:tcPr>
            <w:tcW w:w="610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Deferred income - related party</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(4,124)</w:t>
            </w: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7,730</w:t>
            </w: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Deferred revenue - related party</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1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(1,325)</w:t>
            </w:r>
          </w:p>
        </w:tc>
      </w:tr>
      <w:tr>
        <w:trPr>
          <w:trHeight w:val="162"/>
        </w:trPr>
        <w:tc>
          <w:tcPr>
            <w:tcW w:w="610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(2,397)</w:t>
            </w:r>
          </w:p>
        </w:tc>
        <w:tc>
          <w:tcPr>
            <w:tcW w:w="42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(2,940)</w:t>
            </w: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(11,578)</w:t>
            </w:r>
          </w:p>
        </w:tc>
      </w:tr>
      <w:tr>
        <w:trPr>
          <w:trHeight w:val="162"/>
        </w:trPr>
        <w:tc>
          <w:tcPr>
            <w:tcW w:w="61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Accrued liabilities due to SPN - related party</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(14,472)</w:t>
            </w:r>
          </w:p>
        </w:tc>
        <w:tc>
          <w:tcPr>
            <w:tcW w:w="420" w:type="dxa"/>
            <w:vAlign w:val="bottom"/>
          </w:tcPr>
          <w:p>
            <w:pPr>
              <w:spacing w:after="0"/>
              <w:rPr>
                <w:sz w:val="14"/>
                <w:szCs w:val="14"/>
                <w:color w:val="auto"/>
              </w:rPr>
            </w:pPr>
          </w:p>
        </w:tc>
        <w:tc>
          <w:tcPr>
            <w:tcW w:w="11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(15,708)</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100" w:type="dxa"/>
            <w:vAlign w:val="bottom"/>
            <w:shd w:val="clear" w:color="auto" w:fill="CFF0FC"/>
          </w:tcPr>
          <w:p>
            <w:pPr>
              <w:ind w:left="36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(8,674)</w:t>
            </w:r>
          </w:p>
        </w:tc>
        <w:tc>
          <w:tcPr>
            <w:tcW w:w="42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(6,339)</w:t>
            </w: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(2,197)</w:t>
            </w:r>
          </w:p>
        </w:tc>
      </w:tr>
      <w:tr>
        <w:trPr>
          <w:trHeight w:val="162"/>
        </w:trPr>
        <w:tc>
          <w:tcPr>
            <w:tcW w:w="610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and long-term liabilities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(6,508)</w:t>
            </w:r>
          </w:p>
        </w:tc>
        <w:tc>
          <w:tcPr>
            <w:tcW w:w="420" w:type="dxa"/>
            <w:vAlign w:val="bottom"/>
          </w:tcPr>
          <w:p>
            <w:pPr>
              <w:spacing w:after="0"/>
              <w:rPr>
                <w:sz w:val="14"/>
                <w:szCs w:val="14"/>
                <w:color w:val="auto"/>
              </w:rPr>
            </w:pPr>
          </w:p>
        </w:tc>
        <w:tc>
          <w:tcPr>
            <w:tcW w:w="11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(10,196)</w:t>
            </w: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15,838</w:t>
            </w:r>
          </w:p>
        </w:tc>
        <w:tc>
          <w:tcPr>
            <w:tcW w:w="100" w:type="dxa"/>
            <w:vAlign w:val="bottom"/>
          </w:tcPr>
          <w:p>
            <w:pPr>
              <w:spacing w:after="0"/>
              <w:rPr>
                <w:sz w:val="14"/>
                <w:szCs w:val="14"/>
                <w:color w:val="auto"/>
              </w:rPr>
            </w:pPr>
          </w:p>
        </w:tc>
      </w:tr>
      <w:tr>
        <w:trPr>
          <w:trHeight w:val="20"/>
        </w:trPr>
        <w:tc>
          <w:tcPr>
            <w:tcW w:w="6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10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4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1,117</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tcBorders>
              <w:right w:val="single" w:sz="8" w:color="CFF0FC"/>
            </w:tcBorders>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(148,609)</w:t>
            </w:r>
          </w:p>
        </w:tc>
        <w:tc>
          <w:tcPr>
            <w:tcW w:w="4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(117,354)</w:t>
            </w:r>
          </w:p>
        </w:tc>
      </w:tr>
      <w:tr>
        <w:trPr>
          <w:trHeight w:val="155"/>
        </w:trPr>
        <w:tc>
          <w:tcPr>
            <w:tcW w:w="61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480" w:type="dxa"/>
            <w:vAlign w:val="bottom"/>
            <w:tcBorders>
              <w:top w:val="single" w:sz="8" w:color="CFF0FC"/>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(252)</w:t>
            </w:r>
          </w:p>
        </w:tc>
        <w:tc>
          <w:tcPr>
            <w:tcW w:w="42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(380)</w:t>
            </w: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(7,975)</w:t>
            </w:r>
          </w:p>
        </w:tc>
      </w:tr>
      <w:tr>
        <w:trPr>
          <w:trHeight w:val="162"/>
        </w:trPr>
        <w:tc>
          <w:tcPr>
            <w:tcW w:w="61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Proceeds from sales of property and equipment</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Purchases of investments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(4,426)</w:t>
            </w:r>
          </w:p>
        </w:tc>
      </w:tr>
      <w:tr>
        <w:trPr>
          <w:trHeight w:val="162"/>
        </w:trPr>
        <w:tc>
          <w:tcPr>
            <w:tcW w:w="61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Sales and maturities of investments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1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22,983</w:t>
            </w: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Sales of restricted investments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1,401</w:t>
            </w: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1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Proceeds from sale of VOWST Business</w:t>
            </w:r>
          </w:p>
        </w:tc>
        <w:tc>
          <w:tcPr>
            <w:tcW w:w="4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141,272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r>
      <w:tr>
        <w:trPr>
          <w:trHeight w:val="155"/>
        </w:trPr>
        <w:tc>
          <w:tcPr>
            <w:tcW w:w="610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4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rPr>
              <w:t>(42)</w:t>
            </w:r>
          </w:p>
        </w:tc>
        <w:tc>
          <w:tcPr>
            <w:tcW w:w="4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142,293</w:t>
            </w:r>
          </w:p>
        </w:tc>
        <w:tc>
          <w:tcPr>
            <w:tcW w:w="240" w:type="dxa"/>
            <w:vAlign w:val="bottom"/>
            <w:tcBorders>
              <w:right w:val="single" w:sz="8" w:color="CFF0FC"/>
            </w:tcBorders>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10,582</w:t>
            </w:r>
          </w:p>
        </w:tc>
        <w:tc>
          <w:tcPr>
            <w:tcW w:w="100" w:type="dxa"/>
            <w:vAlign w:val="bottom"/>
            <w:shd w:val="clear" w:color="auto" w:fill="CFF0FC"/>
          </w:tcPr>
          <w:p>
            <w:pPr>
              <w:spacing w:after="0"/>
              <w:rPr>
                <w:sz w:val="13"/>
                <w:szCs w:val="13"/>
                <w:color w:val="auto"/>
              </w:rPr>
            </w:pPr>
          </w:p>
        </w:tc>
      </w:tr>
      <w:tr>
        <w:trPr>
          <w:trHeight w:val="155"/>
        </w:trPr>
        <w:tc>
          <w:tcPr>
            <w:tcW w:w="61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480" w:type="dxa"/>
            <w:vAlign w:val="bottom"/>
            <w:tcBorders>
              <w:top w:val="single" w:sz="8" w:color="CFF0FC"/>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Proceeds from at the market equity offering, net of issuance costs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13,167</w:t>
            </w:r>
          </w:p>
        </w:tc>
        <w:tc>
          <w:tcPr>
            <w:tcW w:w="2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23,530</w:t>
            </w: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18,159</w:t>
            </w: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501</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877</w:t>
            </w: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Proceeds from Securities Purchase Agreement - related party</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13,516</w:t>
            </w: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61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Issuance of common stock under ESPP</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230</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487</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2,151</w:t>
            </w: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Proceeds from issuance of debt, net of issuance costs</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103,378</w:t>
            </w: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Repayment of notes payable</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(127,905)</w:t>
            </w:r>
          </w:p>
        </w:tc>
        <w:tc>
          <w:tcPr>
            <w:tcW w:w="420" w:type="dxa"/>
            <w:vAlign w:val="bottom"/>
          </w:tcPr>
          <w:p>
            <w:pPr>
              <w:spacing w:after="0"/>
              <w:rPr>
                <w:sz w:val="14"/>
                <w:szCs w:val="14"/>
                <w:color w:val="auto"/>
              </w:rPr>
            </w:pPr>
          </w:p>
        </w:tc>
        <w:tc>
          <w:tcPr>
            <w:tcW w:w="10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(52,860)</w:t>
            </w:r>
          </w:p>
        </w:tc>
      </w:tr>
      <w:tr>
        <w:trPr>
          <w:trHeight w:val="20"/>
        </w:trPr>
        <w:tc>
          <w:tcPr>
            <w:tcW w:w="6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10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4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13,898</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60" w:type="dxa"/>
            <w:vAlign w:val="bottom"/>
            <w:tcBorders>
              <w:right w:val="single" w:sz="8" w:color="CFF0FC"/>
            </w:tcBorders>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(90,372)</w:t>
            </w:r>
          </w:p>
        </w:tc>
        <w:tc>
          <w:tcPr>
            <w:tcW w:w="4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71,705</w:t>
            </w:r>
          </w:p>
        </w:tc>
        <w:tc>
          <w:tcPr>
            <w:tcW w:w="100" w:type="dxa"/>
            <w:vAlign w:val="bottom"/>
            <w:shd w:val="clear" w:color="auto" w:fill="CFF0FC"/>
          </w:tcPr>
          <w:p>
            <w:pPr>
              <w:spacing w:after="0"/>
              <w:rPr>
                <w:sz w:val="13"/>
                <w:szCs w:val="13"/>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61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increase (decrease) in cash, cash equivalents and restricted cash</w:t>
            </w: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14,973</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(96,688)</w:t>
            </w:r>
          </w:p>
        </w:tc>
        <w:tc>
          <w:tcPr>
            <w:tcW w:w="420" w:type="dxa"/>
            <w:vAlign w:val="bottom"/>
          </w:tcPr>
          <w:p>
            <w:pPr>
              <w:spacing w:after="0"/>
              <w:rPr>
                <w:sz w:val="13"/>
                <w:szCs w:val="13"/>
                <w:color w:val="auto"/>
              </w:rPr>
            </w:pPr>
          </w:p>
        </w:tc>
        <w:tc>
          <w:tcPr>
            <w:tcW w:w="10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(35,067)</w:t>
            </w:r>
          </w:p>
        </w:tc>
      </w:tr>
      <w:tr>
        <w:trPr>
          <w:trHeight w:val="162"/>
        </w:trPr>
        <w:tc>
          <w:tcPr>
            <w:tcW w:w="61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4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spacing w:after="0"/>
              <w:rPr>
                <w:sz w:val="14"/>
                <w:szCs w:val="14"/>
                <w:color w:val="auto"/>
              </w:rPr>
            </w:pPr>
          </w:p>
        </w:tc>
        <w:tc>
          <w:tcPr>
            <w:tcW w:w="1160" w:type="dxa"/>
            <w:vAlign w:val="bottom"/>
            <w:tcBorders>
              <w:right w:val="single" w:sz="8" w:color="CFF0FC"/>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4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4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39,461</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136,150</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171,215</w:t>
            </w:r>
          </w:p>
        </w:tc>
        <w:tc>
          <w:tcPr>
            <w:tcW w:w="100" w:type="dxa"/>
            <w:vAlign w:val="bottom"/>
          </w:tcPr>
          <w:p>
            <w:pPr>
              <w:spacing w:after="0"/>
              <w:rPr>
                <w:sz w:val="14"/>
                <w:szCs w:val="14"/>
                <w:color w:val="auto"/>
              </w:rPr>
            </w:pPr>
          </w:p>
        </w:tc>
      </w:tr>
      <w:tr>
        <w:trPr>
          <w:trHeight w:val="195"/>
        </w:trPr>
        <w:tc>
          <w:tcPr>
            <w:tcW w:w="61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4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2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54,434</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26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39,461</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26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136,150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610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Cash paid for interest</w:t>
            </w:r>
          </w:p>
        </w:tc>
        <w:tc>
          <w:tcPr>
            <w:tcW w:w="960" w:type="dxa"/>
            <w:vAlign w:val="bottom"/>
            <w:gridSpan w:val="2"/>
            <w:shd w:val="clear" w:color="auto" w:fill="CFF0FC"/>
          </w:tcPr>
          <w:p>
            <w:pPr>
              <w:jc w:val="right"/>
              <w:ind w:right="3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10,858</w:t>
            </w:r>
          </w:p>
        </w:tc>
        <w:tc>
          <w:tcPr>
            <w:tcW w:w="240" w:type="dxa"/>
            <w:vAlign w:val="bottom"/>
            <w:tcBorders>
              <w:right w:val="single" w:sz="8" w:color="CFF0FC"/>
            </w:tcBorders>
            <w:shd w:val="clear" w:color="auto" w:fill="CFF0FC"/>
          </w:tcPr>
          <w:p>
            <w:pPr>
              <w:spacing w:after="0"/>
              <w:rPr>
                <w:sz w:val="14"/>
                <w:szCs w:val="14"/>
                <w:color w:val="auto"/>
              </w:rPr>
            </w:pPr>
          </w:p>
        </w:tc>
        <w:tc>
          <w:tcPr>
            <w:tcW w:w="42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12,547</w:t>
            </w: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Property and equipment purchases included in accounts payable and accrued expenses</w:t>
            </w:r>
          </w:p>
        </w:tc>
        <w:tc>
          <w:tcPr>
            <w:tcW w:w="960" w:type="dxa"/>
            <w:vAlign w:val="bottom"/>
            <w:gridSpan w:val="2"/>
            <w:shd w:val="clear" w:color="auto" w:fill="CFF0FC"/>
          </w:tcPr>
          <w:p>
            <w:pPr>
              <w:jc w:val="right"/>
              <w:ind w:right="3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Lease liability arising from obtaining right-of-use assets</w:t>
            </w:r>
          </w:p>
        </w:tc>
        <w:tc>
          <w:tcPr>
            <w:tcW w:w="960" w:type="dxa"/>
            <w:vAlign w:val="bottom"/>
            <w:gridSpan w:val="2"/>
          </w:tcPr>
          <w:p>
            <w:pPr>
              <w:jc w:val="right"/>
              <w:ind w:right="3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3,046</w:t>
            </w: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rent reclassified to right-of-use assets</w:t>
            </w:r>
          </w:p>
        </w:tc>
        <w:tc>
          <w:tcPr>
            <w:tcW w:w="960" w:type="dxa"/>
            <w:vAlign w:val="bottom"/>
            <w:gridSpan w:val="2"/>
            <w:shd w:val="clear" w:color="auto" w:fill="CFF0FC"/>
          </w:tcPr>
          <w:p>
            <w:pPr>
              <w:jc w:val="right"/>
              <w:ind w:right="3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4,634</w:t>
            </w:r>
          </w:p>
        </w:tc>
        <w:tc>
          <w:tcPr>
            <w:tcW w:w="100" w:type="dxa"/>
            <w:vAlign w:val="bottom"/>
            <w:shd w:val="clear" w:color="auto" w:fill="CFF0FC"/>
          </w:tcPr>
          <w:p>
            <w:pPr>
              <w:spacing w:after="0"/>
              <w:rPr>
                <w:sz w:val="14"/>
                <w:szCs w:val="14"/>
                <w:color w:val="auto"/>
              </w:rPr>
            </w:pPr>
          </w:p>
        </w:tc>
      </w:tr>
      <w:tr>
        <w:trPr>
          <w:trHeight w:val="162"/>
        </w:trPr>
        <w:tc>
          <w:tcPr>
            <w:tcW w:w="610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Recognition of warrant liabilities</w:t>
            </w:r>
          </w:p>
        </w:tc>
        <w:tc>
          <w:tcPr>
            <w:tcW w:w="960" w:type="dxa"/>
            <w:vAlign w:val="bottom"/>
            <w:gridSpan w:val="2"/>
          </w:tcPr>
          <w:p>
            <w:pPr>
              <w:jc w:val="right"/>
              <w:ind w:right="3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2,100</w:t>
            </w:r>
          </w:p>
        </w:tc>
        <w:tc>
          <w:tcPr>
            <w:tcW w:w="100" w:type="dxa"/>
            <w:vAlign w:val="bottom"/>
          </w:tcPr>
          <w:p>
            <w:pPr>
              <w:spacing w:after="0"/>
              <w:rPr>
                <w:sz w:val="14"/>
                <w:szCs w:val="14"/>
                <w:color w:val="auto"/>
              </w:rPr>
            </w:pPr>
          </w:p>
        </w:tc>
      </w:tr>
      <w:tr>
        <w:trPr>
          <w:trHeight w:val="162"/>
        </w:trPr>
        <w:tc>
          <w:tcPr>
            <w:tcW w:w="610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5"/>
                <w:szCs w:val="15"/>
                <w:color w:val="auto"/>
              </w:rPr>
              <w:t>Warrants issued related to prior credit facility with Oaktree and recorded as debt discount</w:t>
            </w:r>
          </w:p>
        </w:tc>
        <w:tc>
          <w:tcPr>
            <w:tcW w:w="960" w:type="dxa"/>
            <w:vAlign w:val="bottom"/>
            <w:gridSpan w:val="2"/>
            <w:shd w:val="clear" w:color="auto" w:fill="CFF0FC"/>
          </w:tcPr>
          <w:p>
            <w:pPr>
              <w:jc w:val="right"/>
              <w:ind w:right="3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ind w:right="2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2,785</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-2956560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-2956560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-2116455</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-2116455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-1276350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-1276350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-847725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-830580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-847725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-830580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firstLine="8"/>
        <w:spacing w:after="0" w:line="223" w:lineRule="auto"/>
        <w:tabs>
          <w:tab w:leader="none" w:pos="199"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non-cash collaboration profits and losses related to pre-launch activities; subsequent to the approval of VOWST in April 2023, collaboration (profit) loss sharing - related party is included within changes in operating assets and liabilities.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9019"/>
          </w:cols>
          <w:pgMar w:left="1440" w:top="916" w:right="1440"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492125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16" w:right="1440"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62"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clinical-stage company focused on improving patient outcomes in medically vulnerable populations through discovery and development of novel live biotherapeutics. The Company led the successful development and approval of VOWST (previously referred to as SER-109), the first FDA-approved orally administered microbiome therapeutic and a Breakthrough Therapy designated drug, which was sold to Nestlé Health Science (as defined below) in September 2024. The Company's live biotherapeutic product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LBP</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candidates, including SER-155, SER-603, SER-147, and other potential candidates in earlier development, are consortia of bacteria designed to optimize specific, targeted pharmacological properties, and are formulated for oral delivery. The Company is designing LBP candidates to target the prevention and treatment of a broad swath of infections, and to treat inflammatory and immune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I&amp;I</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diseases by modulating host function to increase epithelium integrity and to induce immune homeostasis and tolerance, as well as to prevent the colonization and overgrowth of pathogens in the gastrointestinal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GI</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tract.</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SER-155, the Company's most advanced LBP candidate, is an investigational, oral, live biotherapeutic designed to decolonize GI pathogens, improve GI epithelial barrier integrity, and induce immune homeostasis to prevent bacterial bloodstream infections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BSIs</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including those that can harbor antimicrobial resistance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AMR</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as well as other pathogen-associated negative clinical outcomes in patients undergoing allogeneic hematopoietic stem cell transplantation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allo-HSCT</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In the Company's placebo-controlled Phase 1b study of SER-155 in allo-HSCT, SER-155 was associated with a 77% relative risk reduction in bacterial BSIs and a significant reduction in systemic antibiotic exposure as well as a lower incidence of febrile neutropenia, as compared to placebo through day 100 post HSCT. SER-155 was generally well tolerated, with no observed treatment-related serious adverse events. Following advancement of key startup activities for the SER-155 Phase 2 study in allo-HSCT, including the submission of a final protocol to the FDA in January 2026, study site evaluation and qualification with its CRO, and manufacturing of drug substance, the Company has paused additional investment in that program while continuing to seek funding for the Phase 2 study.</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clinical data from the SER-155 Phase 1b study in allo-HSCT, along with the Company's extensive preclinical and translational clinical data compiled over the past decade support and inform the advancement of the Company's earlier stage programs targeting I&amp;I diseases. The Company is evaluating SER-155 in immune checkpoint-related enterocolitis, or irEC, and the Company is developing SER-603, broadly in inflammatory bowel disease, or IBD, including ulcerative colitis, or UC, and Crohn's disease. The Company is currently exploring potential collaborations related to those I&amp;I disease programs.</w:t>
      </w:r>
    </w:p>
    <w:p>
      <w:pPr>
        <w:spacing w:after="0" w:line="11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built and deploys a reverse translational platform and knowledge base for the discovery and development of live biotherapeutics, and maintains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live biotherapeutics; and a strain library and associated microbiological capabilities that spans broad biological and functional breadth. This platform and knowledge base are integrated through a proprietary knowledge graph and agentic artificial intelligence, enabling rapid identification of specific microbes, microbial genes, and microbial metabolites/peptides associated with disease and the design of therapeutic consortia of bacteria for specific pharmacological properties to restructure the gut microbiome and modulate functional pathways associated with disease. In addition, the Company owns a valuable intellectual property estate related to the development and manufacture of live biotherapeutics.</w:t>
      </w:r>
    </w:p>
    <w:p>
      <w:pPr>
        <w:spacing w:after="0" w:line="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212529"/>
        </w:rPr>
        <w:t xml:space="preserve">At a special meeting of stockholders held on September 26, 2024, the Company’s stockholders approved, and on September 30, 2024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"Closing Date")</w:t>
      </w:r>
      <w:r>
        <w:rPr>
          <w:rFonts w:ascii="Times New Roman" w:cs="Times New Roman" w:eastAsia="Times New Roman" w:hAnsi="Times New Roman"/>
          <w:sz w:val="18"/>
          <w:szCs w:val="18"/>
          <w:color w:val="212529"/>
        </w:rPr>
        <w:t>, the Company completed, the sale (the “Transaction”) of its VOWST microbiome therapeutic business (the “VOWST Business”),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the microbiome product sold under the brand name VOWST as provided for in accordance with the terms of the Purchase Agreement (the “Product”), to Société des Produits Nestlé S.A. (“SPN”), a wholly-owned subsidiary of Nestlé S.A., and its designated affiliates (collectively, “Nestlé Health Science”) pursuant to the Asset Purchase Agreement, dated as of August 5, 2024 (the “Purchase Agreement”), by and among the Company and SPN, and a wholly-owned subsidiary of Nestlé S.A. </w:t>
      </w:r>
      <w:r>
        <w:rPr>
          <w:rFonts w:ascii="Times New Roman" w:cs="Times New Roman" w:eastAsia="Times New Roman" w:hAnsi="Times New Roman"/>
          <w:sz w:val="18"/>
          <w:szCs w:val="18"/>
          <w:color w:val="000000"/>
        </w:rPr>
        <w:t>As consideration for the Transaction, SPN paid or agreed to pay, as applicable,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following Transaction Consideration:</w:t>
      </w:r>
    </w:p>
    <w:p>
      <w:pPr>
        <w:spacing w:after="0" w:line="80" w:lineRule="exact"/>
        <w:rPr>
          <w:sz w:val="20"/>
          <w:szCs w:val="20"/>
          <w:color w:val="auto"/>
        </w:rPr>
      </w:pPr>
    </w:p>
    <w:p>
      <w:pPr>
        <w:jc w:val="both"/>
        <w:ind w:left="102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which was paid upon completion of the Transaction (“Closing”), of $100,000, less approximately $17,857 owed by the Company to an affiliate of SPN as of March 31, 2024 under the prior license agreement between the Company and the SPN affiliate, less approximately CHF 2,000 in satisfaction of fees due under the Bacthera Manufacturing Agreement (defined below);</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installment payments of $50,000, which was received on January 15, 2025 and $25,000, which was received on July 1, 2025 (offset by $1,421 paid by the Company to Nestl</w:t>
      </w:r>
      <w:r>
        <w:rPr>
          <w:rFonts w:ascii="Times New Roman" w:cs="Times New Roman" w:eastAsia="Times New Roman" w:hAnsi="Times New Roman"/>
          <w:sz w:val="18"/>
          <w:szCs w:val="18"/>
          <w:color w:val="212529"/>
        </w:rPr>
        <w:t>é</w:t>
      </w:r>
      <w:r>
        <w:rPr>
          <w:rFonts w:ascii="Times New Roman" w:cs="Times New Roman" w:eastAsia="Times New Roman" w:hAnsi="Times New Roman"/>
          <w:sz w:val="18"/>
          <w:szCs w:val="18"/>
          <w:color w:val="auto"/>
        </w:rPr>
        <w:t xml:space="preserve"> on July 1, 2025 related to certain employment obligations assumed by SPN, as described below), conditioned on the Company’s material compliance with obligations under the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Services Agreement (the “TSA”) (as described below) entered into at Closing between the Company and Nestlé Enterprises S.A., an affiliate of SPN, or NESA;</w:t>
      </w:r>
    </w:p>
    <w:p>
      <w:pPr>
        <w:spacing w:after="0" w:line="54" w:lineRule="exact"/>
        <w:rPr>
          <w:sz w:val="20"/>
          <w:szCs w:val="20"/>
          <w:color w:val="auto"/>
        </w:rPr>
      </w:pPr>
    </w:p>
    <w:p>
      <w:pPr>
        <w:jc w:val="both"/>
        <w:ind w:left="1020" w:hanging="503"/>
        <w:spacing w:after="0" w:line="258"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the $60,000 milestone payment tied to the achievement of worldwide annual net sales of the Product of $150,000 (the “First Sales Milestone”), which was paid in cash at Closing (the “Prepaid Milestone”), which Prepaid Milestone will accrue interest at a fixed rate of 10% per annum until the First Sales Milestone is achieved and 5% per annum thereafter until the earlier of (x) the date on which the Prepaid Milestone, plus accrued interest thereon, has been repaid in full by set-off and (y) the last day of the Milestone Period (as defined below);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milestone payments of (x) $125,000 tied to the achievement of worldwide annual net sales of the Product of $400,000 and (y) $150,000 tied to the achievement of worldwide annual net sales of the Product of $750,000, during the period from Closing until December 31 of the calendar year in which the tenth anniversary of Closing occurs (the “Milestone Period”) (together, the “Future Milestone Payments” and, together with the Prepaid Milestone, the “Milestone Payments”).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they are earned, the Milestone Payments will be satisfied as follows: (i) first, by set-off against all accrued interest on the Prepaid Milestone until the amount of such accrued interest has been paid in full, (ii) second, by set-off against the outstanding balance of the Prepaid Milestone until the Prepaid Milestone has been repaid in full and (iii) thereafter, in cash. If any amount of the Prepaid Milestone (and any accrued interest thereon) remains outstanding as of following the last day of the Milestone Period (defined below), the balance thereof (together with any interest accrued thereon) will be forgiven and the right of set-off of SPN with respect thereto will be deemed forfeited. The installment payment received on July 1, 2025 was offset by $1,421 paid by the Company to Nestl</w:t>
      </w:r>
      <w:r>
        <w:rPr>
          <w:rFonts w:ascii="Times New Roman" w:cs="Times New Roman" w:eastAsia="Times New Roman" w:hAnsi="Times New Roman"/>
          <w:sz w:val="18"/>
          <w:szCs w:val="18"/>
          <w:color w:val="212529"/>
        </w:rPr>
        <w:t>é</w:t>
      </w:r>
      <w:r>
        <w:rPr>
          <w:rFonts w:ascii="Times New Roman" w:cs="Times New Roman" w:eastAsia="Times New Roman" w:hAnsi="Times New Roman"/>
          <w:sz w:val="18"/>
          <w:szCs w:val="18"/>
          <w:color w:val="auto"/>
        </w:rPr>
        <w:t xml:space="preserve"> on the same date related to certain employment obligations assumed by SPN with respect to the period ended as of the Closing Date.</w:t>
      </w:r>
    </w:p>
    <w:p>
      <w:pPr>
        <w:spacing w:after="0" w:line="2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and SPN shared 50/50 in the net profit or net loss (the “Profit Sharing Payments”) achieved during the period from the date of Closing until December 31, 2025 (the “Profit Sharing Period”), with the net profit or net loss calculated as (i) the net sales of VOWST in the United States and Canada, plus (ii) other income received in connection with the grant of a license or sublicense with respect to VOWST in the United States and Canada as described in the Purchase Agreement, minus (iii) allowable expenses directly attributable or reasonably allocable to certain development activities, commercialization activities, medical affairs activities, manufacturing activities or other relevant activities, as described in the Purchase Agreement. During the Profit Sharing Period, the Company reimbursed SPN for (i) certain payments under the exclusive license agreement between the Company and Memorial Sloan Kettering Cancer Center, (ii) certain costs incurred in connection with an ongoing post-marketing safety study of VOWST and (iii) 80.1% of all rent and other costs due to the landlord under the lease for the Company’s Waltham facility.</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Closing, in exchange for a payment to be made by SPN to Bacthera AG, the Long Term Manufacturing Agreement, dated November 8, 2021 between the Company and Bacthera AG (the “Bacthera Manufacturing Agreement”) was terminated and each of Bacthera and Seres released one another from any and all losses, liabilities or other obligations arising thereunder with respect to the period ending at the Closing Date, including without limitation any milestone payments required to be paid to Bacthera thereunder.</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the Closing Date, the Company and SPN entered into a securities purchase agreement (the “Securities Purchase Agreement”) pursuant to which SPN purchased 714,285 shares (the “Shares”) of common stock at Closing, at a purchase price per share of $21.00, for an aggregate purchase price of $15,000. Under the terms of the Securities Purchase Agreement, SPN agreed not to sell or transfer the Shares for a period of six months after Closing, subject to certain customary exceptions. The Company agreed to register the resale of the Shares by SPN within 90 days of Closing. On October 1, 2024, the Company filed a registration statement to register the Shares, which became effective on October 11, 2024. In addition, under the terms of the Securities Purchase Agreement, for as long as SPN, together with its affiliates, beneficially owns at least 10% of the Company’s outstanding shares of common stock, the Company has agreed to take such action within its control to include one individual designated by SPN in the slate of nominees recommended by the Company’s board of directors (or the applicable committee of the board of directors) to the Company’s stockholders for election to the board of directors at the applicable stockholder meeting. SPN designated Hans-Juergen Woerle, M.D., Ph.D. and on February 4, 2025, the Company’s board of directors appointed Dr. Woerle to the board as a Class III director, with a term expiring at the Company’s 2027 annual meeting of stockholders. The Securities Purchase Agreement contains customary representations and warranties and closing conditions.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the Closing Date, the Company entered into a TSA with NESA, which provides for services to be performed by the Company in order to facilitate a transition of the business associated with the VOWST Business to NESA and its affiliates. The scope of the transition services includes the provision of certain manufacturing services and certain administrative functions related to the VOWST Business and operations, including the maintenance of certain manufacturing services and the related facility in which such services are currently conducted. The Company provided the manufacturing services until December 31, 2025 and other services for the duration specified in the schedule to the TSA for each service. NESA paid the Company for certain fixed costs, including a monthly fixed fee and a variable per batch fee for preserved raw material suspension ("PRMS") manufacturing, and reimbursed the Company for certain costs of the transition services performed by the Company under the TSA, including labor. The know-how and other intellectual property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generated in connection with the performance of the TSA will be owned by NESA with the Company having a non-exclusive license to such know-how and other intellectual property under the Cross-License Agreement. During the term of the TSA, the Company transferred the specifications for materials and documentation necessary to enable PRMS manufacturing services to a third party service provider designated by NESA. In the event of a material failure by the Company to deliver PRMS under the TSA, NESA had step-in rights to negotiate to enter into a direct lease with the landlord of the manufacturing facility with respect to the portion of such facility used in connection with the VOWST Business or to cause such services to be performed, with any reasonable out-of-pocket costs and expenses incurred in connection therewith reimbursed by the Company.</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At the Closing Date, the Company entered into a cross-license agreement with SPN under which the Company granted to SPN a perpetual, worldwide, non-exclusive, fully paid-up license under certain Company patents that have been issued or will issue in the future and current know-how controlled by the Company that is not transferred to SPN pursuant to the Purchase Agreement. In the field of the treatment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infections ("CDI") and recurrent CDI and associated complications (collectively, the “CDI Field”) the license to SPN under such Company patents and know-how will be exclusive to SPN for five years after Closing and co-exclusive between SPN and the Company following that five year period. The license from the Company to SPN is to issued Company patents that currently or in the future cover the Product or improvements thereof, and know-how that is used or reasonably useful in connection with the exploitation of the VOWST Business. The Company also granted SPN an exclusive, perpetual, worldwide, fully paid-up license under issued Company patents that currently or in the future cover the Product and improvements thereof and know-how that is used or reasonably useful in connection with the exploitation of the Product to exploit SER-262 in the CDI Field. SPN granted to the Company a perpetual, worldwide, non-exclusive license under the patents and know-how that are transferred to SPN pursuant to the Purchase Agreement or developed under the TSA, for the Company’s products for use outside of the CDI Field, and after five years from Closing for Company products containing designed, cultivated, bacterial consortia not manufactured using human stool (excluding SER-262) in the CDI Field. From and after Closing, certain license agreements between the Company, SPN, and/or their respective affiliates terminated and are of no further force or effect, except as contemplated by the Purchase Agreement. For example, on September 30, 2024, in connection with the Transaction, the 2016 License Agreement (the “2016 License Agreement”) with Nestec, Ltd., as succeeded by SPN (together with NHSc Rx License GmbH, their affiliates, and their subsidiaries “Nestlé”), and the 2021 License Agreement (the “2021 License Agreement”) with NHSc Pharma Partners, succeeded by NHSc Rx License GmbH (together with Société des Produits Nestlé S.A, their affiliates, and their subsidiaries “Nestlé”) were terminated upon mutual agreement of the parties, with provisions related to record retention, confidentiality obligations, indemnification obligations, intellectual property ownership, and any outstanding payment obligations surviving the termination of each of the 2016 License Agreement and 2021 License Agreement, respectively.</w:t>
      </w:r>
    </w:p>
    <w:p>
      <w:pPr>
        <w:spacing w:after="0" w:line="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the Closing Date, the parties entered into assignment and assumption of lease agreements (the “Assignment and Assumption Agreements”). Under the Assignment and Assumption Agreements, the Company assigned to SPN the Company’s rights in, to and under certain real property leases, and SPN assumed the liabilities related thereto.</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the Closing Date, the parties entered into an employee support agreement (the “Employee Support Agreement”). Under the Employee Support Agreement, among other things and subject to the terms and conditions therein, certain employees of the Company related to the VOWST Business who accepted employment with SPN or one of its designated affiliates provided the services they provided to the Company prior to the Transaction to SPN, as well as other services as SPN may reasonably request, from Closing until the day prior to the beginning of SPN’s or its designated affiliate’s next pay period following the Closing. SPN reimbursed the Company’s out of pocket costs in connection with such employees’ services, including certain compensation and benefits paid or provided to such employees pursuant to the terms of the Employee Support Agreement. All such employees were transferred to SPN as of December 31, 2024.</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the Company fully retired its senior secured debt facility with Oaktree Capital Management. The Company intends to use the remaining proceeds to support the further advancement of SER-155 and the Company’s other wholly-owned cultivated live biotherapeutic candidates for medically vulnerable patient populations with potential to address large commercial opportunities.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incurred certain significant costs relating to the Transaction, such as legal, accounting, financial advisory, printing and other professional services fees, as well as other customary payments. For the year ended December 31, 2024, these costs amounted to approximately $9,016, which is included within the net income (loss) from discontinued operations, net of tax line item on the Company's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The Company operates in an environment of rapid change in technology and substantial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 from pharmaceutical and biotechnology companies. In addition, the Company is dependent upon the services of its employees and consultants.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which assumes that the Company will continue as a going concern and which contemplates the realization of assets and satisfaction of liabilities and commitments in the normal course of business. As of December 31, 2025, the Company had an accumulated deficit of $972,403 and cash and cash equivalents of $45,766.</w:t>
      </w:r>
    </w:p>
    <w:p>
      <w:pPr>
        <w:spacing w:after="0" w:line="6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development, and will require significant additional research and development efforts, including extensive preclinical and clinical testing and regulatory approval, prior to potential commercialization. There can be no assurance that the Company’s research and development will be successfully completed, that adequate protection for the Company’s intellectual property will be obtained, or maintained, that any product candidate developed will obtain necessary government regulatory approval, or that any approved product will be commercially viable. Even if the Company’s product development efforts are successful, it is uncertain when, if ever, the Company will generate significant revenue from product sales.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Primarily as a result of the costs associated with continuing the research and development efforts for SER-155 and the Company’s live biotherapeutics platform, </w:t>
      </w:r>
      <w:r>
        <w:rPr>
          <w:rFonts w:ascii="Times New Roman" w:cs="Times New Roman" w:eastAsia="Times New Roman" w:hAnsi="Times New Roman"/>
          <w:sz w:val="18"/>
          <w:szCs w:val="18"/>
          <w:color w:val="222222"/>
        </w:rPr>
        <w:t>the Company incurred a loss from operations of $93,971 and had operating cash outflows of $73,883, excluding the $75,000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installment payments received from Nestl</w:t>
      </w:r>
      <w:r>
        <w:rPr>
          <w:rFonts w:ascii="Times New Roman" w:cs="Times New Roman" w:eastAsia="Times New Roman" w:hAnsi="Times New Roman"/>
          <w:sz w:val="18"/>
          <w:szCs w:val="18"/>
          <w:color w:val="000000"/>
        </w:rPr>
        <w:t>é</w:t>
      </w:r>
      <w:r>
        <w:rPr>
          <w:rFonts w:ascii="Times New Roman" w:cs="Times New Roman" w:eastAsia="Times New Roman" w:hAnsi="Times New Roman"/>
          <w:sz w:val="18"/>
          <w:szCs w:val="18"/>
          <w:color w:val="222222"/>
        </w:rPr>
        <w:t>, for the year ended December 31, 2025. The Company expects that its operating losses and negative cash flows will continue for the foreseeable future. Based on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s currently available cash resources, current and forecasted level of operations, and forecasted cash flows for the 12-month period subsequent to the date of issuance of these consolidated financial statements, the Company will req</w:t>
      </w:r>
      <w:r>
        <w:rPr>
          <w:rFonts w:ascii="Times New Roman" w:cs="Times New Roman" w:eastAsia="Times New Roman" w:hAnsi="Times New Roman"/>
          <w:sz w:val="18"/>
          <w:szCs w:val="18"/>
          <w:color w:val="000000"/>
        </w:rPr>
        <w:t>uire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additional funding to support its ongoing operations and meet its obligations as they come due. These conditions raise substantial doubt about the Company’s ability to continue as a going concern.</w:t>
      </w:r>
    </w:p>
    <w:p>
      <w:pPr>
        <w:spacing w:after="0" w:line="8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Company’s ability to continue as a going concern is dependent upon its ability to obtain the necessary financing to meet its obligations and repay its liabilities arising from normal business operations when they come due, and to generate profitable operations in the future. Management plans to provide for the Company’s capital requirements through financing or other strategic transactions, including potential business development transactions, and selling shares under the Company's at the market equity offering. There can be no assurance that the Company will be able to raise additional capital to fund operations with terms acceptable to the Company, or at all. Because certain elements of management’s plans to mitigate the conditions that raised substantial doubt about the Company’s ability to continue as a going concern are outside of the Company’s control, including the ability to raise capital through an equity or other financing, those elements cannot be considered probable according to Accounting Standards Codification (“ASC”) 205-40, </w:t>
      </w:r>
      <w:r>
        <w:rPr>
          <w:rFonts w:ascii="Times New Roman" w:cs="Times New Roman" w:eastAsia="Times New Roman" w:hAnsi="Times New Roman"/>
          <w:sz w:val="18"/>
          <w:szCs w:val="18"/>
          <w:i w:val="1"/>
          <w:iCs w:val="1"/>
          <w:color w:val="auto"/>
        </w:rPr>
        <w:t xml:space="preserve">Going Concern </w:t>
      </w:r>
      <w:r>
        <w:rPr>
          <w:rFonts w:ascii="Times New Roman" w:cs="Times New Roman" w:eastAsia="Times New Roman" w:hAnsi="Times New Roman"/>
          <w:sz w:val="18"/>
          <w:szCs w:val="18"/>
          <w:color w:val="auto"/>
        </w:rPr>
        <w:t>("ASC 205-40"), and therefore cannot be considered in the evaluation of mitigating factors. As a result, management has concluded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exists about the Company’s ability to continue as a going concern for 12 months from the date these consolidated financial statements are issued. The accompanying consolidated financial statements do not include any adjustments that may result from the outcome of this uncertainty.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amounts in prior periods have been reclassified to reflect the impact of the discontinued operations treatment of the VOWST Business.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April 21, 2025, the Company effected a 1-for-20 reverse stock split of the Company’s common stock. All share and per share amounts in the financial statements and notes thereto have been retroactively adjusted for all periods presented to give effect to this reverse stock split. The reverse stock split had no impact on the number of authorized shares or the par value of preferred and common stock. Therefore, the Company reclassified an amount equal to the reduction in the number of shares of common stock at par value to additional paid-in capital. No fractional shares were issued in connection with the reverse split, and stockholders who would otherwise be entitled to receive a fractional share instead received a cash payment equal to the fraction of a share of common stock in lieu of such fractional share. Proportionate adjustments were made to the number of shares authorized under the Company’s equity incentive plans, the number of shares subject to any award or purchase right under the Company’s equity incentive plans, and the exercise price or purchase price with respect to any stock option award or purchase right under the Company’s equity incentive plans. See Note 7, </w:t>
      </w:r>
      <w:r>
        <w:rPr>
          <w:rFonts w:ascii="Times New Roman" w:cs="Times New Roman" w:eastAsia="Times New Roman" w:hAnsi="Times New Roman"/>
          <w:sz w:val="18"/>
          <w:szCs w:val="18"/>
          <w:i w:val="1"/>
          <w:iCs w:val="1"/>
          <w:color w:val="auto"/>
        </w:rPr>
        <w:t>Stock and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for further information.</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ind w:right="7340" w:firstLine="8"/>
        <w:spacing w:after="0" w:line="376" w:lineRule="auto"/>
        <w:tabs>
          <w:tab w:leader="none" w:pos="509"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Discontinued Operations</w:t>
      </w:r>
    </w:p>
    <w:p>
      <w:pPr>
        <w:spacing w:after="0" w:line="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accounted for the sale of its VOWST Business in accordance with ASC 205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and ASU No. 2014-08, </w:t>
      </w:r>
      <w:r>
        <w:rPr>
          <w:rFonts w:ascii="Times New Roman" w:cs="Times New Roman" w:eastAsia="Times New Roman" w:hAnsi="Times New Roman"/>
          <w:sz w:val="18"/>
          <w:szCs w:val="18"/>
          <w:i w:val="1"/>
          <w:iCs w:val="1"/>
          <w:color w:val="auto"/>
        </w:rPr>
        <w:t>Reporting of Discontinued Operations and Disclosures of Disposals of Components of an Entity</w:t>
      </w:r>
      <w:r>
        <w:rPr>
          <w:rFonts w:ascii="Times New Roman" w:cs="Times New Roman" w:eastAsia="Times New Roman" w:hAnsi="Times New Roman"/>
          <w:sz w:val="18"/>
          <w:szCs w:val="18"/>
          <w:color w:val="auto"/>
        </w:rPr>
        <w:t>. The Company followed the held-for-sale criteria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ASC 205. ASC 205 requires that a component of an entity that has been disposed of or is classified as held for sale and has operations and cash flows that can be clearly distinguished from the rest of the entity be reported as assets held for sale and discontinued operations. In the period a component of an entity has been disposed of, the results of operations for the periods presented are reclassified into separate line items in the consolidated statements of operations. In the period a discontinued operation is classified for sale, the assets and liabilities of the discontinued operation are also reclassified into separate line items on the related consolidated balance sheets for the periods presented.</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Due to the sale of the VOWST Business during the third quarter of 2024 (see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 xml:space="preserve">), in accordance with ASC 205,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the Company has classified the results of the VOWST Business as discontinued operations in its consolidated statements of operations and cash flows for all periods presented. All amounts included in the notes to the consolidated financial statements relate to continuing operations unless otherwise noted.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In these consolidated financial statements, the Company uses estimates and assumptions related to the accrual of research and development expenses. Estimates are periodically reviewed in light of changes in circumstances, facts and experience. Actual results could differ from the Company’s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held restricted cash of $8,668 as of December 31, 2025 and 2024, which represents cash held for the benefit of the landlord for certain of the Company’s leases. The Company has classified the restricted cash as long-term on its consolidated balance sheets as the underlying leases are greater than 1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and restricted cash were comprised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100" w:type="dxa"/>
            <w:vAlign w:val="bottom"/>
            <w:vMerge w:val="restart"/>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58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4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45,766</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30,793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54,434</w:t>
            </w: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39,461</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balances at financial institutions in amounts that exceed federally insured limits. The Company does not believe that it is subject to unusual credit risk beyond the normal credit risk associated with commercial banking relationships.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useful life of the asset, which are as follows:</w:t>
      </w:r>
    </w:p>
    <w:p>
      <w:pPr>
        <w:spacing w:after="0" w:line="14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w:t>
            </w:r>
          </w:p>
        </w:tc>
      </w:tr>
      <w:tr>
        <w:trPr>
          <w:trHeight w:val="173"/>
        </w:trPr>
        <w:tc>
          <w:tcPr>
            <w:tcW w:w="654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furniture and office equipment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198"/>
        </w:trPr>
        <w:tc>
          <w:tcPr>
            <w:tcW w:w="6540" w:type="dxa"/>
            <w:vAlign w:val="bottom"/>
            <w:shd w:val="clear" w:color="auto" w:fill="CFF0FC"/>
          </w:tcPr>
          <w:p>
            <w:pPr>
              <w:spacing w:after="0"/>
              <w:rPr>
                <w:sz w:val="17"/>
                <w:szCs w:val="17"/>
                <w:color w:val="auto"/>
              </w:rPr>
            </w:pPr>
          </w:p>
        </w:tc>
        <w:tc>
          <w:tcPr>
            <w:tcW w:w="18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Lesser of useful life</w:t>
            </w:r>
          </w:p>
        </w:tc>
      </w:tr>
      <w:tr>
        <w:trPr>
          <w:trHeight w:val="234"/>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or lease term</w:t>
            </w: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Long-lived assets consist of property and equipment and right-of-use assets associated with our lease agreements. All of the Company's long-lived assets are to be held and used and have definitive lives and accordingly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or asset group to its carrying value. An impairment loss would be recognized when estimated undiscounted future cash flows expected to result from the use of an asset or asset group are less than its carrying amount. The impairment loss would be based on the excess of the carrying value of the impaired asset over its fair value, determined based on discounted cash flows. For the years ended December 31, 2025, 2024 and 2023, the Company recorded an impairment loss on long-lived assets of $0, $3,267 and $0,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and beginning in the fourth quarter of 2024 certain costs of fulfilling the Company's obligations under the TSA which are reimbursable by Nestlé.</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Contract Costs and Accruals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based on reporting provided by third parties, typically contract research organizations. When evaluating the adequacy of the accrued liabilities, the Company analyzes progress of the studies, including the phase or completion of events, invoices received and contracted costs. Significant judgments and estimates are made in determining the accrued and prepaid balances at the end of any reporting period. Actual results could differ from the Company’s estimates. The Company’s historical accrual estimates have not been materially different from the actual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income (loss)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of stock-based awards as they occur rather than applying an estimated forfeiture rate to stock-based compensation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each stock option grant is estimated on the date of grant using the Black- Scholes option-pricing model. The Company estimates its expected common stock volatility based on its historical common stock volatility for the same time period. The Company uses the simplified method prescribed by Securities and Exchange Commission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of options granted to employees, non-employees and directors.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government contracts that reimburse the Company for certain allowable costs for funded projects. For contracts with government agencies, when the Company has concluded that it is the principal in conducting the research and development expenses, and where the funding arrangement is considered central to the Company’s ongoing operations, the Company classifies the recognized funding received as revenue.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concluded to recognize funding received as revenue, rather than as a reduction of research and development expenses, because the Company is the principal in conducting the research and development activities and these contracts are central to its ongoing operations. Revenue is recognized as the qualifying expenses related to the contracts are incurred. Revenue recognized upon incurring qualifying expenses in advance of receipt of funding is recorded in the Company’s consolidated balance sheet as accounts receivable. The related costs incurred by the Company are included in research and development expense in the Company’s consolidated statements of operations and comprehensive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purposes of assessing performance and making operating decisions, and thus reports as a single reportable segment. The Company’s singular focus is on developing live biotherapeutics for medically vulnerable patient populations to prevent bacterial bloodstream and antimicrobial resistant (AMR) infections as well as to treat GI-related immune diseases. Revenue to date has been generated solely through the Company's agreements with its collaborators, all of which has been earned in the United States. All tangible assets are held in the United States.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Comprehensive income (loss) includes net income (loss) as well as other changes in stockholders’ equity (deficit) that result from transactions and economic events other than those with stockholders. For the year ended December 31, 2023, other comprehensive income consisted of changes in unrealized gains from available-for-sale investments and a currency translation adjustment.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Basic net income (loss) per share is computed using the weighted average number of common shares outstanding during the period. Diluted net income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The two-class method is an earnings allocation formula that treats a participating security as having rights to earnings that otherwise would have been available to common stockholders. However, the two-class method does not impact the net loss per share of common stock for periods in which the Company is in a net loss position.</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restricted stock awards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or contains a lease at inception.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sheets for all leases with an initial lease term of greater than 12 months. Leases with an initial term of 12 months or less are not recorded on the balance sheets, but payments are recognized as expense on a straight-line basis over the lease term. The Company has elected not to record a right-of-use asset or lease liability for leases with terms of 12 months or less.</w:t>
      </w:r>
    </w:p>
    <w:p>
      <w:pPr>
        <w:spacing w:after="0" w:line="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the Company utilizes an estimate of its incremental borrowing rate based upon the available information at the lease commencement date. Operating lease assets are further adjusted for prepaid or accrued lease payments. Operating lease payments are expensed using the straight-line method as an operating expense over the lease term. The Company’s lease terms may include options to extend or terminate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Right-of-use assets and lease liabilities are reassessed and remeasured when amendments to the terms of the lease agreement require reassessment and remeasurement of the lease payments and other inputs to the calculation of right-of-use assets and lease liabilities. The Company accounts for remeasurements and modifications to lease liabilities using the present value of remaining lease payments and estimated incremental borrowing rate at the date of remeasurement. The adjustment to the lease liability is recognized as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gain or loss in operating expenses, or as an adjustment to the right-of-use asset, as appropriate, based on the terms and conditions within the lease that are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specific categories in the effective tax rate reconciliation, as well as expanded disclosures on income taxes paid by jurisdictions. ASU 2023-09 is effective for fiscal years beginning after December 15, 2024, with early adoption permitted. </w:t>
      </w:r>
      <w:r>
        <w:rPr>
          <w:rFonts w:ascii="Times New Roman" w:cs="Times New Roman" w:eastAsia="Times New Roman" w:hAnsi="Times New Roman"/>
          <w:sz w:val="18"/>
          <w:szCs w:val="18"/>
          <w:color w:val="212529"/>
        </w:rPr>
        <w:t>The Company adopted this standard and applied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disclosure requirements on a prospective basis effective for the annual reporting period ended December 31, 2025. There was no impact on the Company’s consolidated financial statements and additional required disclosures have been included in Note 11, </w:t>
      </w:r>
      <w:r>
        <w:rPr>
          <w:rFonts w:ascii="Times New Roman" w:cs="Times New Roman" w:eastAsia="Times New Roman" w:hAnsi="Times New Roman"/>
          <w:sz w:val="18"/>
          <w:szCs w:val="18"/>
          <w:i w:val="1"/>
          <w:iCs w:val="1"/>
          <w:color w:val="212529"/>
        </w:rPr>
        <w:t>Income Taxes</w:t>
      </w:r>
      <w:r>
        <w:rPr>
          <w:rFonts w:ascii="Times New Roman" w:cs="Times New Roman" w:eastAsia="Times New Roman" w:hAnsi="Times New Roman"/>
          <w:sz w:val="18"/>
          <w:szCs w:val="18"/>
          <w:color w:val="212529"/>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(Topic 220)</w:t>
      </w:r>
      <w:r>
        <w:rPr>
          <w:rFonts w:ascii="Times New Roman" w:cs="Times New Roman" w:eastAsia="Times New Roman" w:hAnsi="Times New Roman"/>
          <w:sz w:val="18"/>
          <w:szCs w:val="18"/>
          <w:color w:val="auto"/>
        </w:rPr>
        <w:t>, which requires disclosure in the notes to financial statements about specific types of expenses included in the expense captions presented on the face of the statement of operations. The requirements of the ASU are effective for annual periods beginning after December 15, 2026, and for interim periods beginning after December 15, 2027, with early adoption permitted. The requirements will be applied prospectively with the option for retrospective application. The Company is currently evaluating the impact related to the adoption of ASU 2024-03 on its financial statement disclosures.</w:t>
      </w:r>
    </w:p>
    <w:p>
      <w:pPr>
        <w:spacing w:after="0" w:line="7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which standardizes the accounting for government grants and distinguishes between a grant related to an asset and a grant related to income.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the ASU are effective for annual periods beginning after December 15, 2028, and for interim periods within those annual periods, with early adoption permitted. The requirements can be applied using a modified prospective or a modified retrospective approach. The Company does not expect the impact of ASU 2025-10 to be material to its financial statement disclosures as it is consistent with the Company's current accounting policy for government grants.</w:t>
      </w:r>
    </w:p>
    <w:p>
      <w:pPr>
        <w:spacing w:after="0" w:line="288"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 and TSA</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On September 30, 2024, the Company completed the sale of its VOWST Business to SPN. The Company has determined the sale of the VOWST Business represents a strategic shift that will have a major effect on its business and therefore met the criteria for classification as discontinued operations on September 30, 2024. Accordingly, the VOWST Business is reported as discontinued operations in accordance with ASC 205-20, </w:t>
      </w:r>
      <w:r>
        <w:rPr>
          <w:rFonts w:ascii="Times New Roman" w:cs="Times New Roman" w:eastAsia="Times New Roman" w:hAnsi="Times New Roman"/>
          <w:sz w:val="18"/>
          <w:szCs w:val="18"/>
          <w:i w:val="1"/>
          <w:iCs w:val="1"/>
          <w:color w:val="auto"/>
        </w:rPr>
        <w:t>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The related assets and liabilities of the VOWST Business are classified as assets and liabilities of discontinued operations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sheets and the results of operations from the VOWST Business as discontinued operations in the consolidated statements of operations. Applicable amounts in prior years have been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recast to conform to this discontinued operations presentation. The Company recognized a gain on the sale of the VOWST Business upon closing.</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and 2024, there were no assets or liabilities of discontinued operations.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gain on the sale of the VOWST Business as of December 31, 2024, pursuant to the Purchase Agreement: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 received</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Upfront payment (1)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79,788</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milestone</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 from termination of 2016 License Agreement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95,364</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Settlement of net collaboration payable at close</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Premium on equity financing</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income from termination of 2021 License Agreement</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 due to SPN - related party</w:t>
            </w:r>
          </w:p>
        </w:tc>
        <w:tc>
          <w:tcPr>
            <w:tcW w:w="3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(33,458)</w:t>
            </w:r>
          </w:p>
        </w:tc>
      </w:tr>
      <w:tr>
        <w:trPr>
          <w:trHeight w:val="209"/>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fair value transferred for business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234,249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transferred</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63,442</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39,328</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(31,547)</w:t>
            </w: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(14,413)</w:t>
            </w: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Net assets transferred</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80,924</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Transaction costs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20" w:type="dxa"/>
            <w:vAlign w:val="bottom"/>
            <w:shd w:val="clear" w:color="auto" w:fill="CFF0FC"/>
          </w:tcPr>
          <w:p>
            <w:pPr>
              <w:spacing w:after="0"/>
              <w:rPr>
                <w:sz w:val="18"/>
                <w:szCs w:val="18"/>
                <w:color w:val="auto"/>
              </w:rPr>
            </w:pPr>
          </w:p>
        </w:tc>
      </w:tr>
      <w:tr>
        <w:trPr>
          <w:trHeight w:val="432"/>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sale, pre-tax</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146,707</w:t>
            </w:r>
          </w:p>
        </w:tc>
        <w:tc>
          <w:tcPr>
            <w:tcW w:w="120" w:type="dxa"/>
            <w:vAlign w:val="bottom"/>
          </w:tcPr>
          <w:p>
            <w:pPr>
              <w:spacing w:after="0"/>
              <w:rPr>
                <w:sz w:val="24"/>
                <w:szCs w:val="24"/>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w:t>
            </w:r>
          </w:p>
        </w:tc>
        <w:tc>
          <w:tcPr>
            <w:tcW w:w="3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2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Gain on sale, net of tax</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146,707</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firstLine="8"/>
        <w:spacing w:after="0" w:line="242" w:lineRule="auto"/>
        <w:tabs>
          <w:tab w:leader="none" w:pos="184"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upfront payment consists of $100,000, less $17,857 owed by the Company to an affiliate of SPN under the prior license agreement between the Company and the SPN affiliate, less approximately $2,355 in satisfaction of costs due under the Bacthera Manufacturing Agreement.</w:t>
      </w:r>
    </w:p>
    <w:p>
      <w:pPr>
        <w:spacing w:after="0" w:line="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gain from sale of the VOWST Business, net of tax of $146,707 was included in the net income (loss) from discontinued operations, net of tax line item of the Company’s consolidated statements of operations and comprehensive income (loss). While the Company has net income from discontinued operations for the year ended December 31, 2024, the Company realized a tax loss for the full year ended December 31, 2024, for which it is more likely than not that the Company will not realize a benefit. The Company has recorded a full valuation allowance against its net deferred tax assets as of December 31, 2025, 2024 and 2023.</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financial results of the discontinued operations: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3"/>
                <w:szCs w:val="13"/>
                <w:color w:val="auto"/>
              </w:rPr>
            </w:pPr>
          </w:p>
        </w:tc>
        <w:tc>
          <w:tcPr>
            <w:tcW w:w="1360" w:type="dxa"/>
            <w:vAlign w:val="bottom"/>
            <w:vMerge w:val="restart"/>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1280" w:type="dxa"/>
            <w:vAlign w:val="bottom"/>
          </w:tcPr>
          <w:p>
            <w:pPr>
              <w:jc w:val="right"/>
              <w:ind w:right="111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shd w:val="clear" w:color="auto" w:fill="CFF0FC"/>
          </w:tcPr>
          <w:p>
            <w:pPr>
              <w:spacing w:after="0"/>
              <w:rPr>
                <w:sz w:val="18"/>
                <w:szCs w:val="18"/>
                <w:color w:val="auto"/>
              </w:rPr>
            </w:pP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(profit) loss sharing - related party</w:t>
            </w:r>
          </w:p>
        </w:tc>
        <w:tc>
          <w:tcPr>
            <w:tcW w:w="1280" w:type="dxa"/>
            <w:vAlign w:val="bottom"/>
            <w:shd w:val="clear" w:color="auto" w:fill="CFF0FC"/>
          </w:tcPr>
          <w:p>
            <w:pPr>
              <w:spacing w:after="0"/>
              <w:rPr>
                <w:sz w:val="18"/>
                <w:szCs w:val="18"/>
                <w:color w:val="auto"/>
              </w:rPr>
            </w:pP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(1,496)</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1280" w:type="dxa"/>
            <w:vAlign w:val="bottom"/>
            <w:shd w:val="clear" w:color="auto" w:fill="CFF0FC"/>
          </w:tcPr>
          <w:p>
            <w:pPr>
              <w:spacing w:after="0"/>
              <w:rPr>
                <w:sz w:val="18"/>
                <w:szCs w:val="18"/>
                <w:color w:val="auto"/>
              </w:rPr>
            </w:pP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(8,379)</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1280" w:type="dxa"/>
            <w:vAlign w:val="bottom"/>
            <w:shd w:val="clear" w:color="auto" w:fill="CFF0FC"/>
          </w:tcPr>
          <w:p>
            <w:pPr>
              <w:spacing w:after="0"/>
              <w:rPr>
                <w:sz w:val="18"/>
                <w:szCs w:val="18"/>
                <w:color w:val="auto"/>
              </w:rPr>
            </w:pP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146,707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(12,192)</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(10,708)</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80" w:type="dxa"/>
            <w:vAlign w:val="bottom"/>
            <w:shd w:val="clear" w:color="auto" w:fill="CFF0FC"/>
          </w:tcPr>
          <w:p>
            <w:pPr>
              <w:spacing w:after="0"/>
              <w:rPr>
                <w:sz w:val="18"/>
                <w:szCs w:val="18"/>
                <w:color w:val="auto"/>
              </w:rPr>
            </w:pP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(229)</w:t>
            </w: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(loss) from discontinued operations, pre-tax</w:t>
            </w:r>
          </w:p>
        </w:tc>
        <w:tc>
          <w:tcPr>
            <w:tcW w:w="1280" w:type="dxa"/>
            <w:vAlign w:val="bottom"/>
            <w:tcBorders>
              <w:top w:val="single" w:sz="8" w:color="auto"/>
              <w:bottom w:val="single" w:sz="8" w:color="auto"/>
            </w:tcBorders>
          </w:tcPr>
          <w:p>
            <w:pPr>
              <w:jc w:val="right"/>
              <w:ind w:right="111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w:t>
            </w:r>
          </w:p>
        </w:tc>
        <w:tc>
          <w:tcPr>
            <w:tcW w:w="1280" w:type="dxa"/>
            <w:vAlign w:val="bottom"/>
            <w:shd w:val="clear" w:color="auto" w:fill="CFF0FC"/>
          </w:tcPr>
          <w:p>
            <w:pPr>
              <w:spacing w:after="0"/>
              <w:rPr>
                <w:sz w:val="18"/>
                <w:szCs w:val="18"/>
                <w:color w:val="auto"/>
              </w:rPr>
            </w:pPr>
          </w:p>
        </w:tc>
        <w:tc>
          <w:tcPr>
            <w:tcW w:w="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1280" w:type="dxa"/>
            <w:vAlign w:val="bottom"/>
          </w:tcPr>
          <w:p>
            <w:pPr>
              <w:jc w:val="right"/>
              <w:ind w:right="1119"/>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-1996440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-1996440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-1996440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-1302385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-1302385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-1010920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-1010920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-453390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-453390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accordance with ASC 205-20, only expenses specifically identifiable and related to a business to be disposed may be presented in discontinued operations. As such, the research and development and general and administrative expenses in discontinued operations include corporate costs incurred directly to solely support the VOWST Business.</w:t>
      </w:r>
    </w:p>
    <w:p>
      <w:pPr>
        <w:spacing w:after="0" w:line="6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Company also entered into a Transition Services Agreement (“TSA”) with NESA, an affiliate of SPN, in connection with the Transaction, through which the Company provided certain manufacturing services until December 31, 2025, and other transition services, for the duration specified in the schedule to the TSA for each service. For the years ended December 31, 2025 and 2024, the Company recognized $13,311 and $6,292 of TSA reimbursement income in other income in the Company’s consolidated statements of operations and comprehensive income. For the years ended December 31, 2025 and 2024, the Company incurred $6,544 and $3,532 of expenses related to manufacturing services and $3,592 and $3,136 of TSA labor and passthrough expenses to support the transition services, including finance and accounting, information technology, human resources, operations, and other services.</w:t>
      </w:r>
    </w:p>
    <w:p>
      <w:pPr>
        <w:spacing w:after="0" w:line="8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2025 and 2024, $14,897 and $3,724 was billed to NESA related to transition services performed by the Company, and the Company received $91,605 and $1,656 from NESA during the periods including the first installment payment of $50,000 received in January 2025 and the second installment payment of $25,000 received in July 2025 which were conditioned on the Company’s material compliance with obligations under the TSA. The $75,000 of installment payments were recognized in Gain on sale of VOWST Business within continuing operations in the Company’s consolidated statements of operations and comprehensive income for the year ended December 31, 2025 as the gain was realizable. As of December 31, 2025 and 2024, the Company had $360 and $2,068 in accounts receivable due from SPN - related party in the Company’s consolidated balance sheets.</w:t>
      </w:r>
    </w:p>
    <w:p>
      <w:pPr>
        <w:spacing w:after="0" w:line="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estimated costs associated with certain accrued liabilities due to SPN - related party as a loss contingency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These contingent liabilities are presented as Accrued Liabilities due to SPN - related party from continuing operations on the consolidated balance sheets as of December 31, 2025 and December 31, 2024 and consist of the following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200" w:type="dxa"/>
            <w:vAlign w:val="bottom"/>
          </w:tcPr>
          <w:p>
            <w:pPr>
              <w:spacing w:after="0"/>
              <w:rPr>
                <w:sz w:val="15"/>
                <w:szCs w:val="15"/>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Sharing Payments</w:t>
            </w:r>
          </w:p>
        </w:tc>
        <w:tc>
          <w:tcPr>
            <w:tcW w:w="138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2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Royalties associated with the MSK Agreement</w:t>
            </w:r>
          </w:p>
        </w:tc>
        <w:tc>
          <w:tcPr>
            <w:tcW w:w="1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20" w:type="dxa"/>
            <w:vAlign w:val="bottom"/>
          </w:tcPr>
          <w:p>
            <w:pPr>
              <w:spacing w:after="0"/>
              <w:rPr>
                <w:sz w:val="18"/>
                <w:szCs w:val="18"/>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VOWST post-marketing safety surveillance study</w:t>
            </w:r>
          </w:p>
        </w:tc>
        <w:tc>
          <w:tcPr>
            <w:tcW w:w="13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80.1% of lease cost of Waltham facility</w:t>
            </w:r>
          </w:p>
        </w:tc>
        <w:tc>
          <w:tcPr>
            <w:tcW w:w="1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8"/>
                <w:szCs w:val="18"/>
                <w:color w:val="auto"/>
              </w:rPr>
            </w:pP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Employment-related costs for conveying employees</w:t>
            </w:r>
          </w:p>
        </w:tc>
        <w:tc>
          <w:tcPr>
            <w:tcW w:w="13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 due to SPN - related party</w:t>
            </w: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2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contingent liabilities accrued on the Company's consolidated balance sheets are remeasured at December 31, 2025 based on i) cash payments made by the Company to reduce the accrued liabilities due to SPN - related party and ii) revised estimates of the total remaining liabilities due to SPN - related party. For the years ended December 31, 2025 and 2024, the Company recognized a gain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sale of VOWST Business of $5,685 and $5,684, respectively, as a result of the change in the accrued liabilities due to SPN - related party.</w:t>
      </w:r>
    </w:p>
    <w:p>
      <w:pPr>
        <w:spacing w:after="0" w:line="11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has excluded from its consolidated balance sheets the effects of certain milestone payments received by the Company after the Product has achieved net sales-based milestones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contingent receivables will be recognized as a gain contingency, in accordance with </w:t>
      </w:r>
      <w:r>
        <w:rPr>
          <w:rFonts w:ascii="Times New Roman" w:cs="Times New Roman" w:eastAsia="Times New Roman" w:hAnsi="Times New Roman"/>
          <w:sz w:val="18"/>
          <w:szCs w:val="18"/>
          <w:i w:val="1"/>
          <w:iCs w:val="1"/>
          <w:color w:val="auto"/>
        </w:rPr>
        <w:t>ASC 450,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in continuing operations in the period when the contingencies are resolved.</w:t>
      </w:r>
    </w:p>
    <w:p>
      <w:pPr>
        <w:spacing w:after="0" w:line="6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consolidated statements of cash flows. There were no cash flows related to discontinued operations for the year ended December 31, 2025. For the years ended December 31, 2024 and 2023, capital expenditures related to the VOWST Business were $112 and $2,272, respectively. Depreciation expense related to the VOWST Business for the same periods was $989 and $2,019, respectively. Non-cash operating lease costs related to the VOWST Business for the years ended December 31, 2024 and 2023 were $1,447 and $2,123, respectively, while the share based compensation expense for the same periods were $1,884 and $2,773, respectively. The collaboration loss sharing (related party) related to the VOWST Business was $0 and $5,158 for the years ended December 31, 2024 and 2023, respectively. Excluding the gain of $146,707 recognized on the sale of the VOWST Business presented in the consolidated statements of cash flows for the year ended December 31, 2024, there were no other material operating or investing non-cash items related to the VOWST Business for any period presented.</w:t>
      </w:r>
    </w:p>
    <w:p>
      <w:pPr>
        <w:spacing w:after="0" w:line="333"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64,730</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(56,613)</w:t>
            </w:r>
          </w:p>
        </w:tc>
        <w:tc>
          <w:tcPr>
            <w:tcW w:w="4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(53,196)</w:t>
            </w:r>
          </w:p>
        </w:tc>
      </w:tr>
      <w:tr>
        <w:trPr>
          <w:trHeight w:val="210"/>
        </w:trPr>
        <w:tc>
          <w:tcPr>
            <w:tcW w:w="61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26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tcBorders>
              <w:top w:val="single" w:sz="8" w:color="CFF0FC"/>
            </w:tcBorders>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-453390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-453390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Depreciation and amortization expense was $4,133, $5,468 and $6,243 for the years ended December 31, 2025, 2024 and 2023, respectively, which includes amounts related to both continuing and discontinued operations. During the years ended December 31, 2025 and 2024, the Company disposed of certain assets with a cost basis of $734 and $679, respectively, and a net book value of $18 and $0, respectively. In addition, during the year ended December 31, 2024, the Company recorded an impairment loss of $1,536 related to leasehold improvements at one of the Company's locations for which impairment indicators were determined to exist as of December 31, 2024. 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details.</w:t>
      </w:r>
    </w:p>
    <w:p>
      <w:pPr>
        <w:spacing w:after="0" w:line="368"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104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7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quality costs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other</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80" w:type="dxa"/>
            <w:vAlign w:val="bottom"/>
          </w:tcPr>
          <w:p>
            <w:pPr>
              <w:spacing w:after="0"/>
              <w:rPr>
                <w:sz w:val="18"/>
                <w:szCs w:val="18"/>
                <w:color w:val="auto"/>
              </w:rPr>
            </w:pPr>
          </w:p>
        </w:tc>
      </w:tr>
      <w:tr>
        <w:trPr>
          <w:trHeight w:val="230"/>
        </w:trPr>
        <w:tc>
          <w:tcPr>
            <w:tcW w:w="6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7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80" w:type="dxa"/>
            <w:vAlign w:val="bottom"/>
            <w:shd w:val="clear" w:color="auto" w:fill="CFF0FC"/>
          </w:tcPr>
          <w:p>
            <w:pPr>
              <w:spacing w:after="0"/>
              <w:rPr>
                <w:sz w:val="19"/>
                <w:szCs w:val="19"/>
                <w:color w:val="auto"/>
              </w:rPr>
            </w:pPr>
          </w:p>
        </w:tc>
      </w:tr>
      <w:tr>
        <w:trPr>
          <w:trHeight w:val="20"/>
        </w:trPr>
        <w:tc>
          <w:tcPr>
            <w:tcW w:w="63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-24765</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-8255</wp:posOffset>
            </wp:positionV>
            <wp:extent cx="596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0"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leases real estate, primarily laboratory, office and manufacturing space. The Company’s leases have remaining terms ranging from approximately three to seven years. Certain leases include one or more options to renew, exercisable at the Company’s sole discretion, with renewal terms that can extend the lease from approximately five years to ten years. The Company evaluated the renewal options in its leases to determine if it was reasonably certain that the renewal option would be exercised, given the Company’s current business structure, uncertainty of future growth, and the associated impact to real estate, the Company concluded that it is not reasonably certain that any renewal options would be exercised. Therefore, the operating lease assets and operating lease liabilities only contemplate the initial lease terms. All the Company’s leases qualify as operating leases.</w:t>
      </w:r>
    </w:p>
    <w:p>
      <w:pPr>
        <w:spacing w:after="0" w:line="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2024, the Company entered into a sublease agreement with an unrelated third party to sublease a portion of its office and laboratory space in Cambridge, Massachusetts. The term of the sublease agreement commenced in March 2024 and ends on January 13, 2030. The Company will receive lease payments over the sublease term totaling $10,400. The sublessee is obligated to pay all real estate taxes and costs related to the subleased premises, including cost of operations, maintenance, repair, replacement and property management. Sublease income is recorded as Other (expense) income, net in the Company’s consolidated statements of operations and comprehensive income (loss).</w:t>
      </w:r>
    </w:p>
    <w:p>
      <w:pPr>
        <w:spacing w:after="0" w:line="7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 identified an indicator of impairment of its donor collection facility in Cambridge, Massachusetts, as the facility is no longer being used by the Company and is being marketed for sublease. The Company determined that this represents a significant adverse change in the extent in which the long-lived asset was being used. The Company determined that the location contains multiple asset groups for the purpose of the long-lived asset impairment assessment. The Company concluded that the carrying value of each asset group was not recoverable as it exceeded the future net undiscounted cash flows that are expected to be generated from the assets within the asset group. In the first quarter of 2024, the Company recognized an impairment loss of $3,267, consisting of $1,731 on the operating lease right-of-use asset and $1,536 on the leasehold improvements. $2,727 of the total impairment loss is included in research and development expenses and the remaining $540 is included in general and administrative expenses in the accompanying consolidated statements of operations and comprehensive income (loss).</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Company’s consolidated balance sheets of its operating leases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assets</w:t>
            </w:r>
          </w:p>
        </w:tc>
        <w:tc>
          <w:tcPr>
            <w:tcW w:w="86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72,483</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80,903</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8,674</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72,576</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82,966</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91,640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statements of operations and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Short-term lease costs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Variable lease costs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Sublease income</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19,175</w:t>
            </w:r>
          </w:p>
        </w:tc>
        <w:tc>
          <w:tcPr>
            <w:tcW w:w="24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19,514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22,324</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(3,272)</w:t>
            </w: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31,030</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-719455</wp:posOffset>
            </wp:positionV>
            <wp:extent cx="641223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-445135</wp:posOffset>
            </wp:positionV>
            <wp:extent cx="641223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-162560</wp:posOffset>
            </wp:positionV>
            <wp:extent cx="6412230" cy="163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720"/>
          </w:cols>
          <w:pgMar w:left="320" w:top="765" w:right="339" w:bottom="1440" w:gutter="0" w:footer="0" w:header="0"/>
          <w:type w:val="continuous"/>
        </w:sectPr>
      </w:pPr>
    </w:p>
    <w:p>
      <w:pPr>
        <w:spacing w:after="0" w:line="6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made cash payments for operating leases of $19,442, $17,330 and $15,656,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5" w:name="page126"/>
    <w:bookmarkEnd w:id="125"/>
    <w:tbl>
      <w:tblPr>
        <w:tblLayout w:type="fixed"/>
        <w:tblInd w:w="5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28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SERES THERAPEUTICS, INC.</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828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75"/>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future payments of operating lease liabilities are as follows (in thousands):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10"/>
        </w:trPr>
        <w:tc>
          <w:tcPr>
            <w:tcW w:w="60" w:type="dxa"/>
            <w:vAlign w:val="bottom"/>
          </w:tcPr>
          <w:p>
            <w:pPr>
              <w:spacing w:after="0"/>
              <w:rPr>
                <w:sz w:val="18"/>
                <w:szCs w:val="18"/>
                <w:color w:val="auto"/>
              </w:rPr>
            </w:pPr>
          </w:p>
        </w:tc>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top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19,983</w:t>
            </w:r>
          </w:p>
        </w:tc>
        <w:tc>
          <w:tcPr>
            <w:tcW w:w="12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1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20,863</w:t>
            </w:r>
          </w:p>
        </w:tc>
        <w:tc>
          <w:tcPr>
            <w:tcW w:w="12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6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12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8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future payments of operating lease liabilities</w:t>
            </w:r>
          </w:p>
        </w:tc>
        <w:tc>
          <w:tcPr>
            <w:tcW w:w="60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118,422</w:t>
            </w:r>
          </w:p>
        </w:tc>
        <w:tc>
          <w:tcPr>
            <w:tcW w:w="12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(35,456)</w:t>
            </w:r>
          </w:p>
        </w:tc>
      </w:tr>
      <w:tr>
        <w:trPr>
          <w:trHeight w:val="249"/>
        </w:trPr>
        <w:tc>
          <w:tcPr>
            <w:tcW w:w="60" w:type="dxa"/>
            <w:vAlign w:val="bottom"/>
          </w:tcPr>
          <w:p>
            <w:pPr>
              <w:spacing w:after="0"/>
              <w:rPr>
                <w:sz w:val="21"/>
                <w:szCs w:val="21"/>
                <w:color w:val="auto"/>
              </w:rPr>
            </w:pPr>
          </w:p>
        </w:tc>
        <w:tc>
          <w:tcPr>
            <w:tcW w:w="8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600" w:type="dxa"/>
            <w:vAlign w:val="bottom"/>
            <w:tcBorders>
              <w:top w:val="single" w:sz="8" w:color="auto"/>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weighted average remaining lease term was 6.07 years and the weighted average incremental borrowing rate used to determine the operating lease liability was 13%. As of December 31, 2024, the weighted average remaining lease term was 6.98 years and the weighted average incremental borrowing rate used to determine the operating lease liability was 13%.</w:t>
      </w:r>
    </w:p>
    <w:p>
      <w:pPr>
        <w:spacing w:after="0" w:line="118" w:lineRule="exact"/>
        <w:rPr>
          <w:sz w:val="20"/>
          <w:szCs w:val="20"/>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and Stock-Based Awards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July 1, 2015, in connection with the closing of the initial public offering of the Company’s common stock (“IPO”), the Company effected its Restated Certificate of Incorporation, which authorizes the Company to issue 10,000,000 shares of preferred stock, $0.001 par value per share.</w:t>
      </w:r>
    </w:p>
    <w:p>
      <w:pPr>
        <w:spacing w:after="0" w:line="54"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212529"/>
        </w:rPr>
        <w:t>On April 10, 2025, at the Company's 2025 annual meeting of stockholders (the “2025 Annual Meeting”), stockholders approved an amendment to the Company’s Restated Certificate of Incorporation in order to effect a reverse stock split of all outstanding shares of the Company's common stock. On April 21, 2025, the Company effected a 1-for-20 reverse stock split of its common stock. The reverse stock split had no impact on the number of authorized shares or the par value of preferred and common stock. As of the effective time of the reverse stock split, the number of shares of common stock issuable upon exercise, vesting or settlement of outstanding awards, the exercise price of all outstanding options and any stock price vesting goals with respect to any outstanding awards under the Company’s equity plans (including the 2025 Plan, as defined below) was proportionately adjusted (and rounded down to the nearest whole share in the case of shares and up to the nearest whole cent in the case of exercise prices, as applicable) based on the 1-for-20 ratio. In addition, the number of shares available for future issuance and any share</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based award limits under the Company’s equity plans were proportionately reduced based on the 1-for-20 ratio. Trading of the Company's common stock on The Nasdaq Global Select Market commenced on a split-adjusted basis on April 22, 2025.</w:t>
      </w:r>
    </w:p>
    <w:p>
      <w:pPr>
        <w:spacing w:after="0" w:line="9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212529"/>
        </w:rPr>
        <w:t>On September 30, 2024, the Company entered into the Securities Purchase Agreement with SPN, pursuant to which SPN purchased 714,285 shares at the Closing at a purchase price per share of $21.00, for an aggregate purchase price of $15,000. Under the terms of the Securities Purchase Agreement, SPN has agreed not to sell or transfer the shares for a period of six months after Closing, subject to certain customary exceptions. The Company agreed to register the resale of the Shares by SPN within 90 days of Closing. On October 1, 2024, the Company filed a registration statement to register the Shares, which became effective on October 11, 2024. In addition, under the terms of the Securities Purchase Agreement, for as long as SPN, together with its affiliates, beneficially owns at least 10% of the Company's outstanding shares of common stock, the Company has agreed to take such action within its control to include one individual designated by SPN in the slate of nominees recommended by the Company's board of directors (or the applicable committee of the board) to the Company's stockholders for election to the board at the applicable stockholder meeting. The Securities Purchase Agreement contains customary representations and warranties and closing conditions. The aggregate fair value of $13,516 for the common stock issued to SPN was recorded in equity, with the remaining $1,484 cash received from SPN under the Securities Purchase Agreement allocated to the consideration transferred for the VOWST Business.</w:t>
      </w:r>
    </w:p>
    <w:p>
      <w:pPr>
        <w:spacing w:after="0" w:line="8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February 22, 2024, the Company’s board of directors adopted a resolution to amend the Restated Certificate of Incorporation, subject to stockholder approval, by increasing the number of authorized shares of the Company’s Common Stock from 240,000,000 shares to 360,000,000 shares (the “Share Increase Amendment”). At the Company’s annual meeting of stockholders held on April 4, 2024, the Company’s stockholders approved the Share Increase Amendment. On April 5, 2024, the Company amended its Restated Certificate of Incorporation to reflect the Share Increase Amendment.</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 May 2021, the Company entered into a Sales Agreement (the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Sales Agreement</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with Cowen and Company, LLC ("Cowen") to sell shares of the Company’s common stock, with aggregate gross sales proceeds of up to $150,000, from time to time, through an "at-the-market" equity offering program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ATM</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under which Cowen acts as sales agent. During the year 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December 31, 2025, the Company sold 739,545 shares of common stock under the 2021 Sales Agreement, at an average price of approximately $18.48 per share, raising aggregate net proceeds of approximately $13,167 after deducting an aggregate commission of approximately 3% and other issuance costs. During the year ended December 31, 2024, the Company sold 1,030,846 shares of common stock under the 2021 Sales Agreement, at an average price of approximately $23.67 per share, raising aggregate net proceeds of approximately $23,530 after deducting an aggregate commission of approximately 3% and other issuance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and 2025 Incentive Award Plans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16, 2015, the Company’s stockholders approved the 2015 Incentive Award Plan (the “2015 Plan”), which became effective on June 25, 2015. The 2015 Plan was subsequently amended on December 14, 2022, and provides for the grant of incentive stock options, nonqualified stock options, stock appreciation rights, restricted stock awards, restricted stock units and other stock-based awards. The number of shares initially reserved for issuance under the 2015 Plan was the sum of (i) 110,000 shares of common stock and (ii) the number of shares subject to awards outstanding under the 2012 Plan that expire, terminate or are otherwise surrendered, canceled, forfeited or repurchased by the Company on or after the effective date of the 2015 Plan. In addition, the number of shares of common stock that may be issued under the 2015 Plan was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w:t>
      </w:r>
    </w:p>
    <w:p>
      <w:pPr>
        <w:spacing w:after="0" w:line="8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212529"/>
        </w:rPr>
        <w:t>On April 10, 2025, the Company's stockholders approved the 2025 Incentive Award Plan (the “2025 Plan”) as an amendment and restatement of the Seres Therapeutics, Inc. 2015 Incentive Award Plan. The amendment, among other things, authorized the issuance of 2,230,243 shares of the Company’s common stock for awards under the 2025 Plan, which includes 1,750,493 shares previously authorized for issuance under the 2015 Plan plus an increase of 479,750 shares (in each case, which amounts reflect the 1-for-20 reverse stock split), and extended the term of the 2025 Plan to March 3, 2035, the tenth anniversary of the approval of the 2025 Plan by the Company’s board of directors.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awards granted under the 2025 Plan generally vest over four years and expire after ten years, although options have been granted with vesting terms less than four years. As of December 31, 2025, there were 740,410 shares available for future grant under the 2025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16, 2015, the Company’s stockholders approved the 2015 Employee Stock Purchase Plan (the “ESPP”), which became effective on June 25, 2015. A total of 18,250 shares of common stock were reserved for issuance under the ESPP. In addition, the number of shares of common stock that may be issued under the ESPP automatically increase on the first day of each calendar year, beginning in 2016 and ending in 2025, by an amount equal to the lesser of (i) 20,000 shares, (ii) 1% of the number of shares of the Company’s common stock outstanding on the last day of the applicable preceding calendar year and (iii) an amount determined by the Company’s board of directors. Offering periods under the ESPP will commence when determined by the plan administrator. During the year ended and as of December 31, 2025, there were 17,839 shares issued and 106,064 shares were reserved and available for issuance under the ESPP,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ESPP provides that eligible employees may contribute up to 15% of their eligible earnings toward the semi-annual purchase of the Company's common stock. Purchase rights issued under the ESPP are intended to be qualified under Section 423 of the Internal Revenue Code of 1986, as amended ("IRC"). The employee's purchase price is derived from a formula based on the closing price of the common stock on the first day of the offering period versus the closing price on the date of purchase (or, if not a trading day, on the immediately preceding trading day). The offering period under the ESPP has a duration of six months, and the purchase price with respect to each offering period beginning on or after such date is, until otherwise amended, equal to 85% of the lesser of (i) the fair market value of the Company's common stock at the commencement of the applicable six-month offering period or (ii) the fair market value of the Company's common stock on the purchase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Employment Inducement Award Plan</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On December 14, 2022, the Company’s board of directors approved the 2022 Employment Inducement Award Plan (the "2022 Plan"), which became effective on such date without stockholder approval pursuant to Rule 5635(c)(4) of The Nasdaq Stock Market LLC listing rules (“Rule 5635(c)</w:t>
      </w:r>
    </w:p>
    <w:p>
      <w:pPr>
        <w:jc w:val="both"/>
        <w:spacing w:after="0" w:line="251" w:lineRule="auto"/>
        <w:rPr>
          <w:sz w:val="20"/>
          <w:szCs w:val="20"/>
          <w:color w:val="auto"/>
        </w:rPr>
      </w:pPr>
      <w:r>
        <w:rPr>
          <w:rFonts w:ascii="Times New Roman" w:cs="Times New Roman" w:eastAsia="Times New Roman" w:hAnsi="Times New Roman"/>
          <w:sz w:val="18"/>
          <w:szCs w:val="18"/>
          <w:color w:val="auto"/>
        </w:rPr>
        <w:t>(4)”). The 2022 Plan provides for the grant of nonqualified stock options, stock appreciation rights, restricted stock awards, restricted stock units and other stock- or cash-based awards. In accordance with Rule 5635(c)(4), awards under the 2022 Plan may only be made to a newly hired employee who has not previously been a member of our board of directors, or an employee who is being rehired following a bona fide period of non-employment by us as a material inducement to the employee’s entering into employment with us. A total of 125,000 shares of common stock were reserved for issuance under the 2022 Plan. Any shares subject to awards previously granted under the 2022 Plan that expire, terminate or are otherwise surrendered, canceled, or forfeited in any case, in a manner that results in the Company acquiring the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2022 Plan.</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there were 86,644 shares available for future grant under the 2022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2025:</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886,123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546,805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(23,900)</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(284,820)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1,124,208</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1,124,208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December 31, 2025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502,733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February 2024, the Company approved a repricing of certain stock option awards to reduce the original exercise price to the Company’s current fair market value as of February 12, 2024 (the “Repricing”). The Repricing became effective 18 months from the approval date, or August 2025. The remaining terms and conditions of each option affected by the Repricing remained the same, including the expiration date, vesting commencement date, vesting schedule and any vesting acceleration. As the Repricing was retrospective to February 2024, the weighted average exercise price for stock options outstanding as of December 31, 2024 in the table above has been adjusted to reflect the Repricing. The Repricing was accounted for as a modification, and an immaterial amount of incremental fair value is being recognized from the date the Repricing was approved over the remaining vesting term of the options.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years ended December 31, 2025, 2024, and 2023 was $13.30, $18.58, and $90.37 per share, respectively. The total intrinsic value of stock options exercised during the years ended December 31, 2025, 2024, and 2023 was $98, $0, and $438, respectively.</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performance-based stock options to employees for the purchase of an aggregate of 28,100 shares of common stock with a grant date fair value of $110.60 per share. These stock options are exercisable only upon achievement of specified performance targets. In April 2023, the performance target associated with 50% of the performance-based stock options was achieved. Accordingly, the Company recorded $0, $8 and $2,051 of compensation expense during the years ended December 31, 2025, 2024 and 2023, respectively, with respect to these performance-based stock options, which represents a cumulative catch-up from the grant date through the achievement of the performance targets, and vesting of the remaining 50% of the options beginning in April 2023. The remaining compensation expense associated with these performance-based stock options was recognized as of April 2024, for all such options for which ongoing performance targets were achieved and service requirements were met.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stock options to certain executives for the purchase of an aggregate of 127,500 shares of common stock. These awards will vest only to the extent that the 30-day trailing simple average public market closing price of the Company's common stock reaches certain price thresholds. These awards have an exercise price of $22.00 and vest and become exercisable when the market conditions are satisfied or, if later, on the first anniversary of the grant date. These awards expire 10 years from the date of grant. The fair value of these market-based stock options was estimated using a Monte Carlo valuation method. During the years ended December 31, 2025 and 2024, the Company recognized $641 and $775 of compensation expense related to these awards.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color w:val="auto"/>
        </w:rPr>
        <w:t>The Company has granted restricted stock units with service-based vesting conditions ("RSUs") and restricted stock units with performance-based vesting conditions ("PSUs"). RSUs and PSUs represent the right to receive shares of common stock upon meeting specified vesting requirements. Restricted stock units may not be sold or transferred by the holder and vest according to the vesting conditions of each award. The table below summarizes the Company’s RSU and PSU activity for the year ended December 31, 2025:</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6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2024</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81,459</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79,846</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(12,300)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(124,855)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2025</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granted 79,846, 75,066 and 154,904 RSUs, respectively. RSUs generally vest over four years, with 25% vesting after one year, and the remaining 75% vesting quarterly over the next 3 years, subject to continued service to the Company through the applicable vesting date. PSUs vest according to the performance requirements of the awards, generally when the Company has determined that the specified performance targets have been achieved.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PSUs to employees covering an aggregate of 66,135 shares of common stock with a grant date fair value of $110.00. These PSUs begin to vest ratably only upon achievement of specified performance targets, which were achieved in April 2023. Accordingly, the Company recorded $0, $792 and $4,293 in compensation expense during the years ended December 31, 2025, 2024, and 2023 respectively, with respect to these PSUs.</w:t>
      </w:r>
    </w:p>
    <w:p>
      <w:pPr>
        <w:spacing w:after="0" w:line="180" w:lineRule="exact"/>
        <w:rPr>
          <w:sz w:val="20"/>
          <w:szCs w:val="20"/>
          <w:color w:val="auto"/>
        </w:rPr>
      </w:pPr>
    </w:p>
    <w:p>
      <w:pPr>
        <w:jc w:val="both"/>
        <w:ind w:right="20" w:firstLine="509"/>
        <w:spacing w:after="0" w:line="313" w:lineRule="auto"/>
        <w:rPr>
          <w:sz w:val="20"/>
          <w:szCs w:val="20"/>
          <w:color w:val="auto"/>
        </w:rPr>
      </w:pPr>
      <w:r>
        <w:rPr>
          <w:rFonts w:ascii="Times New Roman" w:cs="Times New Roman" w:eastAsia="Times New Roman" w:hAnsi="Times New Roman"/>
          <w:sz w:val="18"/>
          <w:szCs w:val="18"/>
          <w:color w:val="auto"/>
        </w:rPr>
        <w:t>The aggregate intrinsic value of RSUs, including PSUs for which the performance conditions have been met, that vested during the years ended December 31, 2025, 2024 and 2023 was $1,903, $1,899, and $4,729, respectively.</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Retention Awards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September 2025, the Company issued retention awards to employees of the Company in the form of RSUs covering 68,596 shares of common stock with a grant date fair value of $18.93 per share. The retention RSUs fully vested on November 15, 2025 subject to the employee's continued employment with the Company through such date. The compensation expense associated with these awards was recognized ratably over the vesting period. For the year ended December 31, 2025, the Company recognized $1,299 in compensation expense with respect to the retention RSUs.</w:t>
      </w:r>
    </w:p>
    <w:p>
      <w:pPr>
        <w:spacing w:after="0" w:line="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as part of the corporate restructuring described in Note 9,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the Company issued retention awards to employees of the Company in the form of RSUs, which vested as to the first tranche on August 15, 2024 and as to the second tranche on May 15, 2025, subject to remaining actively employed with the Company through such date. The compensation expense associated with these awards was recognized ratably over the vesting period. For the years ended December 31, 2025, 2024, and 2023, the Company recognized $163, $655 and $92, respectively, in compensation expense with respect to the retention awards.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Valuation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directors were as follows, presented on a weighted average basis:</w:t>
      </w:r>
    </w:p>
    <w:p>
      <w:pPr>
        <w:spacing w:after="0" w:line="155"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57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09"/>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8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r>
      <w:tr>
        <w:trPr>
          <w:trHeight w:val="216"/>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121.0%</w:t>
            </w:r>
          </w:p>
        </w:tc>
        <w:tc>
          <w:tcPr>
            <w:tcW w:w="8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76.2%</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r>
      <w:tr>
        <w:trPr>
          <w:trHeight w:val="23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rights to acquire common stock under the ESPP using a Black-Scholes valuation model on the date of grant and the straight-line attribution approach to recognize the expense. The assumptions that the Company used to determine the fair value of rights to acquire common stock under the ESPP were as follows, presented on a weighted average basis:</w:t>
      </w:r>
    </w:p>
    <w:p>
      <w:pPr>
        <w:spacing w:after="0" w:line="16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5.16%</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r>
      <w:tr>
        <w:trPr>
          <w:trHeight w:val="216"/>
        </w:trPr>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115.8%</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118.3%</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and restricted stock units in the following expense categories of its consolidated statements of operations and comprehensive income (loss):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tcPr>
          <w:p>
            <w:pPr>
              <w:spacing w:after="0"/>
              <w:rPr>
                <w:sz w:val="18"/>
                <w:szCs w:val="18"/>
                <w:color w:val="auto"/>
              </w:rPr>
            </w:pPr>
          </w:p>
        </w:tc>
      </w:tr>
      <w:tr>
        <w:trPr>
          <w:trHeight w:val="230"/>
        </w:trPr>
        <w:tc>
          <w:tcPr>
            <w:tcW w:w="4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34,101</w:t>
            </w:r>
          </w:p>
        </w:tc>
        <w:tc>
          <w:tcPr>
            <w:tcW w:w="100" w:type="dxa"/>
            <w:vAlign w:val="bottom"/>
            <w:shd w:val="clear" w:color="auto" w:fill="CFF0FC"/>
          </w:tcPr>
          <w:p>
            <w:pPr>
              <w:spacing w:after="0"/>
              <w:rPr>
                <w:sz w:val="19"/>
                <w:szCs w:val="19"/>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596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an aggregate of $9,986 of unrecognized stock-based compensation cost, which is expected to be recognized over a weighted average period of 3.2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was calculated as follows (in thousands, except share and per share data):</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common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(125,771)</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(190,130)</w:t>
            </w:r>
          </w:p>
        </w:tc>
        <w:tc>
          <w:tcPr>
            <w:tcW w:w="0" w:type="dxa"/>
            <w:vAlign w:val="bottom"/>
          </w:tcPr>
          <w:p>
            <w:pPr>
              <w:spacing w:after="0"/>
              <w:rPr>
                <w:sz w:val="1"/>
                <w:szCs w:val="1"/>
                <w:color w:val="auto"/>
              </w:rPr>
            </w:pPr>
          </w:p>
        </w:tc>
      </w:tr>
      <w:tr>
        <w:trPr>
          <w:trHeight w:val="198"/>
        </w:trPr>
        <w:tc>
          <w:tcPr>
            <w:tcW w:w="54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income from discontinuing operations attributable to common</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240" w:type="dxa"/>
            <w:vAlign w:val="bottom"/>
          </w:tcPr>
          <w:p>
            <w:pPr>
              <w:spacing w:after="0"/>
              <w:rPr>
                <w:sz w:val="17"/>
                <w:szCs w:val="17"/>
                <w:color w:val="auto"/>
              </w:rPr>
            </w:pP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(113,724)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8,858,975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7,769,910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(loss) from continuing operations per share attributable to</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stockholders - basic</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(16.20)</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198"/>
        </w:trPr>
        <w:tc>
          <w:tcPr>
            <w:tcW w:w="5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from discontinued operations per share attributable to</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stockholders - basic</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4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basic</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196"/>
        </w:trPr>
        <w:tc>
          <w:tcPr>
            <w:tcW w:w="54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common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(125,771)</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(190,130)</w:t>
            </w:r>
          </w:p>
        </w:tc>
        <w:tc>
          <w:tcPr>
            <w:tcW w:w="0" w:type="dxa"/>
            <w:vAlign w:val="bottom"/>
          </w:tcPr>
          <w:p>
            <w:pPr>
              <w:spacing w:after="0"/>
              <w:rPr>
                <w:sz w:val="1"/>
                <w:szCs w:val="1"/>
                <w:color w:val="auto"/>
              </w:rPr>
            </w:pPr>
          </w:p>
        </w:tc>
      </w:tr>
      <w:tr>
        <w:trPr>
          <w:trHeight w:val="198"/>
        </w:trPr>
        <w:tc>
          <w:tcPr>
            <w:tcW w:w="54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income from discontinuing operations attributable to common</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240" w:type="dxa"/>
            <w:vAlign w:val="bottom"/>
          </w:tcPr>
          <w:p>
            <w:pPr>
              <w:spacing w:after="0"/>
              <w:rPr>
                <w:sz w:val="17"/>
                <w:szCs w:val="17"/>
                <w:color w:val="auto"/>
              </w:rPr>
            </w:pP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(113,724)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8,858,975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7,769,910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Dilutive impact from:</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issuable under employee stock purchase plan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8,869,742</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7,769,910</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6,400,339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(loss) from continuing operations per share attributable to</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stockholders - diluted</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(16.20)</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198"/>
        </w:trPr>
        <w:tc>
          <w:tcPr>
            <w:tcW w:w="5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from discontinued operations per share attributable to</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stockholders - diluted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4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197"/>
        </w:trPr>
        <w:tc>
          <w:tcPr>
            <w:tcW w:w="54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Anti-dilutive potential common stock equivalents excluded from the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calculation of net income (loss) per share:</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issuable under employee stock purchase plan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-4045585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-4028440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-4045585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-4028440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-4045585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-4028440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-1824990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-1824990</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-1824990</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-985520</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-967740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-985520</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-967740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-985520</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-967740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Company's potential dilutive securities include stock options, unvested restricted common stock and shares issuable under the 2015 Employee Stock Purchase Plan. The effect of dilutive securities was calculated using the treasury stock method. The anti-dilutive potential common stock equivalents for the year ended December 31, 2025 were excluded from the computation of diluted net income per share attributable to common stockholders because those stock options to purchase common stock and restricted stock units had an anti-dilutive impact due to the assumed proceeds per share using the treasury stock method being greater than the average fair value of the Company’s common shares for those periods. For that same period, the warrants to purchase common stock were excluded because the exercise price of the Tranche A Warrants is greater than the average fair value of the Company’s common shares. The anti-dilutive potential common stock equivalents for the years ended December 31, 2024 and 2023 were excluded from the computation of diluted net loss per share attributable to common stockholders because those stock options to purchase common stock, restricted stock units, and shares issuable under employee stock purchase plan had an anti-dilutive impact as the Company reported a net loss from continuing operations attributable to common stockholders for those periods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utilizes the control number concept in the computation of diluted earnings per share to determine whether potential common stock equivalents are dilutive. The control number used is income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Since the Company had a net loss from continuing operations for all periods in which discontinued operations is presented, no dilutive effect has been recognized in the calculation of income from discontinued operations per share. Therefore, the weighted average number of common shares outstanding used to calculate both basic and diluted net loss per share attributable to common stockholders is the same for the years ended December 31, 2024 and 2023.</w:t>
      </w:r>
    </w:p>
    <w:p>
      <w:pPr>
        <w:spacing w:after="0" w:line="200" w:lineRule="exact"/>
        <w:rPr>
          <w:sz w:val="20"/>
          <w:szCs w:val="20"/>
          <w:color w:val="auto"/>
        </w:rPr>
      </w:pPr>
    </w:p>
    <w:p>
      <w:pPr>
        <w:spacing w:after="0" w:line="309" w:lineRule="exact"/>
        <w:rPr>
          <w:sz w:val="20"/>
          <w:szCs w:val="20"/>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September 23, 2025, the Company announced that it implemented cost reduction actions, including decreasing its workforce by approximately 25%. During the year ended December 31, 2025, the Company incurred approximately $1,027 in restructuring costs, primarily related to severance costs. These costs were paid out in the fourth quarter of 2025.</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2, 2023, the Company announced a restructuring plan to prioritize the commercialization of VOWST and the completion of the SER-155 Phase 1b study, while significantly reducing costs and supporting longer-term business sustainability. The restructuring plan included (i) a reduction of the Company’s workforce by approximately 41% across the organization, resulting in the elimination of approximately 160 positions; (ii) significantly scaling back all non-partnered research and development activities other than the completion of the SER-155 Phase 1b study; and (iii) reducing general and administrative expenses, including consolidating office space.</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restructuring charge of $5,606, which was incurred entirely in the fourth quarter of 2023, and which represents all restructuring charges expected to be incurred. $3,481 of the total restructuring charges was included in research and development expenses and the remaining $2,125 in general and administrative expenses in the accompanying consolidated statements of operations and comprehensive income (loss) for the year ended December 31, 2023. Restructuring charges included approximately $5,345 of employee related termination costs in the form of salary continuation and cash severance payments, and $261 related to the acceleration of vesting of certain previously granted RSUs and PSUs.</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unpaid restructuring charge included in accrued expenses and other current liabilities in the Company’s consolidated balance sheets was $0 and $20 for the years ended December 31, 2025 and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discussion of the commitments associated with the Company’s lease portfolio.</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2025 or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183"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did not accrue any liabilities related to legal contingencies in its consolidated financial statements as of December 31, 2025 or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no income tax benefits for the net operating losses incurred in each year or interim period, due to its uncertainty of realizing a benefit from those items.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after the adoption of ASU 2023-09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State and local income taxes, net of federal income tax effect</w:t>
            </w:r>
            <w:r>
              <w:rPr>
                <w:rFonts w:ascii="Times New Roman" w:cs="Times New Roman" w:eastAsia="Times New Roman" w:hAnsi="Times New Roman"/>
                <w:sz w:val="24"/>
                <w:szCs w:val="24"/>
                <w:color w:val="auto"/>
                <w:vertAlign w:val="superscript"/>
              </w:rPr>
              <w:t>(1)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(3,445)</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Meals and entertainment</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 to gain on sale of VOWST business</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(1,133)</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F-29</w:t>
            </w: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-1079500</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-1079500</wp:posOffset>
            </wp:positionV>
            <wp:extent cx="1454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4">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45" w:lineRule="exact"/>
        <w:rPr>
          <w:sz w:val="20"/>
          <w:szCs w:val="20"/>
          <w:color w:val="auto"/>
        </w:rPr>
      </w:pPr>
    </w:p>
    <w:p>
      <w:pPr>
        <w:ind w:left="1440" w:hanging="174"/>
        <w:spacing w:after="0"/>
        <w:tabs>
          <w:tab w:leader="none" w:pos="1440" w:val="left"/>
        </w:tabs>
        <w:numPr>
          <w:ilvl w:val="0"/>
          <w:numId w:val="6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State and local taxes in Massachusetts comprise the majority of this category.</w:t>
      </w:r>
    </w:p>
    <w:p>
      <w:pPr>
        <w:spacing w:after="0" w:line="19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for years prior to the adoption of ASU 2023-09 is as follows:</w:t>
      </w:r>
    </w:p>
    <w:tbl>
      <w:tblPr>
        <w:tblLayout w:type="fixed"/>
        <w:tblInd w:w="760" w:type="dxa"/>
        <w:tblCellMar>
          <w:top w:w="0" w:type="dxa"/>
          <w:left w:w="0" w:type="dxa"/>
          <w:bottom w:w="0" w:type="dxa"/>
          <w:right w:w="0" w:type="dxa"/>
        </w:tblCellMar>
      </w:tblPr>
      <w:tr>
        <w:trPr>
          <w:trHeight w:val="156"/>
        </w:trPr>
        <w:tc>
          <w:tcPr>
            <w:tcW w:w="38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8"/>
          </w:tcPr>
          <w:p>
            <w:pPr>
              <w:jc w:val="right"/>
              <w:ind w:right="100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Uncertain tax position reserves</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340" w:type="dxa"/>
            <w:vAlign w:val="bottom"/>
            <w:tcBorders>
              <w:bottom w:val="single" w:sz="8" w:color="auto"/>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6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assets as of December 31, 2025 and 2024 consisted of the following: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gridSpan w:val="7"/>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167,203</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174 capitalized research and development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Section 163(j) limitation</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330,783</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Right of use assets</w:t>
            </w:r>
          </w:p>
        </w:tc>
        <w:tc>
          <w:tcPr>
            <w:tcW w:w="3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(19,822)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(21,115)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(19,822)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(21,115)</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vMerge w:val="continue"/>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(310,961)</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(309,742)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-3256915</wp:posOffset>
            </wp:positionV>
            <wp:extent cx="1460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-3256915</wp:posOffset>
            </wp:positionV>
            <wp:extent cx="1454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-1028065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-1028065</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-462280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-462280</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Tax Cuts and Jobs Act (“TCJA”), which was enacted in 2017, required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for the years ended December 31, 2024, 2023, and 2022. The TCJA required the Company to amortize these costs for tax purposes over five years if the research and development was performed in the U.S. and over 15 years if the research and development was performed outside the U.S. On July 4, 2025, new U.S. tax legislation was signed into law (known as the “One Big Beautiful Bill Act”, or “OBBA”) which generally allows taxpayers to (i) immediately deduct research and experimental expenditures attributable to U.S.-based research paid or incurred in taxable years beginning after December 31, 2024 and (ii) elect to accelerate, over a period of one or two years, any unamortized research and experimental expenditures attributable to U.S.-based research incurred in taxable years beginning after December 31, 2021 and before January 1, 2025. The Company deducted 100% of its research and experimental expenditures incurred in 2025 during the year ended December 31, 2025. Further, the Company has elected not to accelerate the unamortized research and experimental expenditures from prior years and instead recognize them over the remaining amortization period of five years from when they were initially capitalized.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2025, the Company did not have any material cash payments or refunds for income taxes.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net operating loss carryforwards (“NOLs”) for federal and state income tax purposes of $616,412 and $597,758, respectively. Federal NOLs of $98,756, generated before 2018, will begin expiring in varying amounts in 2035 unless utilized. The remaining federal NOLs of $517,656, generated after 2017, will be carried forward indefinitely and could be used to offset up to 80% of taxable income in future tax years. The Company's state NOLs will expire at various times starting in 2035. As of December 31, 2025, the Company also had available gross research and development tax credit carryforwards for federal and state income tax purposes of $55,341 and $14,767, respectively, which begin to expire in 2031 and 2028, respectively. The federal research and development tax credits include an orphan drug credit carryforward of $25,876.</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NOLs and research and development tax credit carryforwards may be subject to a substantial annual limitation under Sections 382 and 383 of the IRC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may have resulted in an ownership change or could result in an ownership change in the future upon subsequent disposition. The Company conducted an analysis to determine if historical changes in ownership through December 31, 2024 would limit or otherwise restrict its ability to utilize these NOLs and research and development credit carryforwards. As a result of this analysis, the Company does not believe there are any significant limitations on its ability to utilize these carryforwards. However, future changes in ownership after December 31, 2024 could affect the limitation in future years. Any limitation may result in expiration of a portion of the NOLs or research and development credit carryforwards before utilization.</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2025 and 2024. Management reevaluates the positive and negative evidence at each reporting period.</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2025, 2024 and 2023 related primarily to the increases or decreases in NOLs, research and development tax credit carryforwards, capitalized research and development expenses pursuant to IRC Section 174, and non-deductible stock-based compensation expenses. A rollforward of the valuation allowance is as follows: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p>
      <w:pPr>
        <w:spacing w:after="0" w:line="27" w:lineRule="exact"/>
        <w:rPr>
          <w:sz w:val="20"/>
          <w:szCs w:val="20"/>
          <w:color w:val="auto"/>
        </w:rPr>
      </w:pPr>
    </w:p>
    <w:p>
      <w:pPr>
        <w:ind w:left="120" w:right="1900"/>
        <w:spacing w:after="0" w:line="271" w:lineRule="auto"/>
        <w:rPr>
          <w:sz w:val="20"/>
          <w:szCs w:val="20"/>
          <w:color w:val="auto"/>
        </w:rPr>
      </w:pPr>
      <w:r>
        <w:rPr>
          <w:rFonts w:ascii="Times New Roman" w:cs="Times New Roman" w:eastAsia="Times New Roman" w:hAnsi="Times New Roman"/>
          <w:sz w:val="18"/>
          <w:szCs w:val="18"/>
          <w:color w:val="auto"/>
        </w:rPr>
        <w:t>Decreases recorded as benefit to income tax provision Increases recorded to income tax provision</w:t>
      </w:r>
    </w:p>
    <w:p>
      <w:pPr>
        <w:spacing w:after="0"/>
        <w:rPr>
          <w:sz w:val="20"/>
          <w:szCs w:val="20"/>
          <w:color w:val="auto"/>
        </w:rPr>
      </w:pPr>
      <w:r>
        <w:rPr>
          <w:rFonts w:ascii="Times New Roman" w:cs="Times New Roman" w:eastAsia="Times New Roman" w:hAnsi="Times New Roman"/>
          <w:sz w:val="18"/>
          <w:szCs w:val="18"/>
          <w:color w:val="auto"/>
        </w:rPr>
        <w:t>Valuation allowance as of end of year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(309,742)</w:t>
            </w:r>
          </w:p>
        </w:tc>
        <w:tc>
          <w:tcPr>
            <w:tcW w:w="280" w:type="dxa"/>
            <w:vAlign w:val="bottom"/>
          </w:tcPr>
          <w:p>
            <w:pPr>
              <w:spacing w:after="0"/>
              <w:rPr>
                <w:sz w:val="16"/>
                <w:szCs w:val="16"/>
                <w:color w:val="auto"/>
              </w:rPr>
            </w:pPr>
          </w:p>
        </w:tc>
        <w:tc>
          <w:tcPr>
            <w:tcW w:w="300" w:type="dxa"/>
            <w:vAlign w:val="bottom"/>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(312,809)</w:t>
            </w:r>
          </w:p>
        </w:tc>
        <w:tc>
          <w:tcPr>
            <w:tcW w:w="260" w:type="dxa"/>
            <w:vAlign w:val="bottom"/>
          </w:tcPr>
          <w:p>
            <w:pPr>
              <w:spacing w:after="0"/>
              <w:rPr>
                <w:sz w:val="16"/>
                <w:szCs w:val="16"/>
                <w:color w:val="auto"/>
              </w:rPr>
            </w:pPr>
          </w:p>
        </w:tc>
        <w:tc>
          <w:tcPr>
            <w:tcW w:w="3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(277,370)</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w:t>
            </w:r>
          </w:p>
        </w:tc>
        <w:tc>
          <w:tcPr>
            <w:tcW w:w="3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(35,439)</w:t>
            </w:r>
          </w:p>
        </w:tc>
      </w:tr>
      <w:tr>
        <w:trPr>
          <w:trHeight w:val="210"/>
        </w:trPr>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(310,961)</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(309,742)</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(312,809)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-582295</wp:posOffset>
            </wp:positionV>
            <wp:extent cx="71323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-307975</wp:posOffset>
            </wp:positionV>
            <wp:extent cx="7132320"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920" w:space="720"/>
            <w:col w:w="4600"/>
          </w:cols>
          <w:pgMar w:left="320" w:top="765" w:right="339" w:bottom="1440" w:gutter="0" w:footer="0" w:header="0"/>
          <w:type w:val="continuous"/>
        </w:sect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Internal Revenue Service ("IRS") concluded their examination of the Company for the period ended December 31, 2018 related to the Company's 2018 research and development tax credits ("R&amp;D Credit(s)"). The Company has adjusted its 2018 R&amp;D Credits and its overall federal and state R&amp;D Credit carryforward balance from the Company's inception to December 31, 2025 to account for the conclusions drawn by the IRS. Also, the Company has reviewed each of its overall filing positions since inception and has not identified any additional positions that do not meet the more likely than not threshold. The Company does not anticipate a material change to its uncertain tax position reserves in the next 12 months. The changes in the Company's unrecognized tax benefits for the years ended December 31, 2025, 2024, and 2023 were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80" w:type="dxa"/>
            <w:vAlign w:val="bottom"/>
            <w:shd w:val="clear" w:color="auto" w:fill="CFF0FC"/>
          </w:tcPr>
          <w:p>
            <w:pPr>
              <w:spacing w:after="0"/>
              <w:rPr>
                <w:sz w:val="18"/>
                <w:szCs w:val="18"/>
                <w:color w:val="auto"/>
              </w:rPr>
            </w:pPr>
          </w:p>
        </w:tc>
      </w:tr>
      <w:tr>
        <w:trPr>
          <w:trHeight w:val="198"/>
        </w:trPr>
        <w:tc>
          <w:tcPr>
            <w:tcW w:w="52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Increase in unrecognized tax benefits as a result of tax positions taken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during the year</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20"/>
                <w:szCs w:val="20"/>
                <w:color w:val="auto"/>
              </w:rPr>
            </w:pPr>
          </w:p>
        </w:tc>
      </w:tr>
      <w:tr>
        <w:trPr>
          <w:trHeight w:val="198"/>
        </w:trPr>
        <w:tc>
          <w:tcPr>
            <w:tcW w:w="52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(Decrease) in unrecognized tax benefits as a result of tax positions</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taken</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during the year</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Reduction to unrecognized tax benefits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80" w:type="dxa"/>
            <w:vAlign w:val="bottom"/>
            <w:shd w:val="clear" w:color="auto" w:fill="CFF0FC"/>
          </w:tcPr>
          <w:p>
            <w:pPr>
              <w:spacing w:after="0"/>
              <w:rPr>
                <w:sz w:val="19"/>
                <w:szCs w:val="19"/>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-25400</wp:posOffset>
            </wp:positionV>
            <wp:extent cx="514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51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not yet conducted a study of its research and development credit carry forwards. This study may result in further adjustment to the Company’s R&amp;D Credits; however, a full valuation allowance has been provided against the Company’s R&amp;D Credits, and if an adjustment is required, this adjustment would be offset by an adjustment to the valuation allowance. Thus, there would be no impact to the consolidated balance sheets or statements of operations if an adjustment were required. The Company had no other unrecognized tax benefits accrued for the years ended December 31, 2025 and 2024, or related interest and penalties as of such dates. The Company will recognize any interest and penalties related to uncertain tax positions in income tax expense.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2011 to present. All years may be examined to the extent the tax credit or net operating loss carryforwards are used in future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1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Nature of the Business and Basis of Presentation</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September 2024, the Company sold the VOWST Business, including inventory and equipment, certain patents and patent applications, know-how, trade secrets, trademarks, domain names, marketing authorizations and related rights, documents, materials, business records and data and contracts that are used or held for use primarily in the development, commercialization and manufacturing of VOWST, to SPN, and SPN assumed certain liabilities from the Company. As consideration for the Transaction, the Company received an upfront cash payment of $139,788, which consists of $100,000, less $17,857 owed by the Company to an affiliate of SPN under the prior license agreement between the Company and the SPN affiliate, less approximately $2,355 in satisfaction of fees due under the Bacthera Manufacturing Agreement; plus a prepayment of the $60,000 milestone payment tied to the achievement of worldwide annual net sales of VOWST of $150,000; plus an equity investment of $15,000 based on the Securities Purchase Agreement pursuant to which SPN purchased 714,285 shares of common stock at a purchase price of $21.00 per share.</w:t>
      </w:r>
    </w:p>
    <w:p>
      <w:pPr>
        <w:spacing w:after="0" w:line="8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 xml:space="preserve">For the years ended December 31, 2025 and 2024, the Accrued Liabilities due to SPN - related party on the Company's consolidated balance sheets were $3,278 and $17,750, respectively, which represents amounts due to SPN pursuant to the Purchase Agreement, which are further described in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 During the years ended December 31, 2025 and 2024, the Company paid $8,787 and $9,608, respectively, related to the outstanding liability. The Company also recognized a gain on sale of VOWST Business of $5,685 and $5,684, for the years ended December 31, 2025 and 2024, respectively, as a result of the change in the accrued liabilities due to SPN - related party, primarily as a result of SPN's actual Profit Sharing Payments as compared to the estimate as of the Closing.</w:t>
      </w:r>
    </w:p>
    <w:p>
      <w:pPr>
        <w:spacing w:after="0" w:line="7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As described in Note 3, </w:t>
      </w:r>
      <w:r>
        <w:rPr>
          <w:rFonts w:ascii="Times New Roman" w:cs="Times New Roman" w:eastAsia="Times New Roman" w:hAnsi="Times New Roman"/>
          <w:sz w:val="18"/>
          <w:szCs w:val="18"/>
          <w:i w:val="1"/>
          <w:iCs w:val="1"/>
          <w:color w:val="auto"/>
        </w:rPr>
        <w:t>Discontinued Operations and TSA</w:t>
      </w:r>
      <w:r>
        <w:rPr>
          <w:rFonts w:ascii="Times New Roman" w:cs="Times New Roman" w:eastAsia="Times New Roman" w:hAnsi="Times New Roman"/>
          <w:sz w:val="18"/>
          <w:szCs w:val="18"/>
          <w:color w:val="auto"/>
        </w:rPr>
        <w:t>, the Company entered into the TSA with NESA, an affiliate of SPN, in connection with the Transaction, through which the Company provided certain manufacturing services until December 31, 2025, and other transition services, for the duration specified in the schedule to the TSA for each service. For the years ended December 31, 2025 and 2024, the Company recognized $13,311 and $6,292 of TSA reimbursement income in other (expense) income, net in the Company’s consolidated statements of operations and comprehensive income (loss). For the years ended December 31, 2025 and 2024, the Company incurred $6,544 and $3,532 of expenses related to manufacturing services and $3,592 and $3,136 of TSA labor and passthrough expenses to support the transition services, including finance and accounting, information technology, human resources, operations, and other services.</w:t>
      </w:r>
    </w:p>
    <w:p>
      <w:pPr>
        <w:spacing w:after="0" w:line="7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$14,897 and $3,724 was billed to NESA related to transition services performed by the Company, and the Company received $91,605 and $1,656 from NESA during the periods including the first installment payment of $50,000 received in January 2025 and the second installment payment of $25,000 received in July 2025 which were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conditioned on the Company's material compliance with obligations under the TSA. The $75,000 of installment payments were recognized in Gain on sale of VOWST Business within continuing operations in the Company's consolidated statements of operation and comprehensive income for the year ended December 31, 2025 as the gain was realizable. As of December 31, 2025, the Company had $360 in accounts receivable due from SPN - related party in the Company’s consolidated balance sheets.</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Nestlé purchase certain manufacturing and laboratory equipment from the Company. The Company received $169 in proceeds from the sale, which is recognized in Other income (expense), net in the Company's consolidated statements of operations and comprehensive income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401(k) Savings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IRC. This plan covers substantially all employees who meet minimum age and service requirements and allows participants to defer a portion of their annual compensation on a pre-tax basis. Effective January 1, 2016, the Company elected to match 50% of the first 6% of an employee’s deferral. Company contributions are expensed in the year for which they are declared. During the years ended December 31, 2025, 2024, and 2023 the Company recorded expense of $592, $1,068, and $2,003, respectively, for 401(k) match contributions.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Company's interim Chief Executive Officer, who is the Chief Operating Decision Maker ("CODM"), manages and allocates resources to the operations of the Company on a total company basis by assessing the overall level of resources available and how to best deploy these resources across functions and research and development projects that are in line with the Company's long-term company-wide strategic goals. The CODM uses the Company’s consolidated net income (loss) to monitor actual results versus the budget in assessing segment performance and the allocation of resources. The measure of segment assets is reported on the consolidated balance sheets as total assets.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Company's reportable segment net income (loss) for the years ended December 31, 2025, 2024 and 2023, consisted of the following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7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Live biotherapeutics platform</w:t>
            </w: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23,573</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29,006</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43,342</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SER-155</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R&amp;D personnel-related (including stock-based compensation)</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28,689</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65,251</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G&amp;A personnel-related (including stock-based compensation)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Facility-related and other</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on sale of VOWST Business</w:t>
            </w: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(80,685)</w:t>
            </w:r>
          </w:p>
        </w:tc>
        <w:tc>
          <w:tcPr>
            <w:tcW w:w="200" w:type="dxa"/>
            <w:vAlign w:val="bottom"/>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(5,684)</w:t>
            </w:r>
          </w:p>
        </w:tc>
        <w:tc>
          <w:tcPr>
            <w:tcW w:w="180" w:type="dxa"/>
            <w:vAlign w:val="bottom"/>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(income) expense (1)</w:t>
            </w:r>
          </w:p>
        </w:tc>
        <w:tc>
          <w:tcPr>
            <w:tcW w:w="10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(12,191)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(3,722)</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0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2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(125,771)</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 (2)</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76,406</w:t>
            </w:r>
          </w:p>
        </w:tc>
        <w:tc>
          <w:tcPr>
            <w:tcW w:w="100" w:type="dxa"/>
            <w:vAlign w:val="bottom"/>
          </w:tcPr>
          <w:p>
            <w:pPr>
              <w:spacing w:after="0"/>
              <w:rPr>
                <w:sz w:val="18"/>
                <w:szCs w:val="18"/>
                <w:color w:val="auto"/>
              </w:rPr>
            </w:pPr>
          </w:p>
        </w:tc>
      </w:tr>
      <w:tr>
        <w:trPr>
          <w:trHeight w:val="249"/>
        </w:trPr>
        <w:tc>
          <w:tcPr>
            <w:tcW w:w="5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top w:val="single" w:sz="8" w:color="auto"/>
              <w:bottom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-25400</wp:posOffset>
            </wp:positionV>
            <wp:extent cx="768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768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firstLine="8"/>
        <w:spacing w:after="0" w:line="306" w:lineRule="auto"/>
        <w:tabs>
          <w:tab w:leader="none" w:pos="170" w:val="left"/>
        </w:tabs>
        <w:numPr>
          <w:ilvl w:val="0"/>
          <w:numId w:val="7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segment (income) expense includes manufacturing services expenses, research and development expenses on early stage programs, interest income and other (income) expense, net.</w:t>
      </w:r>
    </w:p>
    <w:p>
      <w:pPr>
        <w:spacing w:after="0" w:line="21"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7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See Note 3, </w:t>
      </w:r>
      <w:r>
        <w:rPr>
          <w:rFonts w:ascii="Times New Roman" w:cs="Times New Roman" w:eastAsia="Times New Roman" w:hAnsi="Times New Roman"/>
          <w:sz w:val="17"/>
          <w:szCs w:val="17"/>
          <w:i w:val="1"/>
          <w:iCs w:val="1"/>
          <w:color w:val="auto"/>
        </w:rPr>
        <w:t>Discontinued Operations and TSA</w:t>
      </w:r>
      <w:r>
        <w:rPr>
          <w:rFonts w:ascii="Times New Roman" w:cs="Times New Roman" w:eastAsia="Times New Roman" w:hAnsi="Times New Roman"/>
          <w:sz w:val="17"/>
          <w:szCs w:val="17"/>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Transition</w:t>
      </w:r>
    </w:p>
    <w:p>
      <w:pPr>
        <w:spacing w:after="0" w:line="121"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On February 27, 2026, the Board of Directors (the “Board”) of the Company appointed Richard N. Kender, a current member of the Board, to serve as Executive Chair of the Board and as Interim Chief Executive Officer of the Company, Matthew Henn, Ph.D., the Company’s Chief Scientific Officer, to the additional role of President, and Kelly Brady, M.S., the Company’s Senior Vice President, Clinical Development, to the role of Executive Vice President, Chief Operating Officer, each effective March 2, 2026 (the “Effective Date”).</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a result of the appointment of Mr. Kender as Interim Chief Executive Officer and Dr. Henn as President, Thomas J. DesRosier and Marella Thorell ceased serving as Co-Chief Executive Officers and Co-Presidents of the Company as of the Effective Date. Mr. DesRosier will continue to serve as the Company’s Executive Vice President, Chief Legal Officer, and Ms. Thorell will continue to serve as the Company’s Executive Vice President, Chief Financial Officer.</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capital stock of Seres Therapeutics, Inc. (the “Company,” “we,” “us,” and “our”) and certain provisions of our Restated Certificate of Incorporation, as amended (“Certificate of Incorporation”) and Amended and Restated Bylaws (“Bylaws”) are summaries and are qualified in their entirety by reference to the applicable provisions of our Certificate of Incorporation and Bylaws, which have been publicly filed with the Securities and Exchange Commission. We encourage you to read our Certificate of Incorporation, our Bylaws and the applicable provisions of the General Corporation Law of the State of Delaware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225"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360,000,000 shares of common stock, par value $0.001 per share;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8"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Rights Upon Liquidation. </w:t>
      </w:r>
      <w:r>
        <w:rPr>
          <w:rFonts w:ascii="Times New Roman" w:cs="Times New Roman" w:eastAsia="Times New Roman" w:hAnsi="Times New Roman"/>
          <w:sz w:val="17"/>
          <w:szCs w:val="17"/>
          <w:color w:val="auto"/>
        </w:rPr>
        <w:t>In the event of our liquidation or dissolution, the holders of common stock are entitled to receive proportionately our net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for distribution to stockholders after the payment of all debts and other liabilities and subject to the prior rights of any outstanding preferred stock.</w:t>
      </w:r>
    </w:p>
    <w:p>
      <w:pPr>
        <w:spacing w:after="0" w:line="13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Holders of common stock have no preemptive, subscription, redemption or conversion rights. The rights, preferences and privileges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common stock are subject to and may be adversely affected by the rights of the holders of shares of any series of preferred stock that we may designate and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our board of directors, without action by the stockholders, to issue up to 10,000,000 shares of undesignated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80"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 chairperson of the board,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president (in the absence of a chief executive officer), or by a resolution adopted by a majority of our board of directors.</w:t>
      </w:r>
    </w:p>
    <w:p>
      <w:pPr>
        <w:spacing w:after="0" w:line="15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 advance notice procedures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7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Certificate of Incorporation eliminates the right of stockholders to act by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 meeting.</w:t>
      </w:r>
    </w:p>
    <w:p>
      <w:pPr>
        <w:spacing w:after="0" w:line="1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Our board of directors is divided into three classes. The directors in each class will serve for a three-year term, one class being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7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Our Certificate of Incorporation provides that no member of our board of directors may be removed from office by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 cause and, in addition to any other vote required by law, upon the approval of the holders of at least two-thirds in voting power of the outstanding shares of stock entitled to vote in the election of directors.</w:t>
      </w:r>
    </w:p>
    <w:p>
      <w:pPr>
        <w:spacing w:after="0" w:line="1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Stockholders Not Entitled to Cumulative Voting. </w:t>
      </w:r>
      <w:r>
        <w:rPr>
          <w:rFonts w:ascii="Times New Roman" w:cs="Times New Roman" w:eastAsia="Times New Roman" w:hAnsi="Times New Roman"/>
          <w:sz w:val="18"/>
          <w:szCs w:val="18"/>
          <w:color w:val="auto"/>
        </w:rPr>
        <w:t>Our Certificate of Incorporation does not permit stockholders to cumulate their votes in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Delaware Anti-Takeover Statute. </w:t>
      </w:r>
      <w:r>
        <w:rPr>
          <w:rFonts w:ascii="Times New Roman" w:cs="Times New Roman" w:eastAsia="Times New Roman" w:hAnsi="Times New Roman"/>
          <w:sz w:val="18"/>
          <w:szCs w:val="18"/>
          <w:color w:val="auto"/>
        </w:rPr>
        <w:t>We are subject to Section 203 of the General Corporation Law of the State of Delaware, which prohibits persons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Certificate of Incorporation provides that, unless we consent in writing to the selection of an alternative form, the Court of Chancery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Certificate of Incorporation or Bylaws; or (4) any action asserting a claim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will be deemed to have notice of and to have consented to these choice of forum provisions. It is possible that a court of law could find the choice of forum provisions contained in our Certificate of Incorporation or Bylaws to be inapplicable or unenforceable if challenged in a proceeding or otherwise.</w:t>
      </w:r>
    </w:p>
    <w:p>
      <w:pPr>
        <w:spacing w:after="0" w:line="18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Certificate of Incorporation. </w:t>
      </w:r>
      <w:r>
        <w:rPr>
          <w:rFonts w:ascii="Times New Roman" w:cs="Times New Roman" w:eastAsia="Times New Roman" w:hAnsi="Times New Roman"/>
          <w:sz w:val="18"/>
          <w:szCs w:val="18"/>
          <w:color w:val="auto"/>
        </w:rPr>
        <w:t>The amendment of any of the above provisions in our Certificate of Incorporation, except for the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ind w:left="10020"/>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Amended and Restated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the date of last signature below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between Seres Therapeutics, Inc., a Delaware corporation (together with any successor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Kelly Brady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or individually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left="760" w:hanging="752"/>
        <w:spacing w:after="0" w:line="239" w:lineRule="auto"/>
        <w:tabs>
          <w:tab w:leader="none" w:pos="44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desire of the Company to assure itself of the services of Executive as of the Effective Date and thereafter by entering into this Agreement, which shall supersede and replace any prior employment arrangement, including, but not limited to, the Employment Agreement, dated as of August 16, 2023 by and between the Company and Executive (the “Prior Agreement”).</w:t>
      </w:r>
    </w:p>
    <w:p>
      <w:pPr>
        <w:spacing w:after="0" w:line="180" w:lineRule="exact"/>
        <w:rPr>
          <w:rFonts w:ascii="Times New Roman" w:cs="Times New Roman" w:eastAsia="Times New Roman" w:hAnsi="Times New Roman"/>
          <w:sz w:val="22"/>
          <w:szCs w:val="22"/>
          <w:color w:val="auto"/>
        </w:rPr>
      </w:pPr>
    </w:p>
    <w:p>
      <w:pPr>
        <w:ind w:left="760" w:right="20" w:hanging="752"/>
        <w:spacing w:after="0" w:line="258" w:lineRule="auto"/>
        <w:tabs>
          <w:tab w:leader="none" w:pos="44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and the Company mutually desire that Executive continue to be employed by the Company on the terms herein provided.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hereto agree as follows:</w:t>
      </w:r>
    </w:p>
    <w:p>
      <w:pPr>
        <w:spacing w:after="0" w:line="154"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firstLine="757"/>
        <w:spacing w:after="0" w:line="258" w:lineRule="auto"/>
        <w:tabs>
          <w:tab w:leader="none" w:pos="101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Effective as of the Effective Date, Executive shall remain in the employ of the Company, for the period and in the positions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and subject to the other terms and conditions herein provided.</w:t>
      </w:r>
    </w:p>
    <w:p>
      <w:pPr>
        <w:spacing w:after="0" w:line="158"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shall commence on the Effective Date and end on the date this Agreement is terminated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19"/>
          <w:szCs w:val="19"/>
          <w:color w:val="auto"/>
        </w:rPr>
      </w:pPr>
    </w:p>
    <w:p>
      <w:pPr>
        <w:jc w:val="both"/>
        <w:ind w:firstLine="757"/>
        <w:spacing w:after="0" w:line="239" w:lineRule="auto"/>
        <w:tabs>
          <w:tab w:leader="none" w:pos="101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Positions and Duties</w:t>
      </w:r>
      <w:r>
        <w:rPr>
          <w:rFonts w:ascii="Times New Roman" w:cs="Times New Roman" w:eastAsia="Times New Roman" w:hAnsi="Times New Roman"/>
          <w:sz w:val="22"/>
          <w:szCs w:val="22"/>
          <w:color w:val="auto"/>
        </w:rPr>
        <w:t>. During the Term, Executive shall serve as Senior Vice President, Clinical Development of the Company, initially reporting directly to the Chief Executive Officer (“</w:t>
      </w:r>
      <w:r>
        <w:rPr>
          <w:rFonts w:ascii="Times New Roman" w:cs="Times New Roman" w:eastAsia="Times New Roman" w:hAnsi="Times New Roman"/>
          <w:sz w:val="22"/>
          <w:szCs w:val="22"/>
          <w:u w:val="single" w:color="auto"/>
          <w:color w:val="auto"/>
        </w:rPr>
        <w:t>Supervisor</w:t>
      </w:r>
      <w:r>
        <w:rPr>
          <w:rFonts w:ascii="Times New Roman" w:cs="Times New Roman" w:eastAsia="Times New Roman" w:hAnsi="Times New Roman"/>
          <w:sz w:val="22"/>
          <w:szCs w:val="22"/>
          <w:color w:val="auto"/>
        </w:rPr>
        <w:t>” or “CEO”) of the Company, with such responsibilities, duties and authority normally associated with such positions and as may from time to time be assigned to Executive by the Supervisor or such other Company officer may determine. Executive shall devote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42" w:name="page143"/>
    <w:bookmarkEnd w:id="142"/>
    <w:p>
      <w:pPr>
        <w:jc w:val="both"/>
        <w:spacing w:after="0" w:line="235" w:lineRule="auto"/>
        <w:rPr>
          <w:sz w:val="20"/>
          <w:szCs w:val="20"/>
          <w:color w:val="auto"/>
        </w:rPr>
      </w:pPr>
      <w:r>
        <w:rPr>
          <w:rFonts w:ascii="Times New Roman" w:cs="Times New Roman" w:eastAsia="Times New Roman" w:hAnsi="Times New Roman"/>
          <w:sz w:val="22"/>
          <w:szCs w:val="22"/>
          <w:color w:val="auto"/>
        </w:rPr>
        <w:t>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as set forth in writing, and as delivered or made available to Executive (each, a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Related Matters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Executive shall receive a base salary at a rate of $414,300 per annum, which shall be paid in accordance with the customary payroll practices of the Company and shall be pro-rated for partial years of employment. Such annual base salary shall be reviewed (and may be adjusted) from time to time by the Company (such annual base salary, as it may be adjusted from time to time,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0"/>
          <w:szCs w:val="20"/>
          <w:color w:val="auto"/>
        </w:rPr>
      </w:pPr>
    </w:p>
    <w:p>
      <w:pPr>
        <w:jc w:val="both"/>
        <w:ind w:firstLine="757"/>
        <w:spacing w:after="0" w:line="235" w:lineRule="auto"/>
        <w:tabs>
          <w:tab w:leader="none" w:pos="101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During the Term, Executive will be eligible to participate in an annual incentive program established by the Board of Directors of the Company or an authorized committee of the Board (in either case,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Executive’s annual incentive compensation under such incentive program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shall be targeted at 35% of Executive’s Annual Base Salary (such target, as may be adjusted by the Board from time to time,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xml:space="preserve">”). The Annual Bonus payable under the incentive program shall be based on the achievement of performance goals to be determined by the Board and may be pro-rated for any partial year of employment. The payment of any Annual Bonus pursuant to the incentive program shall be subject to Executive’s continued employment with the Company through the date of payment, except as otherwise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4(b)</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xml:space="preserve">. During the Term, Executive shall be eligible to participate in employee benefit plans, programs and arrangements of the Company (including medical, dental and 401(k) plans),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w:t>
      </w:r>
    </w:p>
    <w:p>
      <w:pPr>
        <w:spacing w:after="0" w:line="176" w:lineRule="exact"/>
        <w:rPr>
          <w:rFonts w:ascii="Times New Roman" w:cs="Times New Roman" w:eastAsia="Times New Roman" w:hAnsi="Times New Roman"/>
          <w:sz w:val="20"/>
          <w:szCs w:val="20"/>
          <w:color w:val="auto"/>
        </w:rPr>
      </w:pPr>
    </w:p>
    <w:p>
      <w:pPr>
        <w:ind w:right="20" w:firstLine="757"/>
        <w:spacing w:after="0" w:line="258" w:lineRule="auto"/>
        <w:tabs>
          <w:tab w:leader="none" w:pos="101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During the Term, Executive shall be entitled to paid personal leave in accordance with the Company’s Policies. Any vacation shall be taken at the reasonable and mutual convenience of the Company and Executive.</w:t>
      </w:r>
    </w:p>
    <w:p>
      <w:pPr>
        <w:spacing w:after="0" w:line="15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ind w:firstLine="757"/>
        <w:spacing w:after="0" w:line="235"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Key Person Insurance</w:t>
      </w:r>
      <w:r>
        <w:rPr>
          <w:rFonts w:ascii="Times New Roman" w:cs="Times New Roman" w:eastAsia="Times New Roman" w:hAnsi="Times New Roman"/>
          <w:sz w:val="22"/>
          <w:szCs w:val="22"/>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83" w:lineRule="exact"/>
        <w:rPr>
          <w:rFonts w:ascii="Times New Roman" w:cs="Times New Roman" w:eastAsia="Times New Roman" w:hAnsi="Times New Roman"/>
          <w:sz w:val="20"/>
          <w:szCs w:val="20"/>
          <w:color w:val="auto"/>
        </w:rPr>
      </w:pPr>
    </w:p>
    <w:p>
      <w:pPr>
        <w:ind w:right="80" w:firstLine="757"/>
        <w:spacing w:after="0" w:line="235"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approval by the Board, the Company will grant Executive, under the Company’s 2015 Incentive Award Plan (the “Plan”), an award of 75,000 restricted stock units (the “RSUs”) under the Plan (subject to adjustment for corporate events as set forth in the Plan), which will vest 100% on September 30, 2025, subject to Executive’s continued service to the Company. In all respects, the RSUs will be governed by and subject to the terms of the Plan and a separate RSU award agreement to be entered into between Executive and the Company. Further, for sake of clarity, any stock options and RSUs issued to Executive during their employment with Company, prior to signing this Agreement, will continue to vest in accordance with the existing option and RSU agreements executed by Executive and Company.</w:t>
      </w:r>
    </w:p>
    <w:p>
      <w:pPr>
        <w:spacing w:after="0" w:line="183" w:lineRule="exact"/>
        <w:rPr>
          <w:rFonts w:ascii="Times New Roman" w:cs="Times New Roman" w:eastAsia="Times New Roman" w:hAnsi="Times New Roman"/>
          <w:sz w:val="20"/>
          <w:szCs w:val="20"/>
          <w:color w:val="auto"/>
        </w:rPr>
      </w:pPr>
    </w:p>
    <w:p>
      <w:pPr>
        <w:ind w:firstLine="757"/>
        <w:spacing w:after="0" w:line="244"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Executive will be paid a one-time retention bonus of $200,000 (the “Retention Bonus”), which shall be paid in two equal installments of $100,000 each on June 30, 2025 and December 30, 2025, subject to Executive’s continued service to the Company.</w:t>
      </w:r>
    </w:p>
    <w:p>
      <w:pPr>
        <w:spacing w:after="0" w:line="169"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58" w:lineRule="exact"/>
        <w:rPr>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Circumstances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Death</w:t>
      </w:r>
      <w:r>
        <w:rPr>
          <w:rFonts w:ascii="Times New Roman" w:cs="Times New Roman" w:eastAsia="Times New Roman" w:hAnsi="Times New Roman"/>
          <w:sz w:val="22"/>
          <w:szCs w:val="22"/>
          <w:color w:val="auto"/>
        </w:rPr>
        <w:t>. Executive’s employment hereunder shall terminate upon Executive’s death.</w:t>
      </w:r>
    </w:p>
    <w:p>
      <w:pPr>
        <w:spacing w:after="0" w:line="206" w:lineRule="exact"/>
        <w:rPr>
          <w:rFonts w:ascii="Times New Roman" w:cs="Times New Roman" w:eastAsia="Times New Roman" w:hAnsi="Times New Roman"/>
          <w:sz w:val="20"/>
          <w:szCs w:val="20"/>
          <w:color w:val="auto"/>
        </w:rPr>
      </w:pPr>
    </w:p>
    <w:p>
      <w:pPr>
        <w:ind w:left="760" w:firstLine="745"/>
        <w:spacing w:after="0" w:line="262" w:lineRule="auto"/>
        <w:tabs>
          <w:tab w:leader="none" w:pos="204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Disability</w:t>
      </w:r>
      <w:r>
        <w:rPr>
          <w:rFonts w:ascii="Times New Roman" w:cs="Times New Roman" w:eastAsia="Times New Roman" w:hAnsi="Times New Roman"/>
          <w:sz w:val="22"/>
          <w:szCs w:val="22"/>
          <w:color w:val="auto"/>
        </w:rPr>
        <w:t>. If Executive has incurred a Disability, as defined below, the Company may terminate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w:t>
      </w:r>
    </w:p>
    <w:p>
      <w:pPr>
        <w:spacing w:after="0" w:line="14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Termination for Cause</w:t>
      </w:r>
      <w:r>
        <w:rPr>
          <w:rFonts w:ascii="Times New Roman" w:cs="Times New Roman" w:eastAsia="Times New Roman" w:hAnsi="Times New Roman"/>
          <w:sz w:val="22"/>
          <w:szCs w:val="22"/>
          <w:color w:val="auto"/>
        </w:rPr>
        <w:t>.  The Company may terminate Executive’s employment for Cause, as defined</w:t>
      </w:r>
    </w:p>
    <w:p>
      <w:pPr>
        <w:spacing w:after="0" w:line="18"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below.</w:t>
      </w:r>
    </w:p>
    <w:p>
      <w:pPr>
        <w:spacing w:after="0" w:line="17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Termination without Cause</w:t>
      </w:r>
      <w:r>
        <w:rPr>
          <w:rFonts w:ascii="Times New Roman" w:cs="Times New Roman" w:eastAsia="Times New Roman" w:hAnsi="Times New Roman"/>
          <w:sz w:val="22"/>
          <w:szCs w:val="22"/>
          <w:color w:val="auto"/>
        </w:rPr>
        <w:t>. The Company may terminate Executive’s employment without Cause.</w:t>
      </w:r>
    </w:p>
    <w:p>
      <w:pPr>
        <w:spacing w:after="0" w:line="206" w:lineRule="exact"/>
        <w:rPr>
          <w:rFonts w:ascii="Times New Roman" w:cs="Times New Roman" w:eastAsia="Times New Roman" w:hAnsi="Times New Roman"/>
          <w:sz w:val="20"/>
          <w:szCs w:val="20"/>
          <w:color w:val="auto"/>
        </w:rPr>
      </w:pPr>
    </w:p>
    <w:p>
      <w:pPr>
        <w:ind w:left="760" w:firstLine="745"/>
        <w:spacing w:after="0" w:line="262" w:lineRule="auto"/>
        <w:tabs>
          <w:tab w:leader="none" w:pos="204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Resignation from the Company for Good Reason. </w:t>
      </w:r>
      <w:r>
        <w:rPr>
          <w:rFonts w:ascii="Times New Roman" w:cs="Times New Roman" w:eastAsia="Times New Roman" w:hAnsi="Times New Roman"/>
          <w:sz w:val="22"/>
          <w:szCs w:val="22"/>
          <w:color w:val="auto"/>
        </w:rPr>
        <w:t>Executive may resign Executive’s employment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for Good Reason, as defined below.</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ind w:left="760" w:firstLine="745"/>
        <w:spacing w:after="0" w:line="262" w:lineRule="auto"/>
        <w:tabs>
          <w:tab w:leader="none" w:pos="2048"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Resignation from the Company Without Good Reason</w:t>
      </w:r>
      <w:r>
        <w:rPr>
          <w:rFonts w:ascii="Times New Roman" w:cs="Times New Roman" w:eastAsia="Times New Roman" w:hAnsi="Times New Roman"/>
          <w:sz w:val="22"/>
          <w:szCs w:val="22"/>
          <w:color w:val="auto"/>
        </w:rPr>
        <w:t>. Executive may resign Executive’s employment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Company for any reason other than Good Reason or for no reason.</w:t>
      </w:r>
    </w:p>
    <w:p>
      <w:pPr>
        <w:spacing w:after="0" w:line="153"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Any termination of Executive’s employment by the Company or by Executive under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(other than termination pursuant to paragraph (a)(i)) shall be communicated by a written notice to the other Party hereto</w:t>
      </w:r>
    </w:p>
    <w:p>
      <w:pPr>
        <w:jc w:val="both"/>
        <w:ind w:firstLine="8"/>
        <w:spacing w:after="0" w:line="231" w:lineRule="auto"/>
        <w:tabs>
          <w:tab w:leader="none" w:pos="26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forty-five (45) days following the date of such notice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in its sole discretion. The failure by the Company to set forth in the Notice of Termination any fact or circumstance which contributes to a showing of Cause shall not waive any right of the Company hereunder or preclude the Company from asserting such fact or circumstance in enforcing the Company’s rights hereunder.</w:t>
      </w:r>
    </w:p>
    <w:p>
      <w:pPr>
        <w:spacing w:after="0" w:line="186"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Company Obligations upon Termination</w:t>
      </w:r>
      <w:r>
        <w:rPr>
          <w:rFonts w:ascii="Times New Roman" w:cs="Times New Roman" w:eastAsia="Times New Roman" w:hAnsi="Times New Roman"/>
          <w:sz w:val="22"/>
          <w:szCs w:val="22"/>
          <w:color w:val="auto"/>
        </w:rPr>
        <w:t xml:space="preserve">. Upon termination of Executive’s employment pursuant to any of the circumstances listed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 Except as otherwise expressly required by law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as applicable.</w:t>
      </w:r>
    </w:p>
    <w:p>
      <w:pPr>
        <w:spacing w:after="0" w:line="187" w:lineRule="exact"/>
        <w:rPr>
          <w:rFonts w:ascii="Times New Roman" w:cs="Times New Roman" w:eastAsia="Times New Roman" w:hAnsi="Times New Roman"/>
          <w:sz w:val="20"/>
          <w:szCs w:val="20"/>
          <w:color w:val="auto"/>
        </w:rPr>
      </w:pPr>
    </w:p>
    <w:p>
      <w:pPr>
        <w:ind w:firstLine="757"/>
        <w:spacing w:after="0" w:line="258" w:lineRule="auto"/>
        <w:tabs>
          <w:tab w:leader="none" w:pos="101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Upon termination of Executive’s employment for any reason, Executive shall be deemed to have resigned from all offices and directorships, if any, then held with the Company or any of its subsidiaries.</w:t>
      </w:r>
    </w:p>
    <w:p>
      <w:pPr>
        <w:spacing w:after="0" w:line="154"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Payments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right="20" w:firstLine="757"/>
        <w:spacing w:after="0" w:line="244" w:lineRule="auto"/>
        <w:tabs>
          <w:tab w:leader="none" w:pos="101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for Cause, or Termination Upon Death, Disability or Resignation from the Company Without Good Reason</w:t>
      </w:r>
      <w:r>
        <w:rPr>
          <w:rFonts w:ascii="Times New Roman" w:cs="Times New Roman" w:eastAsia="Times New Roman" w:hAnsi="Times New Roman"/>
          <w:sz w:val="22"/>
          <w:szCs w:val="22"/>
          <w:color w:val="auto"/>
        </w:rPr>
        <w:t xml:space="preserve">. If Executive’s employment shall terminate as a result of Executive’s death pursuant to </w:t>
      </w:r>
      <w:r>
        <w:rPr>
          <w:rFonts w:ascii="Times New Roman" w:cs="Times New Roman" w:eastAsia="Times New Roman" w:hAnsi="Times New Roman"/>
          <w:sz w:val="22"/>
          <w:szCs w:val="22"/>
          <w:u w:val="single" w:color="auto"/>
          <w:color w:val="auto"/>
        </w:rPr>
        <w:t>Section 3(a)(i)</w:t>
      </w:r>
      <w:r>
        <w:rPr>
          <w:rFonts w:ascii="Times New Roman" w:cs="Times New Roman" w:eastAsia="Times New Roman" w:hAnsi="Times New Roman"/>
          <w:sz w:val="22"/>
          <w:szCs w:val="22"/>
          <w:color w:val="auto"/>
        </w:rPr>
        <w:t xml:space="preserve"> or Disability pursuant to </w:t>
      </w:r>
      <w:r>
        <w:rPr>
          <w:rFonts w:ascii="Times New Roman" w:cs="Times New Roman" w:eastAsia="Times New Roman" w:hAnsi="Times New Roman"/>
          <w:sz w:val="22"/>
          <w:szCs w:val="22"/>
          <w:u w:val="single" w:color="auto"/>
          <w:color w:val="auto"/>
        </w:rPr>
        <w:t>Section 3(a)(ii)</w:t>
      </w:r>
      <w:r>
        <w:rPr>
          <w:rFonts w:ascii="Times New Roman" w:cs="Times New Roman" w:eastAsia="Times New Roman" w:hAnsi="Times New Roman"/>
          <w:sz w:val="22"/>
          <w:szCs w:val="22"/>
          <w:color w:val="auto"/>
        </w:rPr>
        <w:t>, pursuant to</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5" w:name="page146"/>
    <w:bookmarkEnd w:id="145"/>
    <w:p>
      <w:pPr>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3(a)(iii)</w:t>
      </w:r>
      <w:r>
        <w:rPr>
          <w:rFonts w:ascii="Times New Roman" w:cs="Times New Roman" w:eastAsia="Times New Roman" w:hAnsi="Times New Roman"/>
          <w:sz w:val="22"/>
          <w:szCs w:val="22"/>
          <w:color w:val="auto"/>
        </w:rPr>
        <w:t xml:space="preserve"> for Cause, or pursuant to </w:t>
      </w:r>
      <w:r>
        <w:rPr>
          <w:rFonts w:ascii="Times New Roman" w:cs="Times New Roman" w:eastAsia="Times New Roman" w:hAnsi="Times New Roman"/>
          <w:sz w:val="22"/>
          <w:szCs w:val="22"/>
          <w:u w:val="single" w:color="auto"/>
          <w:color w:val="auto"/>
        </w:rPr>
        <w:t>Section 3(a)(vi)</w:t>
      </w:r>
      <w:r>
        <w:rPr>
          <w:rFonts w:ascii="Times New Roman" w:cs="Times New Roman" w:eastAsia="Times New Roman" w:hAnsi="Times New Roman"/>
          <w:sz w:val="22"/>
          <w:szCs w:val="22"/>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57"/>
        <w:spacing w:after="0" w:line="236" w:lineRule="auto"/>
        <w:tabs>
          <w:tab w:leader="none" w:pos="101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without Cause, or Resignation from the Company for Good Reason</w:t>
      </w:r>
      <w:r>
        <w:rPr>
          <w:rFonts w:ascii="Times New Roman" w:cs="Times New Roman" w:eastAsia="Times New Roman" w:hAnsi="Times New Roman"/>
          <w:sz w:val="22"/>
          <w:szCs w:val="22"/>
          <w:color w:val="auto"/>
        </w:rPr>
        <w:t xml:space="preserve">. If Executive’s employment terminates without Cause pursuant to </w:t>
      </w:r>
      <w:r>
        <w:rPr>
          <w:rFonts w:ascii="Times New Roman" w:cs="Times New Roman" w:eastAsia="Times New Roman" w:hAnsi="Times New Roman"/>
          <w:sz w:val="22"/>
          <w:szCs w:val="22"/>
          <w:u w:val="single" w:color="auto"/>
          <w:color w:val="auto"/>
        </w:rPr>
        <w:t>Section 3(a)(iv)</w:t>
      </w:r>
      <w:r>
        <w:rPr>
          <w:rFonts w:ascii="Times New Roman" w:cs="Times New Roman" w:eastAsia="Times New Roman" w:hAnsi="Times New Roman"/>
          <w:sz w:val="22"/>
          <w:szCs w:val="22"/>
          <w:color w:val="auto"/>
        </w:rPr>
        <w:t xml:space="preserve">, or pursuant to </w:t>
      </w:r>
      <w:r>
        <w:rPr>
          <w:rFonts w:ascii="Times New Roman" w:cs="Times New Roman" w:eastAsia="Times New Roman" w:hAnsi="Times New Roman"/>
          <w:sz w:val="22"/>
          <w:szCs w:val="22"/>
          <w:u w:val="single" w:color="auto"/>
          <w:color w:val="auto"/>
        </w:rPr>
        <w:t>Section 3(a)(v)</w:t>
      </w:r>
      <w:r>
        <w:rPr>
          <w:rFonts w:ascii="Times New Roman" w:cs="Times New Roman" w:eastAsia="Times New Roman" w:hAnsi="Times New Roman"/>
          <w:sz w:val="22"/>
          <w:szCs w:val="22"/>
          <w:color w:val="auto"/>
        </w:rPr>
        <w:t xml:space="preserve"> due to Executive’s resignation for Good Reason, then, except as otherwise provided by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and subject to Executive signing on or before the 21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day following Executive’s Separation from Service (as defined below), and not revoking, a release of claims substantially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and Executive’s continued compliance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Executive shall receive, in addition to payments and benefits set forth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the following:</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 amount in cash equal to the product of (x) 0.75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(y) the Annual Base Salary, payable in the form of salary continuation in regular installments over the 9-month period following the date of Executive’s Separation from Service (the “</w:t>
      </w:r>
      <w:r>
        <w:rPr>
          <w:rFonts w:ascii="Times New Roman" w:cs="Times New Roman" w:eastAsia="Times New Roman" w:hAnsi="Times New Roman"/>
          <w:sz w:val="22"/>
          <w:szCs w:val="22"/>
          <w:u w:val="single" w:color="auto"/>
          <w:color w:val="auto"/>
        </w:rPr>
        <w:t>Severance Period</w:t>
      </w:r>
      <w:r>
        <w:rPr>
          <w:rFonts w:ascii="Times New Roman" w:cs="Times New Roman" w:eastAsia="Times New Roman" w:hAnsi="Times New Roman"/>
          <w:sz w:val="22"/>
          <w:szCs w:val="22"/>
          <w:color w:val="auto"/>
        </w:rPr>
        <w:t>”) in accordance with the Company’s normal payroll practices;</w:t>
      </w:r>
    </w:p>
    <w:p>
      <w:pPr>
        <w:spacing w:after="0" w:line="173" w:lineRule="exact"/>
        <w:rPr>
          <w:rFonts w:ascii="Times New Roman" w:cs="Times New Roman" w:eastAsia="Times New Roman" w:hAnsi="Times New Roman"/>
          <w:sz w:val="20"/>
          <w:szCs w:val="20"/>
          <w:color w:val="auto"/>
        </w:rPr>
      </w:pPr>
    </w:p>
    <w:p>
      <w:pPr>
        <w:jc w:val="both"/>
        <w:ind w:left="760" w:firstLine="745"/>
        <w:spacing w:after="0" w:line="238" w:lineRule="auto"/>
        <w:tabs>
          <w:tab w:leader="none" w:pos="204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if Executive timely elects to receive continued medical, dental or vision coverage under one or more of the Company’s group healthcare plans pursuant to the Consolidated Omnibus Budget Reconciliation Act of 1985, as amended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which payments shall be made regardless of whether Executive elects COBRA continuation coverage and shall commence in the month following the month in which the Date of Termination occurs and shall end on the earlier of (X) the last day of the Severance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Period, (Y) the date that Executive and/or Executive’s covered dependents become no longer eligible for COBRA or (Z) the date Executive becomes eligible to receive healthcare coverage from a subsequent employer (and Executive agrees to promptly notify the Company of such eligibility).</w:t>
      </w:r>
    </w:p>
    <w:p>
      <w:pPr>
        <w:spacing w:after="0" w:line="173" w:lineRule="exact"/>
        <w:rPr>
          <w:sz w:val="20"/>
          <w:szCs w:val="20"/>
          <w:color w:val="auto"/>
        </w:rPr>
      </w:pPr>
    </w:p>
    <w:p>
      <w:pPr>
        <w:jc w:val="both"/>
        <w:ind w:firstLine="757"/>
        <w:spacing w:after="0" w:line="238" w:lineRule="auto"/>
        <w:tabs>
          <w:tab w:leader="none" w:pos="10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In lieu of the payments and benefits set forth in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in the event Executive’s employment terminates without Cause pursuant to </w:t>
      </w:r>
      <w:r>
        <w:rPr>
          <w:rFonts w:ascii="Times New Roman" w:cs="Times New Roman" w:eastAsia="Times New Roman" w:hAnsi="Times New Roman"/>
          <w:sz w:val="22"/>
          <w:szCs w:val="22"/>
          <w:u w:val="single" w:color="auto"/>
          <w:color w:val="auto"/>
        </w:rPr>
        <w:t>Section 3(a)(iv)</w:t>
      </w:r>
      <w:r>
        <w:rPr>
          <w:rFonts w:ascii="Times New Roman" w:cs="Times New Roman" w:eastAsia="Times New Roman" w:hAnsi="Times New Roman"/>
          <w:sz w:val="22"/>
          <w:szCs w:val="22"/>
          <w:color w:val="auto"/>
        </w:rPr>
        <w:t xml:space="preserve">, or pursuant to </w:t>
      </w:r>
      <w:r>
        <w:rPr>
          <w:rFonts w:ascii="Times New Roman" w:cs="Times New Roman" w:eastAsia="Times New Roman" w:hAnsi="Times New Roman"/>
          <w:sz w:val="22"/>
          <w:szCs w:val="22"/>
          <w:u w:val="single" w:color="auto"/>
          <w:color w:val="auto"/>
        </w:rPr>
        <w:t>Section 3(a)(v)</w:t>
      </w:r>
      <w:r>
        <w:rPr>
          <w:rFonts w:ascii="Times New Roman" w:cs="Times New Roman" w:eastAsia="Times New Roman" w:hAnsi="Times New Roman"/>
          <w:sz w:val="22"/>
          <w:szCs w:val="22"/>
          <w:color w:val="auto"/>
        </w:rPr>
        <w:t xml:space="preserve"> due to Executive’s resignation for Good Reason, in either case, within 60 days prior to or 12 months following the date of a Change in Control, subject to Executive signing on or before the 21st day following Executive’s Separation from Service, and not revoking, the Release, and Executive’s continued compliance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Executive shall receive the following:</w:t>
      </w:r>
    </w:p>
    <w:p>
      <w:pPr>
        <w:spacing w:after="0" w:line="176"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without duplication, the payments and benefits described in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color w:val="auto"/>
        </w:rPr>
      </w:pPr>
    </w:p>
    <w:p>
      <w:pPr>
        <w:ind w:left="760" w:right="240" w:firstLine="745"/>
        <w:spacing w:after="0" w:line="244" w:lineRule="auto"/>
        <w:tabs>
          <w:tab w:leader="none" w:pos="2048"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an amount in cash equal to the product of (x) 0.75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(y) the Target Bonus, payable in a lump sum within thirty (30) days following the later of Executive’s Separation from Service and the date of a Change in Control; and</w:t>
      </w:r>
    </w:p>
    <w:p>
      <w:pPr>
        <w:spacing w:after="0" w:line="173" w:lineRule="exact"/>
        <w:rPr>
          <w:rFonts w:ascii="Times New Roman" w:cs="Times New Roman" w:eastAsia="Times New Roman" w:hAnsi="Times New Roman"/>
          <w:sz w:val="20"/>
          <w:szCs w:val="20"/>
          <w:color w:val="auto"/>
        </w:rPr>
      </w:pPr>
    </w:p>
    <w:p>
      <w:pPr>
        <w:ind w:left="760" w:right="80" w:firstLine="745"/>
        <w:spacing w:after="0" w:line="235" w:lineRule="auto"/>
        <w:tabs>
          <w:tab w:leader="none" w:pos="2048"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all unvested equity or equity-based awards held by Executive under any Company equity compensation plans that vest solely based on the passage of time shall immediately become 100% vested (and if the Date of Termination precedes the Change in Control, all such unvested awards shall remain outstanding and eligible to vest in accordance with this Section 4(c)(iii) if a Change Control occurs within 60 days after the Date of Termination, provided that in no event will any such award remain outstanding beyond the final expiration date of the award set forth in the documents governing such award), with any other equity or equity-based awards (including awards that vest in whole or in part based on the attainment of performance-vesting conditions) being governed by the terms of the applicable award agreement.</w:t>
      </w:r>
    </w:p>
    <w:p>
      <w:pPr>
        <w:spacing w:after="0" w:line="178" w:lineRule="exact"/>
        <w:rPr>
          <w:rFonts w:ascii="Times New Roman" w:cs="Times New Roman" w:eastAsia="Times New Roman" w:hAnsi="Times New Roman"/>
          <w:sz w:val="20"/>
          <w:szCs w:val="20"/>
          <w:color w:val="auto"/>
        </w:rPr>
      </w:pPr>
    </w:p>
    <w:p>
      <w:pPr>
        <w:ind w:left="760" w:right="140" w:firstLine="745"/>
        <w:spacing w:after="0" w:line="258" w:lineRule="auto"/>
        <w:tabs>
          <w:tab w:leader="none" w:pos="2048"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remaining Retention Bonus installments due to Executive if a Termination without Cause or Change in Control occurs prior to the last Retention Bonus installment on December 30, 2025.</w:t>
      </w:r>
    </w:p>
    <w:p>
      <w:pPr>
        <w:spacing w:after="0" w:line="158" w:lineRule="exact"/>
        <w:rPr>
          <w:rFonts w:ascii="Times New Roman" w:cs="Times New Roman" w:eastAsia="Times New Roman" w:hAnsi="Times New Roman"/>
          <w:sz w:val="20"/>
          <w:szCs w:val="20"/>
          <w:color w:val="auto"/>
        </w:rPr>
      </w:pPr>
    </w:p>
    <w:p>
      <w:pPr>
        <w:ind w:firstLine="757"/>
        <w:spacing w:after="0" w:line="258" w:lineRule="auto"/>
        <w:tabs>
          <w:tab w:leader="none" w:pos="10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Notwithstanding anything to the contrary in this Agreement, the provisions of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will survive the termination of Executive’s employment and the termination of the Term.</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ind w:firstLine="8"/>
        <w:spacing w:after="0" w:line="250" w:lineRule="auto"/>
        <w:tabs>
          <w:tab w:leader="none" w:pos="509"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Prior to the effectiveness of this Agreement, Executive has executed and delivered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 Employee Non-Competition, Non-Solicitation, Confidentiality and Assignment Agreement (the “</w:t>
      </w:r>
      <w:r>
        <w:rPr>
          <w:rFonts w:ascii="Times New Roman" w:cs="Times New Roman" w:eastAsia="Times New Roman" w:hAnsi="Times New Roman"/>
          <w:sz w:val="21"/>
          <w:szCs w:val="21"/>
          <w:u w:val="single" w:color="auto"/>
          <w:color w:val="auto"/>
        </w:rPr>
        <w:t>Proprietary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 Agreement</w:t>
      </w:r>
      <w:r>
        <w:rPr>
          <w:rFonts w:ascii="Times New Roman" w:cs="Times New Roman" w:eastAsia="Times New Roman" w:hAnsi="Times New Roman"/>
          <w:sz w:val="21"/>
          <w:szCs w:val="21"/>
          <w:color w:val="auto"/>
        </w:rPr>
        <w:t>”). Executive acknowledges and agrees that Executive continues to be bound by the existing terms of the Proprietary Information Agreement, and nothing in this Agreement affects or modifies the terms of the Proprietary Information Agreement. Executive acknowledges that the provisions of the Proprietary Information Agreement will survive the termination of Executive’s employment and the termination of the Term for the periods set forth in the Proprietary Information Agreement.</w:t>
      </w:r>
    </w:p>
    <w:p>
      <w:pPr>
        <w:spacing w:after="0" w:line="164" w:lineRule="exact"/>
        <w:rPr>
          <w:rFonts w:ascii="Times New Roman" w:cs="Times New Roman" w:eastAsia="Times New Roman" w:hAnsi="Times New Roman"/>
          <w:sz w:val="21"/>
          <w:szCs w:val="21"/>
          <w:b w:val="1"/>
          <w:bCs w:val="1"/>
          <w:color w:val="auto"/>
        </w:rPr>
      </w:pPr>
    </w:p>
    <w:p>
      <w:pPr>
        <w:ind w:left="520" w:hanging="512"/>
        <w:spacing w:after="0"/>
        <w:tabs>
          <w:tab w:leader="none" w:pos="52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Successors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79"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shall have “Cause” to terminate Executive’s employment hereunder upon:</w:t>
      </w:r>
    </w:p>
    <w:p>
      <w:pPr>
        <w:spacing w:after="0" w:line="206"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refusal to (A) substantially perform Executive’s duties with the Company (other than any such failure resulting from Executive’s Disability) or (B) comply with, in any material respect, any of the Company’s Policies;</w:t>
      </w:r>
    </w:p>
    <w:p>
      <w:pPr>
        <w:spacing w:after="0" w:line="173" w:lineRule="exact"/>
        <w:rPr>
          <w:rFonts w:ascii="Times New Roman" w:cs="Times New Roman" w:eastAsia="Times New Roman" w:hAnsi="Times New Roman"/>
          <w:sz w:val="20"/>
          <w:szCs w:val="20"/>
          <w:color w:val="auto"/>
        </w:rPr>
      </w:pPr>
    </w:p>
    <w:p>
      <w:pPr>
        <w:ind w:left="760" w:firstLine="745"/>
        <w:spacing w:after="0" w:line="258" w:lineRule="auto"/>
        <w:tabs>
          <w:tab w:leader="none" w:pos="2048"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Board’s determination that Executive refused in any material respect to carry out or comply with any lawful and reasonable directive of the Board;</w:t>
      </w:r>
    </w:p>
    <w:p>
      <w:pPr>
        <w:spacing w:after="0" w:line="15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material breach of a material provision of this Agreement;</w:t>
      </w:r>
    </w:p>
    <w:p>
      <w:pPr>
        <w:spacing w:after="0" w:line="202" w:lineRule="exact"/>
        <w:rPr>
          <w:rFonts w:ascii="Times New Roman" w:cs="Times New Roman" w:eastAsia="Times New Roman" w:hAnsi="Times New Roman"/>
          <w:sz w:val="20"/>
          <w:szCs w:val="20"/>
          <w:color w:val="auto"/>
        </w:rPr>
      </w:pPr>
    </w:p>
    <w:p>
      <w:pPr>
        <w:ind w:left="760" w:firstLine="745"/>
        <w:spacing w:after="0" w:line="262" w:lineRule="auto"/>
        <w:tabs>
          <w:tab w:leader="none" w:pos="2048"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Executive’s conviction, plea of no contest,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or imposition of unadjudicated probation for any felony or crime involving moral turpitude;</w:t>
      </w:r>
    </w:p>
    <w:p>
      <w:pPr>
        <w:spacing w:after="0" w:line="153"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173" w:lineRule="exact"/>
        <w:rPr>
          <w:rFonts w:ascii="Times New Roman" w:cs="Times New Roman" w:eastAsia="Times New Roman" w:hAnsi="Times New Roman"/>
          <w:sz w:val="20"/>
          <w:szCs w:val="20"/>
          <w:color w:val="auto"/>
        </w:rPr>
      </w:pPr>
    </w:p>
    <w:p>
      <w:pPr>
        <w:ind w:left="760" w:firstLine="745"/>
        <w:spacing w:after="0" w:line="258" w:lineRule="auto"/>
        <w:tabs>
          <w:tab w:leader="none" w:pos="2048"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commission of an act of fraud, embezzlement, misappropriation, willful misconduct, or breach of fiduciary duty against the Company or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22"/>
          <w:szCs w:val="22"/>
          <w:color w:val="auto"/>
        </w:rPr>
        <w:t>any of its affiliates;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provided, however, that Executive’s termination will not be considered for Cause unless and until (a) the Company has provided Executive, within 60 days of the Company’s knowledge of the occurrence of the facts and circumstances underlying the Cause event, written notice stating with reasonable specificity the applicable facts and circumstances underlying such finding of Cause and (b) in the case of alleged Cause under clause (i), (ii) or (iii) of the foregoing definition and to the extent the applicable condition or event is reasonably capable of being cured, Executive shall have failed to cure such condition or event within 30 days after the receipt of such notice.</w:t>
      </w:r>
    </w:p>
    <w:p>
      <w:pPr>
        <w:spacing w:after="0" w:line="181" w:lineRule="exact"/>
        <w:rPr>
          <w:sz w:val="20"/>
          <w:szCs w:val="20"/>
          <w:color w:val="auto"/>
        </w:rPr>
      </w:pPr>
    </w:p>
    <w:p>
      <w:pPr>
        <w:ind w:right="20" w:firstLine="757"/>
        <w:spacing w:after="0" w:line="258" w:lineRule="auto"/>
        <w:tabs>
          <w:tab w:leader="none" w:pos="101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“Change in Control” shall have the meaning set forth in the version of the Seres Therapeutics, Inc. 2015 Incentive Award Plan in effect on the Effective Date.</w:t>
      </w:r>
    </w:p>
    <w:p>
      <w:pPr>
        <w:spacing w:after="0" w:line="158" w:lineRule="exact"/>
        <w:rPr>
          <w:rFonts w:ascii="Times New Roman" w:cs="Times New Roman" w:eastAsia="Times New Roman" w:hAnsi="Times New Roman"/>
          <w:sz w:val="20"/>
          <w:szCs w:val="20"/>
          <w:color w:val="auto"/>
        </w:rPr>
      </w:pPr>
    </w:p>
    <w:p>
      <w:pPr>
        <w:ind w:right="20" w:firstLine="757"/>
        <w:spacing w:after="0" w:line="258" w:lineRule="auto"/>
        <w:tabs>
          <w:tab w:leader="none" w:pos="101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“Code” shall mean the Internal Revenue Code of 1986, as amended, and the regulations and guidance promulgated thereunder.</w:t>
      </w:r>
    </w:p>
    <w:p>
      <w:pPr>
        <w:spacing w:after="0" w:line="158" w:lineRule="exact"/>
        <w:rPr>
          <w:rFonts w:ascii="Times New Roman" w:cs="Times New Roman" w:eastAsia="Times New Roman" w:hAnsi="Times New Roman"/>
          <w:sz w:val="20"/>
          <w:szCs w:val="20"/>
          <w:color w:val="auto"/>
        </w:rPr>
      </w:pPr>
    </w:p>
    <w:p>
      <w:pPr>
        <w:jc w:val="both"/>
        <w:ind w:firstLine="757"/>
        <w:spacing w:after="0" w:line="261" w:lineRule="auto"/>
        <w:tabs>
          <w:tab w:leader="none" w:pos="1018"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1"/>
          <w:szCs w:val="21"/>
          <w:u w:val="single" w:color="auto"/>
          <w:color w:val="auto"/>
        </w:rPr>
        <w:t>Section 3(a)(ii) – (vi)</w:t>
      </w:r>
      <w:r>
        <w:rPr>
          <w:rFonts w:ascii="Times New Roman" w:cs="Times New Roman" w:eastAsia="Times New Roman" w:hAnsi="Times New Roman"/>
          <w:sz w:val="21"/>
          <w:szCs w:val="21"/>
          <w:color w:val="auto"/>
        </w:rPr>
        <w:t xml:space="preserve"> either the date indicated in the Notice of Termination or the date specified by the Company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whichever is earlier.</w:t>
      </w:r>
    </w:p>
    <w:p>
      <w:pPr>
        <w:spacing w:after="0" w:line="157" w:lineRule="exact"/>
        <w:rPr>
          <w:rFonts w:ascii="Times New Roman" w:cs="Times New Roman" w:eastAsia="Times New Roman" w:hAnsi="Times New Roman"/>
          <w:sz w:val="19"/>
          <w:szCs w:val="19"/>
          <w:color w:val="auto"/>
        </w:rPr>
      </w:pPr>
    </w:p>
    <w:p>
      <w:pPr>
        <w:jc w:val="both"/>
        <w:ind w:firstLine="757"/>
        <w:spacing w:after="0" w:line="233" w:lineRule="auto"/>
        <w:tabs>
          <w:tab w:leader="none" w:pos="101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84" w:lineRule="exact"/>
        <w:rPr>
          <w:rFonts w:ascii="Times New Roman" w:cs="Times New Roman" w:eastAsia="Times New Roman" w:hAnsi="Times New Roman"/>
          <w:sz w:val="20"/>
          <w:szCs w:val="20"/>
          <w:color w:val="auto"/>
        </w:rPr>
      </w:pPr>
    </w:p>
    <w:p>
      <w:pPr>
        <w:jc w:val="both"/>
        <w:ind w:firstLine="757"/>
        <w:spacing w:after="0" w:line="235" w:lineRule="auto"/>
        <w:tabs>
          <w:tab w:leader="none" w:pos="101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For the sole purpose of determining Executive’s right to severance payments and benefits as described above, Executive’s resignation will be for “Good Reason” if Executive resigns within ninety days after any of the following events, unless Executive consents to the applicable event: (i) a material decrease in Executive’s Annual Base Salary, (ii) a material decrease in Executive’s authority or areas of responsibility as are commensurate with Executive’s title or positions, which shall not include a determination by the Company’s CEO or the Supervisor that Executive will report to another Company officer as contemplated by Section 1(c), (iii) the Company’s material breach of a material provision of this Agreement or another written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spacing w:after="0" w:line="236" w:lineRule="auto"/>
        <w:rPr>
          <w:sz w:val="20"/>
          <w:szCs w:val="20"/>
          <w:color w:val="auto"/>
        </w:rPr>
      </w:pPr>
      <w:r>
        <w:rPr>
          <w:rFonts w:ascii="Times New Roman" w:cs="Times New Roman" w:eastAsia="Times New Roman" w:hAnsi="Times New Roman"/>
          <w:sz w:val="22"/>
          <w:szCs w:val="22"/>
          <w:color w:val="auto"/>
        </w:rPr>
        <w:t>with Executive or (iv) the relocation of Executive’s primary office to a location more than 50 miles from the Boston metropolitan area. Notwithstanding the foregoing, no Good Reason will have occurred unless and until Executive has: (a) provided the Company, within 60 days of Executive’s knowledge of the occurrence of the facts and circumstances underlying the Good Reason event, written notice stating with reasonable specificity the applicable facts and circumstances underlying such finding of Good Reason; (b) provided the Company with an opportunity to cure the same within 30 days after the receipt of such notice; and (c) the Company shall have failed to cure such condition within such 30 day period.</w:t>
      </w:r>
    </w:p>
    <w:p>
      <w:pPr>
        <w:spacing w:after="0" w:line="177"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Parachute Payments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hereof, being hereinafter referred to as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would be subject (in whole or in part)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xml:space="preserve">”), then the Total Payments shall be reduced (in the order provided in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82" w:lineRule="exact"/>
        <w:rPr>
          <w:rFonts w:ascii="Times New Roman" w:cs="Times New Roman" w:eastAsia="Times New Roman" w:hAnsi="Times New Roman"/>
          <w:sz w:val="20"/>
          <w:szCs w:val="20"/>
          <w:color w:val="auto"/>
        </w:rPr>
      </w:pPr>
    </w:p>
    <w:p>
      <w:pPr>
        <w:jc w:val="both"/>
        <w:ind w:firstLine="757"/>
        <w:spacing w:after="0" w:line="235" w:lineRule="auto"/>
        <w:tabs>
          <w:tab w:leader="none" w:pos="1018"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Total Payments shall be reduced in the following order: (i) reduction on a pro-rata basis of any cash severance payments that are exempt from Section 409A of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83" w:lineRule="exact"/>
        <w:rPr>
          <w:rFonts w:ascii="Times New Roman" w:cs="Times New Roman" w:eastAsia="Times New Roman" w:hAnsi="Times New Roman"/>
          <w:sz w:val="20"/>
          <w:szCs w:val="20"/>
          <w:color w:val="auto"/>
        </w:rPr>
      </w:pPr>
    </w:p>
    <w:p>
      <w:pPr>
        <w:jc w:val="both"/>
        <w:ind w:firstLine="757"/>
        <w:spacing w:after="0" w:line="236" w:lineRule="auto"/>
        <w:tabs>
          <w:tab w:leader="none" w:pos="1018"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All determinations regarding the application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be made by an accounting firm or consulting group with experience in performing calculations regarding the applicability of Section 280G of the Code and the Excise Tax selected by the Company (the “</w:t>
      </w:r>
      <w:r>
        <w:rPr>
          <w:rFonts w:ascii="Times New Roman" w:cs="Times New Roman" w:eastAsia="Times New Roman" w:hAnsi="Times New Roman"/>
          <w:sz w:val="22"/>
          <w:szCs w:val="22"/>
          <w:u w:val="single" w:color="auto"/>
          <w:color w:val="auto"/>
        </w:rPr>
        <w:t>Independent Advisors</w:t>
      </w:r>
      <w:r>
        <w:rPr>
          <w:rFonts w:ascii="Times New Roman" w:cs="Times New Roman" w:eastAsia="Times New Roman" w:hAnsi="Times New Roman"/>
          <w:sz w:val="22"/>
          <w:szCs w:val="22"/>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44" w:lineRule="auto"/>
        <w:rPr>
          <w:sz w:val="20"/>
          <w:szCs w:val="20"/>
          <w:color w:val="auto"/>
        </w:rPr>
      </w:pPr>
      <w:r>
        <w:rPr>
          <w:rFonts w:ascii="Times New Roman" w:cs="Times New Roman" w:eastAsia="Times New Roman" w:hAnsi="Times New Roman"/>
          <w:sz w:val="22"/>
          <w:szCs w:val="22"/>
          <w:color w:val="auto"/>
        </w:rPr>
        <w:t>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73" w:lineRule="exact"/>
        <w:rPr>
          <w:sz w:val="20"/>
          <w:szCs w:val="20"/>
          <w:color w:val="auto"/>
        </w:rPr>
      </w:pPr>
    </w:p>
    <w:p>
      <w:pPr>
        <w:ind w:firstLine="757"/>
        <w:spacing w:after="0" w:line="282" w:lineRule="auto"/>
        <w:tabs>
          <w:tab w:leader="none" w:pos="1018"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In the event it is later determined that a greater reduction in the Total Payments should have been made to implement the objective and intent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the excess amount shall be returned promptly by Executive to the Company.</w:t>
      </w:r>
    </w:p>
    <w:p>
      <w:pPr>
        <w:spacing w:after="0" w:line="130" w:lineRule="exact"/>
        <w:rPr>
          <w:rFonts w:ascii="Times New Roman" w:cs="Times New Roman" w:eastAsia="Times New Roman" w:hAnsi="Times New Roman"/>
          <w:sz w:val="19"/>
          <w:szCs w:val="19"/>
          <w:color w:val="auto"/>
        </w:rPr>
      </w:pPr>
    </w:p>
    <w:p>
      <w:pPr>
        <w:ind w:left="520" w:hanging="512"/>
        <w:spacing w:after="0"/>
        <w:tabs>
          <w:tab w:leader="none" w:pos="52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 Provisions</w:t>
      </w:r>
      <w:r>
        <w:rPr>
          <w:rFonts w:ascii="Times New Roman" w:cs="Times New Roman" w:eastAsia="Times New Roman" w:hAnsi="Times New Roman"/>
          <w:sz w:val="22"/>
          <w:szCs w:val="22"/>
          <w:b w:val="1"/>
          <w:bCs w:val="1"/>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1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w:t>
      </w:r>
    </w:p>
    <w:p>
      <w:pPr>
        <w:spacing w:after="0" w:line="176" w:lineRule="exact"/>
        <w:rPr>
          <w:rFonts w:ascii="Times New Roman" w:cs="Times New Roman" w:eastAsia="Times New Roman" w:hAnsi="Times New Roman"/>
          <w:sz w:val="20"/>
          <w:szCs w:val="20"/>
          <w:color w:val="auto"/>
        </w:rPr>
      </w:pPr>
    </w:p>
    <w:p>
      <w:pPr>
        <w:ind w:firstLine="757"/>
        <w:spacing w:after="0" w:line="258" w:lineRule="auto"/>
        <w:tabs>
          <w:tab w:leader="none" w:pos="101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Validity</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73"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to the Company, the Chief Legal Officer at its headquarters,</w:t>
      </w:r>
    </w:p>
    <w:p>
      <w:pPr>
        <w:spacing w:after="0" w:line="206"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to Executive, at the last address that the Company has in its personnel records for Executive, or</w:t>
      </w:r>
    </w:p>
    <w:p>
      <w:pPr>
        <w:spacing w:after="0" w:line="206"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at any other address as any Party shall have specified by notice in writing to the other Party.</w:t>
      </w:r>
    </w:p>
    <w:p>
      <w:pPr>
        <w:spacing w:after="0" w:line="206"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73"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The terms of this Agreement, and the Proprietary Information Agreement incorporated herein by reference as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are intended by the Parties to be the final expression of their agreement with respect to the subject matter hereof and supersede all prior understandings and agreements, whether written or oral.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jc w:val="both"/>
        <w:ind w:firstLine="757"/>
        <w:spacing w:after="0" w:line="235" w:lineRule="auto"/>
        <w:tabs>
          <w:tab w:leader="none" w:pos="101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3"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Inconsistent Actions</w:t>
      </w:r>
      <w:r>
        <w:rPr>
          <w:rFonts w:ascii="Times New Roman" w:cs="Times New Roman" w:eastAsia="Times New Roman" w:hAnsi="Times New Roman"/>
          <w:sz w:val="22"/>
          <w:szCs w:val="22"/>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73" w:lineRule="exact"/>
        <w:rPr>
          <w:rFonts w:ascii="Times New Roman" w:cs="Times New Roman" w:eastAsia="Times New Roman" w:hAnsi="Times New Roman"/>
          <w:sz w:val="20"/>
          <w:szCs w:val="20"/>
          <w:color w:val="auto"/>
        </w:rPr>
      </w:pPr>
    </w:p>
    <w:p>
      <w:pPr>
        <w:jc w:val="both"/>
        <w:ind w:firstLine="757"/>
        <w:spacing w:after="0" w:line="233" w:lineRule="auto"/>
        <w:tabs>
          <w:tab w:leader="none" w:pos="101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7"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xml:space="preserve">.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nothing in this subsection shall be construed as precluding the bringing of an action for injunctive relief or specific performance as provided in this Agreement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both"/>
        <w:spacing w:after="0" w:line="235" w:lineRule="auto"/>
        <w:rPr>
          <w:sz w:val="20"/>
          <w:szCs w:val="20"/>
          <w:color w:val="auto"/>
        </w:rPr>
      </w:pPr>
      <w:r>
        <w:rPr>
          <w:rFonts w:ascii="Times New Roman" w:cs="Times New Roman" w:eastAsia="Times New Roman" w:hAnsi="Times New Roman"/>
          <w:sz w:val="22"/>
          <w:szCs w:val="22"/>
          <w:color w:val="auto"/>
        </w:rPr>
        <w:t>or Proprietary Information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178" w:lineRule="exact"/>
        <w:rPr>
          <w:sz w:val="20"/>
          <w:szCs w:val="20"/>
          <w:color w:val="auto"/>
        </w:rPr>
      </w:pPr>
    </w:p>
    <w:p>
      <w:pPr>
        <w:jc w:val="both"/>
        <w:ind w:firstLine="757"/>
        <w:spacing w:after="0" w:line="235" w:lineRule="auto"/>
        <w:tabs>
          <w:tab w:leader="none" w:pos="101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3"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73"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General. </w:t>
      </w:r>
      <w:r>
        <w:rPr>
          <w:rFonts w:ascii="Times New Roman" w:cs="Times New Roman" w:eastAsia="Times New Roman" w:hAnsi="Times New Roman"/>
          <w:sz w:val="22"/>
          <w:szCs w:val="22"/>
          <w:color w:val="auto"/>
        </w:rPr>
        <w:t>The intent of the Parties is that the payments and benefits under this Agreement comply with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exempt from Section 409A and, accordingly, to the maximum extent permitted, this Agreement shall be interpreted to be in compliance therewith.</w:t>
      </w:r>
    </w:p>
    <w:p>
      <w:pPr>
        <w:spacing w:after="0" w:line="167" w:lineRule="exact"/>
        <w:rPr>
          <w:rFonts w:ascii="Times New Roman" w:cs="Times New Roman" w:eastAsia="Times New Roman" w:hAnsi="Times New Roman"/>
          <w:sz w:val="20"/>
          <w:szCs w:val="20"/>
          <w:color w:val="auto"/>
        </w:rPr>
      </w:pPr>
    </w:p>
    <w:p>
      <w:pPr>
        <w:jc w:val="both"/>
        <w:ind w:left="760" w:firstLine="745"/>
        <w:spacing w:after="0" w:line="234" w:lineRule="auto"/>
        <w:tabs>
          <w:tab w:leader="none" w:pos="20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Separation from Service. </w:t>
      </w:r>
      <w:r>
        <w:rPr>
          <w:rFonts w:ascii="Times New Roman" w:cs="Times New Roman" w:eastAsia="Times New Roman" w:hAnsi="Times New Roman"/>
          <w:sz w:val="22"/>
          <w:szCs w:val="22"/>
          <w:color w:val="auto"/>
        </w:rPr>
        <w:t>Notwithstanding anything in this Agreement to the contrary, any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benefits payable under this Agreement 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Times New Roman" w:cs="Times New Roman" w:eastAsia="Times New Roman" w:hAnsi="Times New Roman"/>
          <w:sz w:val="22"/>
          <w:szCs w:val="22"/>
          <w:u w:val="single" w:color="auto"/>
          <w:color w:val="auto"/>
        </w:rPr>
        <w:t>Separation 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xml:space="preserve">”) and, except as provided below, any such compensation or benefits described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not be paid, or, in the case of installments, shall not commence payment, until the thirtieth (30th) day following Executive’s Separation from Service (the “</w:t>
      </w:r>
      <w:r>
        <w:rPr>
          <w:rFonts w:ascii="Times New Roman" w:cs="Times New Roman" w:eastAsia="Times New Roman" w:hAnsi="Times New Roman"/>
          <w:sz w:val="22"/>
          <w:szCs w:val="22"/>
          <w:u w:val="single" w:color="auto"/>
          <w:color w:val="auto"/>
        </w:rPr>
        <w:t>First Payment Date</w:t>
      </w:r>
      <w:r>
        <w:rPr>
          <w:rFonts w:ascii="Times New Roman" w:cs="Times New Roman" w:eastAsia="Times New Roman" w:hAnsi="Times New Roman"/>
          <w:sz w:val="22"/>
          <w:szCs w:val="22"/>
          <w:color w:val="auto"/>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ind w:left="760" w:firstLine="745"/>
        <w:spacing w:after="0" w:line="235" w:lineRule="auto"/>
        <w:tabs>
          <w:tab w:leader="none" w:pos="194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Specified Employee. </w:t>
      </w:r>
      <w:r>
        <w:rPr>
          <w:rFonts w:ascii="Times New Roman" w:cs="Times New Roman" w:eastAsia="Times New Roman" w:hAnsi="Times New Roman"/>
          <w:sz w:val="22"/>
          <w:szCs w:val="22"/>
          <w:color w:val="auto"/>
        </w:rPr>
        <w:t>Notwithstanding anything in this Agreement to the contrary, if Executive is deemed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6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 Reimbursements. </w:t>
      </w:r>
      <w:r>
        <w:rPr>
          <w:rFonts w:ascii="Times New Roman" w:cs="Times New Roman" w:eastAsia="Times New Roman" w:hAnsi="Times New Roman"/>
          <w:sz w:val="22"/>
          <w:szCs w:val="22"/>
          <w:color w:val="auto"/>
        </w:rPr>
        <w:t>To the extent that any reimbursements under this Agreement are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409A, (i) any such reimbursements payable to Executive shall be paid to Executive no later than December 31 of the year following the year in which the expense was incurred; (ii) Executive shall submit Executive’s reimbursement request promptly following the date the expense is incurred, (iii) the amount of expenses reimbursed in one year shall not affect the amount eligible for reimbursement in any subsequent year, other than medical expenses referred to in Section 105(b) of the Code, and (iv) Executive’s right to reimbursement under this Agreement will not be subject to liquidation or exchange for another benefit.</w:t>
      </w:r>
    </w:p>
    <w:p>
      <w:pPr>
        <w:spacing w:after="0" w:line="175"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198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Installments. </w:t>
      </w:r>
      <w:r>
        <w:rPr>
          <w:rFonts w:ascii="Times New Roman" w:cs="Times New Roman" w:eastAsia="Times New Roman" w:hAnsi="Times New Roman"/>
          <w:sz w:val="22"/>
          <w:szCs w:val="22"/>
          <w:color w:val="auto"/>
        </w:rPr>
        <w:t>Executive’s right to receive any installment payments under this Agreement,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75"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Executive Acknowledgement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|US-DOCS\119447289.2||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4" w:name="page155"/>
    <w:bookmarkEnd w:id="154"/>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on the date and year first above written.</w:t>
      </w:r>
    </w:p>
    <w:p>
      <w:pPr>
        <w:sectPr>
          <w:pgSz w:w="11900" w:h="16838" w:orient="portrait"/>
          <w:cols w:equalWidth="0" w:num="1">
            <w:col w:w="9480"/>
          </w:cols>
          <w:pgMar w:left="1080" w:top="1440" w:right="1339" w:bottom="1440" w:gutter="0" w:footer="0" w:header="0"/>
        </w:sectPr>
      </w:pPr>
    </w:p>
    <w:p>
      <w:pPr>
        <w:spacing w:after="0" w:line="2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SERES THERAPEUTICS,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By:________________________</w:t>
      </w:r>
    </w:p>
    <w:p>
      <w:pPr>
        <w:spacing w:after="0" w:line="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Thomas J. DesRosier</w:t>
      </w:r>
    </w:p>
    <w:p>
      <w:pPr>
        <w:ind w:left="3360"/>
        <w:spacing w:after="0"/>
        <w:tabs>
          <w:tab w:leader="none" w:pos="40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EVP, Chief Legal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1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Kelly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4680585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80"/>
          </w:cols>
          <w:pgMar w:left="1080" w:top="1440" w:right="1339" w:bottom="1440" w:gutter="0" w:footer="0" w:header="0"/>
          <w:type w:val="continuous"/>
        </w:sectPr>
      </w:pPr>
    </w:p>
    <w:bookmarkStart w:id="155" w:name="page156"/>
    <w:bookmarkEnd w:id="15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210" w:lineRule="exact"/>
        <w:rPr>
          <w:sz w:val="20"/>
          <w:szCs w:val="20"/>
          <w:color w:val="auto"/>
        </w:rPr>
      </w:pPr>
    </w:p>
    <w:p>
      <w:pPr>
        <w:jc w:val="both"/>
        <w:ind w:firstLine="651"/>
        <w:spacing w:after="0" w:line="261" w:lineRule="auto"/>
        <w:rPr>
          <w:sz w:val="20"/>
          <w:szCs w:val="20"/>
          <w:color w:val="auto"/>
        </w:rPr>
      </w:pPr>
      <w:r>
        <w:rPr>
          <w:rFonts w:ascii="Times New Roman" w:cs="Times New Roman" w:eastAsia="Times New Roman" w:hAnsi="Times New Roman"/>
          <w:sz w:val="21"/>
          <w:szCs w:val="21"/>
          <w:color w:val="auto"/>
        </w:rPr>
        <w:t>This Separation Agreement and Release (“Agreement”) is made by and between Kelly Brady (“Executive”) and Seres Therapeutics, Inc. (the “Company”) (collectively referred to as the “Parties” or individually referred to as a “Party”). Capitalized terms used but not defined in this Agreement shall have the meanings set forth in the Employment Agreement (as defined below).</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have previously entered into that certain Employment Agreement, dated as of [___________,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 (the “Employment Agreement”); and</w:t>
      </w:r>
    </w:p>
    <w:p>
      <w:pPr>
        <w:spacing w:after="0" w:line="74" w:lineRule="exact"/>
        <w:rPr>
          <w:sz w:val="20"/>
          <w:szCs w:val="20"/>
          <w:color w:val="auto"/>
        </w:rPr>
      </w:pPr>
    </w:p>
    <w:p>
      <w:pPr>
        <w:jc w:val="both"/>
        <w:ind w:firstLine="651"/>
        <w:spacing w:after="0" w:line="253" w:lineRule="auto"/>
        <w:rPr>
          <w:sz w:val="20"/>
          <w:szCs w:val="20"/>
          <w:color w:val="auto"/>
        </w:rPr>
      </w:pPr>
      <w:r>
        <w:rPr>
          <w:rFonts w:ascii="Times New Roman" w:cs="Times New Roman" w:eastAsia="Times New Roman" w:hAnsi="Times New Roman"/>
          <w:sz w:val="21"/>
          <w:szCs w:val="21"/>
          <w:color w:val="auto"/>
        </w:rPr>
        <w:t>WHEREAS, in connection with Executive’s termination of employment with the Company or a subsidiary or affiliate of the Company effective ________, 20__, the Parties wish to resolve any and all disputes, claims, complaints, grievances, charges,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or Executive’s right to indemnification by the Company or any of its affiliates pursuant to contract or applicable law (collectively, the “Retained Claims”).</w:t>
      </w:r>
    </w:p>
    <w:p>
      <w:pPr>
        <w:spacing w:after="0" w:line="75" w:lineRule="exact"/>
        <w:rPr>
          <w:sz w:val="20"/>
          <w:szCs w:val="20"/>
          <w:color w:val="auto"/>
        </w:rPr>
      </w:pPr>
    </w:p>
    <w:p>
      <w:pPr>
        <w:jc w:val="both"/>
        <w:ind w:firstLine="651"/>
        <w:spacing w:after="0" w:line="261" w:lineRule="auto"/>
        <w:rPr>
          <w:sz w:val="20"/>
          <w:szCs w:val="20"/>
          <w:color w:val="auto"/>
        </w:rPr>
      </w:pPr>
      <w:r>
        <w:rPr>
          <w:rFonts w:ascii="Times New Roman" w:cs="Times New Roman" w:eastAsia="Times New Roman" w:hAnsi="Times New Roman"/>
          <w:sz w:val="21"/>
          <w:szCs w:val="21"/>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49" w:lineRule="exact"/>
        <w:rPr>
          <w:sz w:val="20"/>
          <w:szCs w:val="20"/>
          <w:color w:val="auto"/>
        </w:rPr>
      </w:pPr>
    </w:p>
    <w:p>
      <w:pPr>
        <w:jc w:val="both"/>
        <w:ind w:firstLine="659"/>
        <w:spacing w:after="0" w:line="238" w:lineRule="auto"/>
        <w:tabs>
          <w:tab w:leader="none" w:pos="109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Payments; Salary and Benefits</w:t>
      </w:r>
      <w:r>
        <w:rPr>
          <w:rFonts w:ascii="Times New Roman" w:cs="Times New Roman" w:eastAsia="Times New Roman" w:hAnsi="Times New Roman"/>
          <w:sz w:val="22"/>
          <w:szCs w:val="22"/>
          <w:color w:val="auto"/>
        </w:rPr>
        <w:t>. The Company agrees to provide Executive with the severance payments and benefits described in Section 4(b) and/or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68" w:lineRule="exact"/>
        <w:rPr>
          <w:rFonts w:ascii="Times New Roman" w:cs="Times New Roman" w:eastAsia="Times New Roman" w:hAnsi="Times New Roman"/>
          <w:sz w:val="22"/>
          <w:szCs w:val="22"/>
          <w:color w:val="auto"/>
        </w:rPr>
      </w:pPr>
    </w:p>
    <w:p>
      <w:pPr>
        <w:jc w:val="both"/>
        <w:ind w:firstLine="659"/>
        <w:spacing w:after="0" w:line="233" w:lineRule="auto"/>
        <w:tabs>
          <w:tab w:leader="none" w:pos="120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Executive’s or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any omissions, acts, facts, or damages that have occurred up until and including the date Executive signs this Agreement, including, without limitation:</w:t>
      </w:r>
    </w:p>
    <w:p>
      <w:pPr>
        <w:spacing w:after="0" w:line="50" w:lineRule="exact"/>
        <w:rPr>
          <w:sz w:val="20"/>
          <w:szCs w:val="20"/>
          <w:color w:val="auto"/>
        </w:rPr>
      </w:pPr>
    </w:p>
    <w:p>
      <w:pPr>
        <w:ind w:right="20" w:firstLine="1091"/>
        <w:spacing w:after="0" w:line="258" w:lineRule="auto"/>
        <w:tabs>
          <w:tab w:leader="none" w:pos="15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Executive’s employment or service relationship with the Company or any of its direct or indirect subsidiaries or affiliates and the termination of that relationship;</w:t>
      </w:r>
    </w:p>
    <w:p>
      <w:pPr>
        <w:spacing w:after="0" w:line="50" w:lineRule="exact"/>
        <w:rPr>
          <w:rFonts w:ascii="Times New Roman" w:cs="Times New Roman" w:eastAsia="Times New Roman" w:hAnsi="Times New Roman"/>
          <w:sz w:val="22"/>
          <w:szCs w:val="22"/>
          <w:color w:val="auto"/>
        </w:rPr>
      </w:pPr>
    </w:p>
    <w:p>
      <w:pPr>
        <w:jc w:val="both"/>
        <w:ind w:right="20" w:firstLine="1091"/>
        <w:spacing w:after="0" w:line="239" w:lineRule="auto"/>
        <w:tabs>
          <w:tab w:leader="none" w:pos="15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72" w:lineRule="exact"/>
        <w:rPr>
          <w:rFonts w:ascii="Times New Roman" w:cs="Times New Roman" w:eastAsia="Times New Roman" w:hAnsi="Times New Roman"/>
          <w:sz w:val="22"/>
          <w:szCs w:val="22"/>
          <w:color w:val="auto"/>
        </w:rPr>
      </w:pPr>
    </w:p>
    <w:p>
      <w:pPr>
        <w:ind w:firstLine="1091"/>
        <w:spacing w:after="0" w:line="236" w:lineRule="auto"/>
        <w:tabs>
          <w:tab w:leader="none" w:pos="15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73" w:lineRule="exact"/>
        <w:rPr>
          <w:rFonts w:ascii="Times New Roman" w:cs="Times New Roman" w:eastAsia="Times New Roman" w:hAnsi="Times New Roman"/>
          <w:sz w:val="22"/>
          <w:szCs w:val="22"/>
          <w:color w:val="auto"/>
        </w:rPr>
      </w:pPr>
    </w:p>
    <w:p>
      <w:pPr>
        <w:jc w:val="both"/>
        <w:ind w:firstLine="1091"/>
        <w:spacing w:after="0" w:line="238" w:lineRule="auto"/>
        <w:tabs>
          <w:tab w:leader="none" w:pos="15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68" w:lineRule="exact"/>
        <w:rPr>
          <w:rFonts w:ascii="Times New Roman" w:cs="Times New Roman" w:eastAsia="Times New Roman" w:hAnsi="Times New Roman"/>
          <w:sz w:val="22"/>
          <w:szCs w:val="22"/>
          <w:color w:val="auto"/>
        </w:rPr>
      </w:pPr>
    </w:p>
    <w:p>
      <w:pPr>
        <w:ind w:left="1520" w:hanging="429"/>
        <w:spacing w:after="0"/>
        <w:tabs>
          <w:tab w:leader="none" w:pos="15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the federal or any state constitution;</w:t>
      </w:r>
    </w:p>
    <w:p>
      <w:pPr>
        <w:spacing w:after="0" w:line="98" w:lineRule="exact"/>
        <w:rPr>
          <w:rFonts w:ascii="Times New Roman" w:cs="Times New Roman" w:eastAsia="Times New Roman" w:hAnsi="Times New Roman"/>
          <w:sz w:val="22"/>
          <w:szCs w:val="22"/>
          <w:color w:val="auto"/>
        </w:rPr>
      </w:pPr>
    </w:p>
    <w:p>
      <w:pPr>
        <w:ind w:left="1520" w:hanging="429"/>
        <w:spacing w:after="0"/>
        <w:tabs>
          <w:tab w:leader="none" w:pos="15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any other laws and regulations relating to employment or employment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discrimination;</w:t>
      </w:r>
    </w:p>
    <w:p>
      <w:pPr>
        <w:spacing w:after="0" w:line="74" w:lineRule="exact"/>
        <w:rPr>
          <w:rFonts w:ascii="Times New Roman" w:cs="Times New Roman" w:eastAsia="Times New Roman" w:hAnsi="Times New Roman"/>
          <w:sz w:val="22"/>
          <w:szCs w:val="22"/>
          <w:color w:val="auto"/>
        </w:rPr>
      </w:pPr>
    </w:p>
    <w:p>
      <w:pPr>
        <w:ind w:right="60" w:firstLine="1091"/>
        <w:spacing w:after="0" w:line="258" w:lineRule="auto"/>
        <w:tabs>
          <w:tab w:leader="none" w:pos="15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any loss, cost, damage, or expense arising out of any dispute over the non-withholding or other tax treatment of any of the proceeds received by Executive as a result of this Agreement;</w:t>
      </w:r>
    </w:p>
    <w:p>
      <w:pPr>
        <w:spacing w:after="0" w:line="50" w:lineRule="exact"/>
        <w:rPr>
          <w:rFonts w:ascii="Times New Roman" w:cs="Times New Roman" w:eastAsia="Times New Roman" w:hAnsi="Times New Roman"/>
          <w:sz w:val="22"/>
          <w:szCs w:val="22"/>
          <w:color w:val="auto"/>
        </w:rPr>
      </w:pPr>
    </w:p>
    <w:p>
      <w:pPr>
        <w:jc w:val="both"/>
        <w:ind w:right="20" w:firstLine="1091"/>
        <w:spacing w:after="0" w:line="244" w:lineRule="auto"/>
        <w:tabs>
          <w:tab w:leader="none" w:pos="15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65" w:lineRule="exact"/>
        <w:rPr>
          <w:rFonts w:ascii="Times New Roman" w:cs="Times New Roman" w:eastAsia="Times New Roman" w:hAnsi="Times New Roman"/>
          <w:sz w:val="22"/>
          <w:szCs w:val="22"/>
          <w:color w:val="auto"/>
        </w:rPr>
      </w:pPr>
    </w:p>
    <w:p>
      <w:pPr>
        <w:ind w:left="1520" w:hanging="429"/>
        <w:spacing w:after="0"/>
        <w:tabs>
          <w:tab w:leader="none" w:pos="15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attorneys’ fees and costs.</w:t>
      </w:r>
    </w:p>
    <w:p>
      <w:pPr>
        <w:spacing w:after="0" w:line="98" w:lineRule="exact"/>
        <w:rPr>
          <w:sz w:val="20"/>
          <w:szCs w:val="20"/>
          <w:color w:val="auto"/>
        </w:rPr>
      </w:pPr>
    </w:p>
    <w:p>
      <w:pPr>
        <w:jc w:val="both"/>
        <w:ind w:firstLine="219"/>
        <w:spacing w:after="0" w:line="236" w:lineRule="auto"/>
        <w:rPr>
          <w:sz w:val="20"/>
          <w:szCs w:val="20"/>
          <w:color w:val="auto"/>
        </w:rPr>
      </w:pPr>
      <w:r>
        <w:rPr>
          <w:rFonts w:ascii="Times New Roman" w:cs="Times New Roman" w:eastAsia="Times New Roman" w:hAnsi="Times New Roman"/>
          <w:sz w:val="22"/>
          <w:szCs w:val="22"/>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right to receive an award for information provided to any such government agencies),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w:t>
      </w:r>
    </w:p>
    <w:p>
      <w:pPr>
        <w:spacing w:after="0" w:line="77" w:lineRule="exact"/>
        <w:rPr>
          <w:sz w:val="20"/>
          <w:szCs w:val="20"/>
          <w:color w:val="auto"/>
        </w:rPr>
      </w:pPr>
    </w:p>
    <w:p>
      <w:pPr>
        <w:jc w:val="both"/>
        <w:ind w:firstLine="659"/>
        <w:spacing w:after="0" w:line="232" w:lineRule="auto"/>
        <w:tabs>
          <w:tab w:leader="none" w:pos="112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Waiver of Claims under ADEA</w:t>
      </w:r>
      <w:r>
        <w:rPr>
          <w:rFonts w:ascii="Times New Roman" w:cs="Times New Roman" w:eastAsia="Times New Roman" w:hAnsi="Times New Roman"/>
          <w:sz w:val="22"/>
          <w:szCs w:val="22"/>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expressly agree that such time period to review this Agreement shall not be extended upon any material or immaterial changes to this Agreement; (c) Executive has 7 business days following Executive’s execution of this Agreement to revoke this Agreement pursuant to written notice to the Chief Legal Officer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83" w:lineRule="exact"/>
        <w:rPr>
          <w:rFonts w:ascii="Times New Roman" w:cs="Times New Roman" w:eastAsia="Times New Roman" w:hAnsi="Times New Roman"/>
          <w:sz w:val="22"/>
          <w:szCs w:val="22"/>
          <w:color w:val="auto"/>
        </w:rPr>
      </w:pPr>
    </w:p>
    <w:p>
      <w:pPr>
        <w:jc w:val="both"/>
        <w:ind w:firstLine="659"/>
        <w:spacing w:after="0" w:line="235" w:lineRule="auto"/>
        <w:tabs>
          <w:tab w:leader="none" w:pos="120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Obligations</w:t>
      </w:r>
      <w:r>
        <w:rPr>
          <w:rFonts w:ascii="Times New Roman" w:cs="Times New Roman" w:eastAsia="Times New Roman" w:hAnsi="Times New Roman"/>
          <w:sz w:val="22"/>
          <w:szCs w:val="22"/>
          <w:color w:val="auto"/>
        </w:rPr>
        <w:t>. Executive reaffirms Executive’s continuing obligations under the Proprietary Information Agreement between Executive and the Company dated as of [_________], and, without limiting the foregoing, Executive remakes the non-competition covenants set forth in the Proprietary Information Agreement as if set forth herein. In addition, Executive agrees to refrain from Disparaging (as defined below) the Company and its affiliates, including their respective services, technologies, practices, directors and officers. The Company agrees to instruct its officers and directors to refrain from Disparaging Executive. Nothing in this Section shall preclude any Party from making truthful statements that are reasonably necessary to comply with applicable law, regulation or legal process, or to defend or enforce a Party’s rights under this Agreement or the Employment Agreement. For purposes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Agreement, “Disparaging” means making remarks, comments or statements, whether written or oral, that impugn the character, integrity, reputation or abilities of the individual or entity being disparaged.</w:t>
      </w:r>
    </w:p>
    <w:p>
      <w:pPr>
        <w:spacing w:after="0" w:line="50" w:lineRule="exact"/>
        <w:rPr>
          <w:sz w:val="20"/>
          <w:szCs w:val="20"/>
          <w:color w:val="auto"/>
        </w:rPr>
      </w:pPr>
    </w:p>
    <w:p>
      <w:pPr>
        <w:jc w:val="both"/>
        <w:ind w:firstLine="659"/>
        <w:spacing w:after="0" w:line="244" w:lineRule="auto"/>
        <w:tabs>
          <w:tab w:leader="none" w:pos="108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65" w:lineRule="exact"/>
        <w:rPr>
          <w:rFonts w:ascii="Times New Roman" w:cs="Times New Roman" w:eastAsia="Times New Roman" w:hAnsi="Times New Roman"/>
          <w:sz w:val="22"/>
          <w:szCs w:val="22"/>
          <w:color w:val="auto"/>
        </w:rPr>
      </w:pPr>
    </w:p>
    <w:p>
      <w:pPr>
        <w:ind w:right="20" w:firstLine="659"/>
        <w:spacing w:after="0" w:line="258" w:lineRule="auto"/>
        <w:tabs>
          <w:tab w:leader="none" w:pos="116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Oral Modification</w:t>
      </w:r>
      <w:r>
        <w:rPr>
          <w:rFonts w:ascii="Times New Roman" w:cs="Times New Roman" w:eastAsia="Times New Roman" w:hAnsi="Times New Roman"/>
          <w:sz w:val="22"/>
          <w:szCs w:val="22"/>
          <w:color w:val="auto"/>
        </w:rPr>
        <w:t>. This Agreement may only be amended in a writing signed by Executive and a duly authorized officer of the Company.</w:t>
      </w:r>
    </w:p>
    <w:p>
      <w:pPr>
        <w:spacing w:after="0" w:line="50" w:lineRule="exact"/>
        <w:rPr>
          <w:rFonts w:ascii="Times New Roman" w:cs="Times New Roman" w:eastAsia="Times New Roman" w:hAnsi="Times New Roman"/>
          <w:sz w:val="22"/>
          <w:szCs w:val="22"/>
          <w:color w:val="auto"/>
        </w:rPr>
      </w:pPr>
    </w:p>
    <w:p>
      <w:pPr>
        <w:ind w:firstLine="659"/>
        <w:spacing w:after="0" w:line="258" w:lineRule="auto"/>
        <w:tabs>
          <w:tab w:leader="none" w:pos="111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Dispute Resolution</w:t>
      </w:r>
      <w:r>
        <w:rPr>
          <w:rFonts w:ascii="Times New Roman" w:cs="Times New Roman" w:eastAsia="Times New Roman" w:hAnsi="Times New Roman"/>
          <w:sz w:val="22"/>
          <w:szCs w:val="22"/>
          <w:color w:val="auto"/>
        </w:rPr>
        <w:t>. This Agreement shall be subject to the provisions of Sections 9(a), 9(c) and 9(i) of the Employment Agreement.</w:t>
      </w:r>
    </w:p>
    <w:p>
      <w:pPr>
        <w:spacing w:after="0" w:line="50" w:lineRule="exact"/>
        <w:rPr>
          <w:rFonts w:ascii="Times New Roman" w:cs="Times New Roman" w:eastAsia="Times New Roman" w:hAnsi="Times New Roman"/>
          <w:sz w:val="22"/>
          <w:szCs w:val="22"/>
          <w:color w:val="auto"/>
        </w:rPr>
      </w:pPr>
    </w:p>
    <w:p>
      <w:pPr>
        <w:jc w:val="both"/>
        <w:ind w:firstLine="659"/>
        <w:spacing w:after="0" w:line="244" w:lineRule="auto"/>
        <w:tabs>
          <w:tab w:leader="none" w:pos="115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Executive has seven business days after Executive signs this Agreement to revoke it and this Agreement will become effective upon the expiration of such seven business day period, so long as it has been signed by the Parties and has not been revoked by Executive before that date.</w:t>
      </w:r>
    </w:p>
    <w:p>
      <w:pPr>
        <w:spacing w:after="0" w:line="65" w:lineRule="exact"/>
        <w:rPr>
          <w:rFonts w:ascii="Times New Roman" w:cs="Times New Roman" w:eastAsia="Times New Roman" w:hAnsi="Times New Roman"/>
          <w:sz w:val="22"/>
          <w:szCs w:val="22"/>
          <w:color w:val="auto"/>
        </w:rPr>
      </w:pPr>
    </w:p>
    <w:p>
      <w:pPr>
        <w:jc w:val="both"/>
        <w:ind w:firstLine="440"/>
        <w:spacing w:after="0" w:line="232" w:lineRule="auto"/>
        <w:tabs>
          <w:tab w:leader="none" w:pos="98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In accordance with 18 U.S.C. §1833, notwithstanding anything to the contrary in this Agreement, the Employment Agreement, the Proprietary Information Agreement or any other agreement between Executive and the Company or any of its subsidiaries in effect as of the date Executive receives this Agreement (together, the “</w:t>
      </w:r>
      <w:r>
        <w:rPr>
          <w:rFonts w:ascii="Times New Roman" w:cs="Times New Roman" w:eastAsia="Times New Roman" w:hAnsi="Times New Roman"/>
          <w:sz w:val="22"/>
          <w:szCs w:val="22"/>
          <w:u w:val="single" w:color="auto"/>
          <w:color w:val="auto"/>
        </w:rPr>
        <w:t>Subject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(a) Executive will not be in breach of the Subject Documents,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or (ii) discussing or disclosing information about unlawful acts in the workplace, such as harassment or discrimination based on a protected characteristic or any other conduct that Employee has reason to believe is unlawful.</w:t>
      </w:r>
    </w:p>
    <w:p>
      <w:pPr>
        <w:spacing w:after="0" w:line="216" w:lineRule="exact"/>
        <w:rPr>
          <w:rFonts w:ascii="Times New Roman" w:cs="Times New Roman" w:eastAsia="Times New Roman" w:hAnsi="Times New Roman"/>
          <w:sz w:val="22"/>
          <w:szCs w:val="22"/>
          <w:color w:val="auto"/>
        </w:rPr>
      </w:pPr>
    </w:p>
    <w:p>
      <w:pPr>
        <w:jc w:val="both"/>
        <w:ind w:firstLine="659"/>
        <w:spacing w:after="0" w:line="238" w:lineRule="auto"/>
        <w:tabs>
          <w:tab w:leader="none" w:pos="115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Agreement</w:t>
      </w:r>
      <w:r>
        <w:rPr>
          <w:rFonts w:ascii="Times New Roman" w:cs="Times New Roman" w:eastAsia="Times New Roman" w:hAnsi="Times New Roman"/>
          <w:sz w:val="22"/>
          <w:szCs w:val="22"/>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respective dates set forth below.</w:t>
      </w: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-13970</wp:posOffset>
            </wp:positionV>
            <wp:extent cx="13716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5860"/>
        <w:spacing w:after="0"/>
        <w:rPr>
          <w:sz w:val="20"/>
          <w:szCs w:val="20"/>
          <w:color w:val="auto"/>
        </w:rPr>
      </w:pPr>
      <w:r>
        <w:rPr>
          <w:rFonts w:ascii="Times New Roman" w:cs="Times New Roman" w:eastAsia="Times New Roman" w:hAnsi="Times New Roman"/>
          <w:sz w:val="22"/>
          <w:szCs w:val="22"/>
          <w:color w:val="auto"/>
        </w:rPr>
        <w:t>Kelly Brady</w:t>
      </w:r>
    </w:p>
    <w:p>
      <w:pPr>
        <w:spacing w:after="0" w:line="200" w:lineRule="exact"/>
        <w:rPr>
          <w:sz w:val="20"/>
          <w:szCs w:val="20"/>
          <w:color w:val="auto"/>
        </w:rPr>
      </w:pPr>
    </w:p>
    <w:p>
      <w:pPr>
        <w:spacing w:after="0" w:line="2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b w:val="1"/>
          <w:bCs w:val="1"/>
          <w:color w:val="auto"/>
        </w:rPr>
        <w:t>SERES THERAPEUTICS,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4680" w:type="dxa"/>
            <w:vAlign w:val="bottom"/>
            <w:gridSpan w:val="2"/>
          </w:tcPr>
          <w:p>
            <w:pPr>
              <w:ind w:left="2520"/>
              <w:spacing w:after="0"/>
              <w:rPr>
                <w:sz w:val="20"/>
                <w:szCs w:val="20"/>
                <w:color w:val="auto"/>
              </w:rPr>
            </w:pPr>
            <w:r>
              <w:rPr>
                <w:rFonts w:ascii="Times New Roman" w:cs="Times New Roman" w:eastAsia="Times New Roman" w:hAnsi="Times New Roman"/>
                <w:sz w:val="22"/>
                <w:szCs w:val="22"/>
                <w:color w:val="auto"/>
              </w:rPr>
              <w:t>By:</w:t>
            </w:r>
          </w:p>
        </w:tc>
      </w:tr>
      <w:tr>
        <w:trPr>
          <w:trHeight w:val="20"/>
        </w:trPr>
        <w:tc>
          <w:tcPr>
            <w:tcW w:w="3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36"/>
        </w:trPr>
        <w:tc>
          <w:tcPr>
            <w:tcW w:w="3080" w:type="dxa"/>
            <w:vAlign w:val="bottom"/>
          </w:tcPr>
          <w:p>
            <w:pPr>
              <w:spacing w:after="0"/>
              <w:rPr>
                <w:sz w:val="20"/>
                <w:szCs w:val="20"/>
                <w:color w:val="auto"/>
              </w:rPr>
            </w:pPr>
          </w:p>
        </w:tc>
        <w:tc>
          <w:tcPr>
            <w:tcW w:w="4680" w:type="dxa"/>
            <w:vAlign w:val="bottom"/>
            <w:gridSpan w:val="2"/>
          </w:tcPr>
          <w:p>
            <w:pPr>
              <w:ind w:left="2560"/>
              <w:spacing w:after="0" w:line="236" w:lineRule="exact"/>
              <w:rPr>
                <w:sz w:val="20"/>
                <w:szCs w:val="20"/>
                <w:color w:val="auto"/>
              </w:rPr>
            </w:pPr>
            <w:r>
              <w:rPr>
                <w:rFonts w:ascii="Times New Roman" w:cs="Times New Roman" w:eastAsia="Times New Roman" w:hAnsi="Times New Roman"/>
                <w:sz w:val="22"/>
                <w:szCs w:val="22"/>
                <w:color w:val="auto"/>
              </w:rPr>
              <w:t>Name:</w:t>
            </w:r>
          </w:p>
        </w:tc>
      </w:tr>
      <w:tr>
        <w:trPr>
          <w:trHeight w:val="282"/>
        </w:trPr>
        <w:tc>
          <w:tcPr>
            <w:tcW w:w="3080" w:type="dxa"/>
            <w:vAlign w:val="bottom"/>
          </w:tcPr>
          <w:p>
            <w:pPr>
              <w:spacing w:after="0"/>
              <w:rPr>
                <w:sz w:val="24"/>
                <w:szCs w:val="24"/>
                <w:color w:val="auto"/>
              </w:rPr>
            </w:pPr>
          </w:p>
        </w:tc>
        <w:tc>
          <w:tcPr>
            <w:tcW w:w="4680" w:type="dxa"/>
            <w:vAlign w:val="bottom"/>
            <w:gridSpan w:val="2"/>
          </w:tcPr>
          <w:p>
            <w:pPr>
              <w:ind w:left="2560"/>
              <w:spacing w:after="0"/>
              <w:rPr>
                <w:sz w:val="20"/>
                <w:szCs w:val="20"/>
                <w:color w:val="auto"/>
              </w:rPr>
            </w:pPr>
            <w:r>
              <w:rPr>
                <w:rFonts w:ascii="Times New Roman" w:cs="Times New Roman" w:eastAsia="Times New Roman" w:hAnsi="Times New Roman"/>
                <w:sz w:val="22"/>
                <w:szCs w:val="22"/>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3760470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jc w:val="right"/>
        <w:spacing w:after="0"/>
        <w:rPr>
          <w:sz w:val="20"/>
          <w:szCs w:val="20"/>
          <w:color w:val="auto"/>
        </w:rPr>
      </w:pPr>
      <w:r>
        <w:rPr>
          <w:rFonts w:ascii="Georgia" w:cs="Georgia" w:eastAsia="Georgia" w:hAnsi="Georgia"/>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333-273794 and 333-282450) and Form S-8 (Nos. 333-205253, 333-210171, 333-223514, 333-230092, 333-236824, 333-253776, 333-263134, 333-269081, 333-270319, 333-277658, 333-285769 and 333-287027) of Seres Therapeutics, Inc. of our report dated March 12, 2026 relating to the financial statements, which appears in this Form 10-K.</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12, 2026</w:t>
      </w:r>
    </w:p>
    <w:p>
      <w:pPr>
        <w:spacing w:after="0" w:line="186"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N. Kender, certify that:</w:t>
      </w:r>
    </w:p>
    <w:p>
      <w:pPr>
        <w:spacing w:after="0" w:line="117" w:lineRule="exact"/>
        <w:rPr>
          <w:sz w:val="20"/>
          <w:szCs w:val="20"/>
          <w:color w:val="auto"/>
        </w:rPr>
      </w:pPr>
    </w:p>
    <w:p>
      <w:pPr>
        <w:ind w:left="700" w:hanging="183"/>
        <w:spacing w:after="0"/>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517"/>
        <w:spacing w:after="0" w:line="282" w:lineRule="auto"/>
        <w:tabs>
          <w:tab w:leader="none" w:pos="6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N. Kender</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N. Kender</w:t>
            </w:r>
          </w:p>
        </w:tc>
      </w:tr>
      <w:tr>
        <w:trPr>
          <w:trHeight w:val="214"/>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 and Interim Chief Executive Officer</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627"/>
        </w:trPr>
        <w:tc>
          <w:tcPr>
            <w:tcW w:w="36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Marell Thorell, certify that:</w:t>
      </w:r>
    </w:p>
    <w:p>
      <w:pPr>
        <w:spacing w:after="0" w:line="117" w:lineRule="exact"/>
        <w:rPr>
          <w:sz w:val="20"/>
          <w:szCs w:val="20"/>
          <w:color w:val="auto"/>
        </w:rPr>
      </w:pPr>
    </w:p>
    <w:p>
      <w:pPr>
        <w:ind w:left="700" w:hanging="183"/>
        <w:spacing w:after="0"/>
        <w:tabs>
          <w:tab w:leader="none" w:pos="7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517"/>
        <w:spacing w:after="0" w:line="282" w:lineRule="auto"/>
        <w:tabs>
          <w:tab w:leader="none" w:pos="6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Marella Thorell</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Marella Thorell</w:t>
            </w:r>
          </w:p>
        </w:tc>
      </w:tr>
      <w:tr>
        <w:trPr>
          <w:trHeight w:val="214"/>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6"/>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2126"/>
        </w:trPr>
        <w:tc>
          <w:tcPr>
            <w:tcW w:w="36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N. Kender, Executive Chair and Interim Chief Executive Officer of Seres Therapeutics, Inc. (the “Company”), hereby certify, pursuant to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 §1350, as adopted pursuant to §906 of the Sarbanes-Oxley Act of 2002, that, to the best of my knowledge:</w:t>
      </w:r>
    </w:p>
    <w:p>
      <w:pPr>
        <w:spacing w:after="0" w:line="112" w:lineRule="exact"/>
        <w:rPr>
          <w:sz w:val="20"/>
          <w:szCs w:val="20"/>
          <w:color w:val="auto"/>
        </w:rPr>
      </w:pPr>
    </w:p>
    <w:p>
      <w:pPr>
        <w:ind w:left="1020" w:right="800" w:hanging="503"/>
        <w:spacing w:after="0" w:line="282"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2025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N. Kender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Richard N. Kender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 and Interim Chief Executive Officer (</w:t>
            </w:r>
            <w:r>
              <w:rPr>
                <w:rFonts w:ascii="Times New Roman" w:cs="Times New Roman" w:eastAsia="Times New Roman" w:hAnsi="Times New Roman"/>
                <w:sz w:val="18"/>
                <w:szCs w:val="18"/>
                <w:i w:val="1"/>
                <w:iCs w:val="1"/>
                <w:color w:val="auto"/>
              </w:rPr>
              <w:t>Principal Executive</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r>
      <w:tr>
        <w:trPr>
          <w:trHeight w:val="162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Marella Thorell, Executive Vice President, Chief Financial Officer of Seres Therapeutics, Inc. (the “Company”),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as adopted pursuant to §906 of the Sarbanes-Oxley Act of 2002, that, to the best of my knowledge:</w:t>
      </w:r>
    </w:p>
    <w:p>
      <w:pPr>
        <w:spacing w:after="0" w:line="112" w:lineRule="exact"/>
        <w:rPr>
          <w:sz w:val="20"/>
          <w:szCs w:val="20"/>
          <w:color w:val="auto"/>
        </w:rPr>
      </w:pPr>
    </w:p>
    <w:p>
      <w:pPr>
        <w:ind w:left="1020" w:right="800" w:hanging="503"/>
        <w:spacing w:after="0" w:line="282"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2025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Marella Thorell</w:t>
            </w:r>
          </w:p>
        </w:tc>
      </w:tr>
      <w:tr>
        <w:trPr>
          <w:trHeight w:val="218"/>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Marella Thorell</w:t>
            </w:r>
          </w:p>
        </w:tc>
      </w:tr>
      <w:tr>
        <w:trPr>
          <w:trHeight w:val="214"/>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6"/>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162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5" w:name="page166"/>
    <w:bookmarkEnd w:id="1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lowerRoman"/>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1)"/>
      <w:numFmt w:val="lowerLetter"/>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1)"/>
      <w:numFmt w:val="lowerRoman"/>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1)"/>
      <w:numFmt w:val="lowerLetter"/>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1]"/>
      <w:numFmt w:val="decimal"/>
      <w:start w:val="1"/>
    </w:lvl>
  </w:abstractNum>
  <w:abstractNum w:abstractNumId="54">
    <w:nsid w:val="8F2B15E"/>
    <w:multiLevelType w:val="hybridMultilevel"/>
    <w:lvl w:ilvl="0">
      <w:lvlJc w:val="left"/>
      <w:lvlText w:val="[%1]"/>
      <w:numFmt w:val="decimal"/>
      <w:start w:val="2"/>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lowerRoman"/>
      <w:start w:val="1"/>
    </w:lvl>
  </w:abstractNum>
  <w:abstractNum w:abstractNumId="58">
    <w:nsid w:val="4962813B"/>
    <w:multiLevelType w:val="hybridMultilevel"/>
    <w:lvl w:ilvl="0">
      <w:lvlJc w:val="left"/>
      <w:lvlText w:val="(%1)"/>
      <w:numFmt w:val="lowerRoman"/>
      <w:start w:val="3"/>
    </w:lvl>
  </w:abstractNum>
  <w:abstractNum w:abstractNumId="59">
    <w:nsid w:val="60B6DF70"/>
    <w:multiLevelType w:val="hybridMultilevel"/>
    <w:lvl w:ilvl="0">
      <w:lvlJc w:val="left"/>
      <w:lvlText w:val="%1."/>
      <w:numFmt w:val="decimal"/>
      <w:start w:val="2"/>
    </w:lvl>
  </w:abstractNum>
  <w:abstractNum w:abstractNumId="60">
    <w:nsid w:val="6A5EE64"/>
    <w:multiLevelType w:val="hybridMultilevel"/>
    <w:lvl w:ilvl="0">
      <w:lvlJc w:val="left"/>
      <w:lvlText w:val="%1."/>
      <w:numFmt w:val="decimal"/>
      <w:start w:val="3"/>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1."/>
      <w:numFmt w:val="decimal"/>
      <w:start w:val="4"/>
    </w:lvl>
  </w:abstractNum>
  <w:abstractNum w:abstractNumId="63">
    <w:nsid w:val="1A27709E"/>
    <w:multiLevelType w:val="hybridMultilevel"/>
    <w:lvl w:ilvl="0">
      <w:lvlJc w:val="left"/>
      <w:lvlText w:val="%1."/>
      <w:numFmt w:val="decimal"/>
      <w:start w:val="5"/>
    </w:lvl>
  </w:abstractNum>
  <w:abstractNum w:abstractNumId="64">
    <w:nsid w:val="71EA1109"/>
    <w:multiLevelType w:val="hybridMultilevel"/>
    <w:lvl w:ilvl="0">
      <w:lvlJc w:val="left"/>
      <w:lvlText w:val="%1."/>
      <w:numFmt w:val="decimal"/>
      <w:start w:val="6"/>
    </w:lvl>
  </w:abstractNum>
  <w:abstractNum w:abstractNumId="65">
    <w:nsid w:val="100F59DC"/>
    <w:multiLevelType w:val="hybridMultilevel"/>
    <w:lvl w:ilvl="0">
      <w:lvlJc w:val="left"/>
      <w:lvlText w:val="%1."/>
      <w:numFmt w:val="decimal"/>
      <w:start w:val="7"/>
    </w:lvl>
  </w:abstractNum>
  <w:abstractNum w:abstractNumId="66">
    <w:nsid w:val="7FB7E0AA"/>
    <w:multiLevelType w:val="hybridMultilevel"/>
    <w:lvl w:ilvl="0">
      <w:lvlJc w:val="left"/>
      <w:lvlText w:val="%1."/>
      <w:numFmt w:val="decimal"/>
      <w:start w:val="8"/>
    </w:lvl>
  </w:abstractNum>
  <w:abstractNum w:abstractNumId="67">
    <w:nsid w:val="6EB5BD4"/>
    <w:multiLevelType w:val="hybridMultilevel"/>
    <w:lvl w:ilvl="0">
      <w:lvlJc w:val="left"/>
      <w:lvlText w:val="%1."/>
      <w:numFmt w:val="decimal"/>
      <w:start w:val="9"/>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1."/>
      <w:numFmt w:val="upperLetter"/>
      <w:start w:val="1"/>
    </w:lvl>
  </w:abstractNum>
  <w:abstractNum w:abstractNumId="72">
    <w:nsid w:val="4C04A8AF"/>
    <w:multiLevelType w:val="hybridMultilevel"/>
    <w:lvl w:ilvl="0">
      <w:lvlJc w:val="left"/>
      <w:lvlText w:val="%1."/>
      <w:numFmt w:val="decimal"/>
      <w:start w:val="1"/>
    </w:lvl>
    <w:lvl w:ilvl="1">
      <w:lvlJc w:val="left"/>
      <w:lvlText w:val="(%2)"/>
      <w:numFmt w:val="lowerLetter"/>
      <w:start w:val="1"/>
    </w:lvl>
  </w:abstractNum>
  <w:abstractNum w:abstractNumId="73">
    <w:nsid w:val="1716703B"/>
    <w:multiLevelType w:val="hybridMultilevel"/>
    <w:lvl w:ilvl="0">
      <w:lvlJc w:val="left"/>
      <w:lvlText w:val="%1."/>
      <w:numFmt w:val="decimal"/>
      <w:start w:val="2"/>
    </w:lvl>
    <w:lvl w:ilvl="1">
      <w:lvlJc w:val="left"/>
      <w:lvlText w:val="(%2)"/>
      <w:numFmt w:val="lowerLetter"/>
      <w:start w:val="1"/>
    </w:lvl>
  </w:abstractNum>
  <w:abstractNum w:abstractNumId="74">
    <w:nsid w:val="14E17E33"/>
    <w:multiLevelType w:val="hybridMultilevel"/>
    <w:lvl w:ilvl="0">
      <w:lvlJc w:val="left"/>
      <w:lvlText w:val="(%1)"/>
      <w:numFmt w:val="lowerLetter"/>
      <w:start w:val="6"/>
    </w:lvl>
  </w:abstractNum>
  <w:abstractNum w:abstractNumId="75">
    <w:nsid w:val="3222E7CD"/>
    <w:multiLevelType w:val="hybridMultilevel"/>
    <w:lvl w:ilvl="0">
      <w:lvlJc w:val="left"/>
      <w:lvlText w:val="%1."/>
      <w:numFmt w:val="decimal"/>
      <w:start w:val="3"/>
    </w:lvl>
  </w:abstractNum>
  <w:abstractNum w:abstractNumId="76">
    <w:nsid w:val="74DE0EE3"/>
    <w:multiLevelType w:val="hybridMultilevel"/>
    <w:lvl w:ilvl="0">
      <w:lvlJc w:val="left"/>
      <w:lvlText w:val="(%1)"/>
      <w:numFmt w:val="lowerLetter"/>
      <w:start w:val="1"/>
    </w:lvl>
    <w:lvl w:ilvl="1">
      <w:lvlJc w:val="left"/>
      <w:lvlText w:val="(%2)"/>
      <w:numFmt w:val="lowerRoman"/>
      <w:start w:val="1"/>
    </w:lvl>
  </w:abstractNum>
  <w:abstractNum w:abstractNumId="77">
    <w:nsid w:val="68EBC55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78">
    <w:nsid w:val="2DF6D64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9">
    <w:nsid w:val="46B7D447"/>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80">
    <w:nsid w:val="4A2AC315"/>
    <w:multiLevelType w:val="hybridMultilevel"/>
    <w:lvl w:ilvl="0">
      <w:lvlJc w:val="left"/>
      <w:lvlText w:val="%1."/>
      <w:numFmt w:val="decimal"/>
      <w:start w:val="4"/>
    </w:lvl>
    <w:lvl w:ilvl="1">
      <w:lvlJc w:val="left"/>
      <w:lvlText w:val="(%2)"/>
      <w:numFmt w:val="lowerLetter"/>
      <w:start w:val="1"/>
    </w:lvl>
  </w:abstractNum>
  <w:abstractNum w:abstractNumId="81">
    <w:nsid w:val="39EE015C"/>
    <w:multiLevelType w:val="hybridMultilevel"/>
    <w:lvl w:ilvl="0">
      <w:lvlJc w:val="left"/>
      <w:lvlText w:val="(%1)"/>
      <w:numFmt w:val="lowerLetter"/>
      <w:start w:val="2"/>
    </w:lvl>
    <w:lvl w:ilvl="1">
      <w:lvlJc w:val="left"/>
      <w:lvlText w:val="(%2)"/>
      <w:numFmt w:val="lowerRoman"/>
      <w:start w:val="1"/>
    </w:lvl>
  </w:abstractNum>
  <w:abstractNum w:abstractNumId="82">
    <w:nsid w:val="57FC4FBB"/>
    <w:multiLevelType w:val="hybridMultilevel"/>
    <w:lvl w:ilvl="0">
      <w:lvlJc w:val="left"/>
      <w:lvlText w:val="(%1)"/>
      <w:numFmt w:val="lowerLetter"/>
      <w:start w:val="3"/>
    </w:lvl>
    <w:lvl w:ilvl="1">
      <w:lvlJc w:val="left"/>
      <w:lvlText w:val="(%2)"/>
      <w:numFmt w:val="lowerRoman"/>
      <w:start w:val="1"/>
    </w:lvl>
  </w:abstractNum>
  <w:abstractNum w:abstractNumId="83">
    <w:nsid w:val="CC1016F"/>
    <w:multiLevelType w:val="hybridMultilevel"/>
    <w:lvl w:ilvl="0">
      <w:lvlJc w:val="left"/>
      <w:lvlText w:val="%1."/>
      <w:numFmt w:val="decimal"/>
      <w:start w:val="5"/>
    </w:lvl>
  </w:abstractNum>
  <w:abstractNum w:abstractNumId="84">
    <w:nsid w:val="43F1842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5">
    <w:nsid w:val="60EF0119"/>
    <w:multiLevelType w:val="hybridMultilevel"/>
    <w:lvl w:ilvl="0">
      <w:lvlJc w:val="left"/>
      <w:lvlText w:val="(%1)"/>
      <w:numFmt w:val="lowerLetter"/>
      <w:start w:val="2"/>
    </w:lvl>
  </w:abstractNum>
  <w:abstractNum w:abstractNumId="86">
    <w:nsid w:val="26F324BA"/>
    <w:multiLevelType w:val="hybridMultilevel"/>
    <w:lvl w:ilvl="0">
      <w:lvlJc w:val="left"/>
      <w:lvlText w:val="%1."/>
      <w:numFmt w:val="decimal"/>
      <w:start w:val="8"/>
    </w:lvl>
    <w:lvl w:ilvl="1">
      <w:lvlJc w:val="left"/>
      <w:lvlText w:val="(%2)"/>
      <w:numFmt w:val="lowerLetter"/>
      <w:start w:val="1"/>
    </w:lvl>
  </w:abstractNum>
  <w:abstractNum w:abstractNumId="87">
    <w:nsid w:val="7F01579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8">
    <w:nsid w:val="49DA307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9">
    <w:nsid w:val="7055A5F5"/>
    <w:multiLevelType w:val="hybridMultilevel"/>
    <w:lvl w:ilvl="0">
      <w:lvlJc w:val="left"/>
      <w:lvlText w:val="(%1)"/>
      <w:numFmt w:val="lowerLetter"/>
      <w:start w:val="6"/>
    </w:lvl>
  </w:abstractNum>
  <w:abstractNum w:abstractNumId="90">
    <w:nsid w:val="5FB8370B"/>
    <w:multiLevelType w:val="hybridMultilevel"/>
    <w:lvl w:ilvl="0">
      <w:lvlJc w:val="left"/>
      <w:lvlText w:val="(%1)"/>
      <w:numFmt w:val="lowerLetter"/>
      <w:start w:val="10"/>
    </w:lvl>
    <w:lvl w:ilvl="1">
      <w:lvlJc w:val="left"/>
      <w:lvlText w:val="(%2)"/>
      <w:numFmt w:val="lowerRoman"/>
      <w:start w:val="1"/>
    </w:lvl>
  </w:abstractNum>
  <w:abstractNum w:abstractNumId="91">
    <w:nsid w:val="50801EE1"/>
    <w:multiLevelType w:val="hybridMultilevel"/>
    <w:lvl w:ilvl="0">
      <w:lvlJc w:val="left"/>
      <w:lvlText w:val="%1"/>
      <w:numFmt w:val="decimal"/>
      <w:start w:val="1"/>
    </w:lvl>
    <w:lvl w:ilvl="1">
      <w:lvlJc w:val="left"/>
      <w:lvlText w:val="(%2)"/>
      <w:numFmt w:val="lowerRoman"/>
      <w:start w:val="3"/>
    </w:lvl>
  </w:abstractNum>
  <w:abstractNum w:abstractNumId="92">
    <w:nsid w:val="488AC1A"/>
    <w:multiLevelType w:val="hybridMultilevel"/>
    <w:lvl w:ilvl="0">
      <w:lvlJc w:val="left"/>
      <w:lvlText w:val="%1."/>
      <w:numFmt w:val="decimal"/>
      <w:start w:val="10"/>
    </w:lvl>
    <w:lvl w:ilvl="1">
      <w:lvlJc w:val="left"/>
      <w:lvlText w:val="%2"/>
      <w:numFmt w:val="lowerRoman"/>
      <w:start w:val="1"/>
    </w:lvl>
  </w:abstractNum>
  <w:abstractNum w:abstractNumId="93">
    <w:nsid w:val="5FB8011C"/>
    <w:multiLevelType w:val="hybridMultilevel"/>
    <w:lvl w:ilvl="0">
      <w:lvlJc w:val="left"/>
      <w:lvlText w:val="%1."/>
      <w:numFmt w:val="decimal"/>
      <w:start w:val="1"/>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decimal"/>
      <w:start w:val="3"/>
    </w:lvl>
  </w:abstractNum>
  <w:abstractNum w:abstractNumId="96">
    <w:nsid w:val="6FC75AF8"/>
    <w:multiLevelType w:val="hybridMultilevel"/>
    <w:lvl w:ilvl="0">
      <w:lvlJc w:val="left"/>
      <w:lvlText w:val="%1"/>
      <w:numFmt w:val="decimal"/>
      <w:start w:val="1"/>
    </w:lvl>
    <w:lvl w:ilvl="1">
      <w:lvlJc w:val="left"/>
      <w:lvlText w:val="%2."/>
      <w:numFmt w:val="decimal"/>
      <w:start w:val="5"/>
    </w:lvl>
  </w:abstractNum>
  <w:abstractNum w:abstractNumId="97">
    <w:nsid w:val="6A5F7029"/>
    <w:multiLevelType w:val="hybridMultilevel"/>
    <w:lvl w:ilvl="0">
      <w:lvlJc w:val="left"/>
      <w:lvlText w:val="%1."/>
      <w:numFmt w:val="decimal"/>
      <w:start w:val="9"/>
    </w:lvl>
    <w:lvl w:ilvl="1">
      <w:lvlJc w:val="left"/>
      <w:lvlText w:val="%2."/>
      <w:numFmt w:val="decimal"/>
      <w:start w:val="10"/>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80"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255" Type="http://schemas.openxmlformats.org/officeDocument/2006/relationships/image" Target="media/image213.png"/><Relationship Id="rId256" Type="http://schemas.openxmlformats.org/officeDocument/2006/relationships/image" Target="media/image214.png"/><Relationship Id="rId257" Type="http://schemas.openxmlformats.org/officeDocument/2006/relationships/image" Target="media/image215.png"/><Relationship Id="rId258" Type="http://schemas.openxmlformats.org/officeDocument/2006/relationships/image" Target="media/image216.png"/><Relationship Id="rId259" Type="http://schemas.openxmlformats.org/officeDocument/2006/relationships/image" Target="media/image217.png"/><Relationship Id="rId260" Type="http://schemas.openxmlformats.org/officeDocument/2006/relationships/image" Target="media/image218.png"/><Relationship Id="rId261" Type="http://schemas.openxmlformats.org/officeDocument/2006/relationships/image" Target="media/image219.png"/><Relationship Id="rId262" Type="http://schemas.openxmlformats.org/officeDocument/2006/relationships/image" Target="media/image220.png"/><Relationship Id="rId263" Type="http://schemas.openxmlformats.org/officeDocument/2006/relationships/image" Target="media/image221.png"/><Relationship Id="rId264" Type="http://schemas.openxmlformats.org/officeDocument/2006/relationships/image" Target="media/image222.png"/><Relationship Id="rId265" Type="http://schemas.openxmlformats.org/officeDocument/2006/relationships/image" Target="media/image223.png"/><Relationship Id="rId266" Type="http://schemas.openxmlformats.org/officeDocument/2006/relationships/image" Target="media/image224.png"/><Relationship Id="rId267" Type="http://schemas.openxmlformats.org/officeDocument/2006/relationships/image" Target="media/image225.png"/><Relationship Id="rId268" Type="http://schemas.openxmlformats.org/officeDocument/2006/relationships/image" Target="media/image226.png"/><Relationship Id="rId269" Type="http://schemas.openxmlformats.org/officeDocument/2006/relationships/image" Target="media/image227.png"/><Relationship Id="rId270" Type="http://schemas.openxmlformats.org/officeDocument/2006/relationships/image" Target="media/image228.png"/><Relationship Id="rId271" Type="http://schemas.openxmlformats.org/officeDocument/2006/relationships/image" Target="media/image229.png"/><Relationship Id="rId272" Type="http://schemas.openxmlformats.org/officeDocument/2006/relationships/image" Target="media/image230.png"/><Relationship Id="rId273" Type="http://schemas.openxmlformats.org/officeDocument/2006/relationships/image" Target="media/image231.png"/><Relationship Id="rId274" Type="http://schemas.openxmlformats.org/officeDocument/2006/relationships/image" Target="media/image232.png"/><Relationship Id="rId275" Type="http://schemas.openxmlformats.org/officeDocument/2006/relationships/image" Target="media/image233.png"/><Relationship Id="rId276" Type="http://schemas.openxmlformats.org/officeDocument/2006/relationships/image" Target="media/image234.png"/><Relationship Id="rId277" Type="http://schemas.openxmlformats.org/officeDocument/2006/relationships/image" Target="media/image235.png"/><Relationship Id="rId278" Type="http://schemas.openxmlformats.org/officeDocument/2006/relationships/image" Target="media/image236.png"/><Relationship Id="rId279" Type="http://schemas.openxmlformats.org/officeDocument/2006/relationships/image" Target="media/image237.png"/><Relationship Id="rId280" Type="http://schemas.openxmlformats.org/officeDocument/2006/relationships/image" Target="media/image238.png"/><Relationship Id="rId281" Type="http://schemas.openxmlformats.org/officeDocument/2006/relationships/image" Target="media/image239.png"/><Relationship Id="rId282" Type="http://schemas.openxmlformats.org/officeDocument/2006/relationships/image" Target="media/image240.png"/><Relationship Id="rId283" Type="http://schemas.openxmlformats.org/officeDocument/2006/relationships/image" Target="media/image241.png"/><Relationship Id="rId284" Type="http://schemas.openxmlformats.org/officeDocument/2006/relationships/image" Target="media/image242.png"/><Relationship Id="rId285" Type="http://schemas.openxmlformats.org/officeDocument/2006/relationships/image" Target="media/image243.png"/><Relationship Id="rId286" Type="http://schemas.openxmlformats.org/officeDocument/2006/relationships/image" Target="media/image244.png"/><Relationship Id="rId287" Type="http://schemas.openxmlformats.org/officeDocument/2006/relationships/image" Target="media/image245.png"/><Relationship Id="rId288" Type="http://schemas.openxmlformats.org/officeDocument/2006/relationships/image" Target="media/image246.png"/><Relationship Id="rId289" Type="http://schemas.openxmlformats.org/officeDocument/2006/relationships/image" Target="media/image247.png"/><Relationship Id="rId290" Type="http://schemas.openxmlformats.org/officeDocument/2006/relationships/image" Target="media/image248.png"/><Relationship Id="rId291" Type="http://schemas.openxmlformats.org/officeDocument/2006/relationships/image" Target="media/image249.png"/><Relationship Id="rId292" Type="http://schemas.openxmlformats.org/officeDocument/2006/relationships/image" Target="media/image250.png"/><Relationship Id="rId293" Type="http://schemas.openxmlformats.org/officeDocument/2006/relationships/image" Target="media/image251.png"/><Relationship Id="rId294" Type="http://schemas.openxmlformats.org/officeDocument/2006/relationships/image" Target="media/image252.png"/><Relationship Id="rId295" Type="http://schemas.openxmlformats.org/officeDocument/2006/relationships/image" Target="media/image253.png"/><Relationship Id="rId296" Type="http://schemas.openxmlformats.org/officeDocument/2006/relationships/image" Target="media/image254.png"/><Relationship Id="rId297" Type="http://schemas.openxmlformats.org/officeDocument/2006/relationships/image" Target="media/image255.png"/><Relationship Id="rId298" Type="http://schemas.openxmlformats.org/officeDocument/2006/relationships/image" Target="media/image256.png"/><Relationship Id="rId299" Type="http://schemas.openxmlformats.org/officeDocument/2006/relationships/image" Target="media/image257.png"/><Relationship Id="rId300" Type="http://schemas.openxmlformats.org/officeDocument/2006/relationships/image" Target="media/image258.png"/><Relationship Id="rId301" Type="http://schemas.openxmlformats.org/officeDocument/2006/relationships/image" Target="media/image259.png"/><Relationship Id="rId302" Type="http://schemas.openxmlformats.org/officeDocument/2006/relationships/image" Target="media/image260.png"/><Relationship Id="rId303" Type="http://schemas.openxmlformats.org/officeDocument/2006/relationships/image" Target="media/image261.png"/><Relationship Id="rId304" Type="http://schemas.openxmlformats.org/officeDocument/2006/relationships/image" Target="media/image262.png"/><Relationship Id="rId305" Type="http://schemas.openxmlformats.org/officeDocument/2006/relationships/image" Target="media/image263.png"/><Relationship Id="rId306" Type="http://schemas.openxmlformats.org/officeDocument/2006/relationships/image" Target="media/image264.png"/><Relationship Id="rId307" Type="http://schemas.openxmlformats.org/officeDocument/2006/relationships/image" Target="media/image265.png"/><Relationship Id="rId308" Type="http://schemas.openxmlformats.org/officeDocument/2006/relationships/image" Target="media/image266.png"/><Relationship Id="rId309" Type="http://schemas.openxmlformats.org/officeDocument/2006/relationships/image" Target="media/image267.png"/><Relationship Id="rId310" Type="http://schemas.openxmlformats.org/officeDocument/2006/relationships/image" Target="media/image268.png"/><Relationship Id="rId311" Type="http://schemas.openxmlformats.org/officeDocument/2006/relationships/image" Target="media/image269.png"/><Relationship Id="rId312" Type="http://schemas.openxmlformats.org/officeDocument/2006/relationships/image" Target="media/image270.png"/><Relationship Id="rId313" Type="http://schemas.openxmlformats.org/officeDocument/2006/relationships/image" Target="media/image271.png"/><Relationship Id="rId314" Type="http://schemas.openxmlformats.org/officeDocument/2006/relationships/image" Target="media/image272.png"/><Relationship Id="rId315" Type="http://schemas.openxmlformats.org/officeDocument/2006/relationships/image" Target="media/image273.png"/><Relationship Id="rId316" Type="http://schemas.openxmlformats.org/officeDocument/2006/relationships/image" Target="media/image274.png"/><Relationship Id="rId317" Type="http://schemas.openxmlformats.org/officeDocument/2006/relationships/image" Target="media/image275.png"/><Relationship Id="rId318" Type="http://schemas.openxmlformats.org/officeDocument/2006/relationships/image" Target="media/image276.png"/><Relationship Id="rId319" Type="http://schemas.openxmlformats.org/officeDocument/2006/relationships/image" Target="media/image277.png"/><Relationship Id="rId320" Type="http://schemas.openxmlformats.org/officeDocument/2006/relationships/image" Target="media/image278.png"/><Relationship Id="rId321" Type="http://schemas.openxmlformats.org/officeDocument/2006/relationships/image" Target="media/image279.png"/><Relationship Id="rId322" Type="http://schemas.openxmlformats.org/officeDocument/2006/relationships/image" Target="media/image280.png"/><Relationship Id="rId323" Type="http://schemas.openxmlformats.org/officeDocument/2006/relationships/image" Target="media/image281.png"/><Relationship Id="rId324" Type="http://schemas.openxmlformats.org/officeDocument/2006/relationships/image" Target="media/image282.png"/><Relationship Id="rId325" Type="http://schemas.openxmlformats.org/officeDocument/2006/relationships/image" Target="media/image283.png"/><Relationship Id="rId326" Type="http://schemas.openxmlformats.org/officeDocument/2006/relationships/image" Target="media/image284.png"/><Relationship Id="rId327" Type="http://schemas.openxmlformats.org/officeDocument/2006/relationships/image" Target="media/image285.png"/><Relationship Id="rId328" Type="http://schemas.openxmlformats.org/officeDocument/2006/relationships/image" Target="media/image286.png"/><Relationship Id="rId329" Type="http://schemas.openxmlformats.org/officeDocument/2006/relationships/image" Target="media/image287.png"/><Relationship Id="rId330" Type="http://schemas.openxmlformats.org/officeDocument/2006/relationships/image" Target="media/image288.png"/><Relationship Id="rId331" Type="http://schemas.openxmlformats.org/officeDocument/2006/relationships/image" Target="media/image289.png"/><Relationship Id="rId332" Type="http://schemas.openxmlformats.org/officeDocument/2006/relationships/image" Target="media/image290.png"/><Relationship Id="rId333" Type="http://schemas.openxmlformats.org/officeDocument/2006/relationships/image" Target="media/image291.png"/><Relationship Id="rId334" Type="http://schemas.openxmlformats.org/officeDocument/2006/relationships/image" Target="media/image292.png"/><Relationship Id="rId335" Type="http://schemas.openxmlformats.org/officeDocument/2006/relationships/image" Target="media/image293.png"/><Relationship Id="rId336" Type="http://schemas.openxmlformats.org/officeDocument/2006/relationships/image" Target="media/image294.png"/><Relationship Id="rId337" Type="http://schemas.openxmlformats.org/officeDocument/2006/relationships/image" Target="media/image295.png"/><Relationship Id="rId338" Type="http://schemas.openxmlformats.org/officeDocument/2006/relationships/image" Target="media/image296.png"/><Relationship Id="rId339" Type="http://schemas.openxmlformats.org/officeDocument/2006/relationships/image" Target="media/image297.png"/><Relationship Id="rId340" Type="http://schemas.openxmlformats.org/officeDocument/2006/relationships/image" Target="media/image298.png"/><Relationship Id="rId341" Type="http://schemas.openxmlformats.org/officeDocument/2006/relationships/image" Target="media/image299.png"/><Relationship Id="rId342" Type="http://schemas.openxmlformats.org/officeDocument/2006/relationships/image" Target="media/image300.png"/><Relationship Id="rId343" Type="http://schemas.openxmlformats.org/officeDocument/2006/relationships/image" Target="media/image301.png"/><Relationship Id="rId344" Type="http://schemas.openxmlformats.org/officeDocument/2006/relationships/image" Target="media/image302.png"/><Relationship Id="rId345" Type="http://schemas.openxmlformats.org/officeDocument/2006/relationships/image" Target="media/image303.png"/><Relationship Id="rId346" Type="http://schemas.openxmlformats.org/officeDocument/2006/relationships/image" Target="media/image304.png"/><Relationship Id="rId347" Type="http://schemas.openxmlformats.org/officeDocument/2006/relationships/image" Target="media/image305.png"/><Relationship Id="rId348" Type="http://schemas.openxmlformats.org/officeDocument/2006/relationships/image" Target="media/image306.png"/><Relationship Id="rId349" Type="http://schemas.openxmlformats.org/officeDocument/2006/relationships/image" Target="media/image307.png"/><Relationship Id="rId350" Type="http://schemas.openxmlformats.org/officeDocument/2006/relationships/image" Target="media/image308.png"/><Relationship Id="rId351" Type="http://schemas.openxmlformats.org/officeDocument/2006/relationships/image" Target="media/image309.png"/><Relationship Id="rId352" Type="http://schemas.openxmlformats.org/officeDocument/2006/relationships/image" Target="media/image310.png"/><Relationship Id="rId353" Type="http://schemas.openxmlformats.org/officeDocument/2006/relationships/image" Target="media/image311.png"/><Relationship Id="rId354" Type="http://schemas.openxmlformats.org/officeDocument/2006/relationships/image" Target="media/image312.png"/><Relationship Id="rId355" Type="http://schemas.openxmlformats.org/officeDocument/2006/relationships/image" Target="media/image313.png"/><Relationship Id="rId356" Type="http://schemas.openxmlformats.org/officeDocument/2006/relationships/image" Target="media/image314.png"/><Relationship Id="rId357" Type="http://schemas.openxmlformats.org/officeDocument/2006/relationships/image" Target="media/image315.png"/><Relationship Id="rId358" Type="http://schemas.openxmlformats.org/officeDocument/2006/relationships/image" Target="media/image316.png"/><Relationship Id="rId359" Type="http://schemas.openxmlformats.org/officeDocument/2006/relationships/image" Target="media/image317.png"/><Relationship Id="rId360" Type="http://schemas.openxmlformats.org/officeDocument/2006/relationships/image" Target="media/image318.png"/><Relationship Id="rId361" Type="http://schemas.openxmlformats.org/officeDocument/2006/relationships/image" Target="media/image319.png"/><Relationship Id="rId362" Type="http://schemas.openxmlformats.org/officeDocument/2006/relationships/image" Target="media/image320.png"/><Relationship Id="rId363" Type="http://schemas.openxmlformats.org/officeDocument/2006/relationships/image" Target="media/image321.png"/><Relationship Id="rId364" Type="http://schemas.openxmlformats.org/officeDocument/2006/relationships/image" Target="media/image322.png"/><Relationship Id="rId365" Type="http://schemas.openxmlformats.org/officeDocument/2006/relationships/image" Target="media/image323.png"/><Relationship Id="rId366" Type="http://schemas.openxmlformats.org/officeDocument/2006/relationships/image" Target="media/image324.png"/><Relationship Id="rId367" Type="http://schemas.openxmlformats.org/officeDocument/2006/relationships/image" Target="media/image325.png"/><Relationship Id="rId368" Type="http://schemas.openxmlformats.org/officeDocument/2006/relationships/image" Target="media/image326.png"/><Relationship Id="rId369"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3" Type="http://schemas.openxmlformats.org/officeDocument/2006/relationships/image" Target="media/image331.png"/><Relationship Id="rId374" Type="http://schemas.openxmlformats.org/officeDocument/2006/relationships/image" Target="media/image332.png"/><Relationship Id="rId375" Type="http://schemas.openxmlformats.org/officeDocument/2006/relationships/image" Target="media/image333.png"/><Relationship Id="rId376" Type="http://schemas.openxmlformats.org/officeDocument/2006/relationships/image" Target="media/image334.png"/><Relationship Id="rId377" Type="http://schemas.openxmlformats.org/officeDocument/2006/relationships/image" Target="media/image335.png"/><Relationship Id="rId378" Type="http://schemas.openxmlformats.org/officeDocument/2006/relationships/image" Target="media/image336.png"/><Relationship Id="rId379" Type="http://schemas.openxmlformats.org/officeDocument/2006/relationships/image" Target="media/image337.png"/><Relationship Id="rId380" Type="http://schemas.openxmlformats.org/officeDocument/2006/relationships/image" Target="media/image338.png"/><Relationship Id="rId381" Type="http://schemas.openxmlformats.org/officeDocument/2006/relationships/image" Target="media/image339.png"/><Relationship Id="rId382" Type="http://schemas.openxmlformats.org/officeDocument/2006/relationships/image" Target="media/image340.png"/><Relationship Id="rId383" Type="http://schemas.openxmlformats.org/officeDocument/2006/relationships/image" Target="media/image341.png"/><Relationship Id="rId384" Type="http://schemas.openxmlformats.org/officeDocument/2006/relationships/image" Target="media/image342.png"/><Relationship Id="rId385" Type="http://schemas.openxmlformats.org/officeDocument/2006/relationships/image" Target="media/image343.png"/><Relationship Id="rId386" Type="http://schemas.openxmlformats.org/officeDocument/2006/relationships/image" Target="media/image344.png"/><Relationship Id="rId387" Type="http://schemas.openxmlformats.org/officeDocument/2006/relationships/image" Target="media/image345.png"/><Relationship Id="rId388" Type="http://schemas.openxmlformats.org/officeDocument/2006/relationships/image" Target="media/image346.png"/><Relationship Id="rId389" Type="http://schemas.openxmlformats.org/officeDocument/2006/relationships/image" Target="media/image347.png"/><Relationship Id="rId390" Type="http://schemas.openxmlformats.org/officeDocument/2006/relationships/image" Target="media/image348.png"/><Relationship Id="rId391" Type="http://schemas.openxmlformats.org/officeDocument/2006/relationships/image" Target="media/image349.png"/><Relationship Id="rId392" Type="http://schemas.openxmlformats.org/officeDocument/2006/relationships/image" Target="media/image350.png"/><Relationship Id="rId393" Type="http://schemas.openxmlformats.org/officeDocument/2006/relationships/image" Target="media/image351.png"/><Relationship Id="rId394" Type="http://schemas.openxmlformats.org/officeDocument/2006/relationships/image" Target="media/image352.png"/><Relationship Id="rId395" Type="http://schemas.openxmlformats.org/officeDocument/2006/relationships/image" Target="media/image353.png"/><Relationship Id="rId396" Type="http://schemas.openxmlformats.org/officeDocument/2006/relationships/image" Target="media/image354.png"/><Relationship Id="rId397" Type="http://schemas.openxmlformats.org/officeDocument/2006/relationships/image" Target="media/image355.png"/><Relationship Id="rId398" Type="http://schemas.openxmlformats.org/officeDocument/2006/relationships/image" Target="media/image356.png"/><Relationship Id="rId399" Type="http://schemas.openxmlformats.org/officeDocument/2006/relationships/image" Target="media/image357.png"/><Relationship Id="rId400" Type="http://schemas.openxmlformats.org/officeDocument/2006/relationships/image" Target="media/image358.png"/><Relationship Id="rId401" Type="http://schemas.openxmlformats.org/officeDocument/2006/relationships/image" Target="media/image359.png"/><Relationship Id="rId402" Type="http://schemas.openxmlformats.org/officeDocument/2006/relationships/image" Target="media/image360.png"/><Relationship Id="rId403" Type="http://schemas.openxmlformats.org/officeDocument/2006/relationships/image" Target="media/image361.png"/><Relationship Id="rId144" Type="http://schemas.openxmlformats.org/officeDocument/2006/relationships/hyperlink" Target="https://www.sec.gov/Archives/edgar/data/1609809/000114036124035951/ny20030749x1_ex2-1.htm" TargetMode="External"/><Relationship Id="rId145" Type="http://schemas.openxmlformats.org/officeDocument/2006/relationships/hyperlink" Target="https://www.sec.gov/Archives/edgar/data/1609809/000119312515242845/d48188dex31.htm" TargetMode="External"/><Relationship Id="rId146" Type="http://schemas.openxmlformats.org/officeDocument/2006/relationships/hyperlink" Target="https://www.sec.gov/Archives/edgar/data/1609809/000119312523176795/d506361dex31.htm" TargetMode="External"/><Relationship Id="rId147" Type="http://schemas.openxmlformats.org/officeDocument/2006/relationships/hyperlink" Target="https://www.sec.gov/Archives/edgar/data/1609809/000119312524089654/d798362dex31.htm" TargetMode="External"/><Relationship Id="rId148" Type="http://schemas.openxmlformats.org/officeDocument/2006/relationships/hyperlink" Target="https://www.sec.gov/Archives/edgar/data/1609809/000119312525089189/d97309dex31.htm" TargetMode="External"/><Relationship Id="rId149" Type="http://schemas.openxmlformats.org/officeDocument/2006/relationships/hyperlink" Target="https://www.sec.gov/Archives/edgar/data/1609809/000119312524000683/d582286dex31.htm" TargetMode="External"/><Relationship Id="rId150" Type="http://schemas.openxmlformats.org/officeDocument/2006/relationships/hyperlink" Target="https://www.sec.gov/Archives/edgar/data/1609809/000119312515224101/d816354dex42.htm" TargetMode="External"/><Relationship Id="rId151" Type="http://schemas.openxmlformats.org/officeDocument/2006/relationships/hyperlink" Target="https://www.sec.gov/Archives/edgar/data/1609809/000119312523120045/d200991dex41.htm" TargetMode="External"/><Relationship Id="rId152" Type="http://schemas.openxmlformats.org/officeDocument/2006/relationships/hyperlink" Target="https://www.sec.gov/Archives/edgar/data/1609809/000119312525080185/d935169dex101.htm" TargetMode="External"/><Relationship Id="rId153" Type="http://schemas.openxmlformats.org/officeDocument/2006/relationships/hyperlink" Target="https://www.sec.gov/Archives/edgar/data/1609809/000095017023006374/mcrb-ex10_1.htm" TargetMode="External"/><Relationship Id="rId154" Type="http://schemas.openxmlformats.org/officeDocument/2006/relationships/hyperlink" Target="https://www.sec.gov/Archives/edgar/data/1609809/000119312515224101/d816354dex103.htm" TargetMode="External"/><Relationship Id="rId155" Type="http://schemas.openxmlformats.org/officeDocument/2006/relationships/hyperlink" Target="https://www.sec.gov/Archives/edgar/data/1609809/000119312515202059/d816354dex101.htm" TargetMode="External"/><Relationship Id="rId156" Type="http://schemas.openxmlformats.org/officeDocument/2006/relationships/hyperlink" Target="https://www.sec.gov/Archives/edgar/data/1609809/000095017023006374/mcrb-ex10_4.htm" TargetMode="External"/><Relationship Id="rId157" Type="http://schemas.openxmlformats.org/officeDocument/2006/relationships/hyperlink" Target="https://www.sec.gov/Archives/edgar/data/1609809/000095017025065173/mcrb-ex10_2.htm" TargetMode="External"/><Relationship Id="rId158" Type="http://schemas.openxmlformats.org/officeDocument/2006/relationships/hyperlink" Target="https://www.sec.gov/Archives/edgar/data/1609809/000095017024025464/mcrb-ex10_6.htm" TargetMode="External"/><Relationship Id="rId159" Type="http://schemas.openxmlformats.org/officeDocument/2006/relationships/hyperlink" Target="https://www.sec.gov/Archives/edgar/data/1609809/000119312521023645/d30286dex101.htm" TargetMode="External"/><Relationship Id="rId160" Type="http://schemas.openxmlformats.org/officeDocument/2006/relationships/hyperlink" Target="https://www.sec.gov/Archives/edgar/data/1609809/000095017025103611/mcrb-ex10_1.htm" TargetMode="External"/><Relationship Id="rId163" Type="http://schemas.openxmlformats.org/officeDocument/2006/relationships/hyperlink" Target="https://www.sec.gov/Archives/edgar/data/1609809/000119312521023645/d30286dex102.htm" TargetMode="External"/><Relationship Id="rId164" Type="http://schemas.openxmlformats.org/officeDocument/2006/relationships/hyperlink" Target="https://www.sec.gov/Archives/edgar/data/1609809/000095017025103611/mcrb-ex10_3.htm" TargetMode="External"/><Relationship Id="rId165" Type="http://schemas.openxmlformats.org/officeDocument/2006/relationships/hyperlink" Target="https://www.sec.gov/Archives/edgar/data/1609809/000119312521023645/d30286dex103.htm" TargetMode="External"/><Relationship Id="rId166" Type="http://schemas.openxmlformats.org/officeDocument/2006/relationships/hyperlink" Target="https://www.sec.gov/Archives/edgar/data/1609809/000119312525266011/mcrb-ex10_1.htm" TargetMode="External"/><Relationship Id="rId167" Type="http://schemas.openxmlformats.org/officeDocument/2006/relationships/hyperlink" Target="https://www.sec.gov/Archives/edgar/data/1609809/000119312526085368/d13425dex102.htm" TargetMode="External"/><Relationship Id="rId168" Type="http://schemas.openxmlformats.org/officeDocument/2006/relationships/hyperlink" Target="https://www.sec.gov/Archives/edgar/data/1609809/000156459021010057/mcrb-ex1013_660.htm" TargetMode="External"/><Relationship Id="rId169" Type="http://schemas.openxmlformats.org/officeDocument/2006/relationships/hyperlink" Target="https://www.sec.gov/Archives/edgar/data/1609809/000119312525266011/mcrb-ex10_2.htm" TargetMode="External"/><Relationship Id="rId170" Type="http://schemas.openxmlformats.org/officeDocument/2006/relationships/hyperlink" Target="https://www.sec.gov/Archives/edgar/data/1609809/000095017024055159/mcrb-ex10_1.htm" TargetMode="External"/><Relationship Id="rId171" Type="http://schemas.openxmlformats.org/officeDocument/2006/relationships/hyperlink" Target="https://www.sec.gov/Archives/edgar/data/1609809/000095017025103611/mcrb-ex10_2.htm" TargetMode="External"/><Relationship Id="rId172" Type="http://schemas.openxmlformats.org/officeDocument/2006/relationships/hyperlink" Target="https://www.sec.gov/Archives/edgar/data/1609809/000119312526085368/d13425dex101.htm102.htm" TargetMode="External"/><Relationship Id="rId173" Type="http://schemas.openxmlformats.org/officeDocument/2006/relationships/hyperlink" Target="https://www.sec.gov/Archives/edgar/data/1609809/000119312526085368/d13425dex103.htm" TargetMode="External"/><Relationship Id="rId174" Type="http://schemas.openxmlformats.org/officeDocument/2006/relationships/hyperlink" Target="https://www.sec.gov/Archives/edgar/data/1609809/000119312524230144/d873729dex101.htm" TargetMode="External"/><Relationship Id="rId175" Type="http://schemas.openxmlformats.org/officeDocument/2006/relationships/hyperlink" Target="https://www.sec.gov/ix?doc=/Archives/edgar/data/0001609809/000119312524230144/d873729d8k.htm" TargetMode="External"/><Relationship Id="rId176" Type="http://schemas.openxmlformats.org/officeDocument/2006/relationships/hyperlink" Target="https://www.sec.gov/Archives/edgar/data/0001609809/000119312520220584/d87599dex101.htm" TargetMode="External"/><Relationship Id="rId177" Type="http://schemas.openxmlformats.org/officeDocument/2006/relationships/hyperlink" Target="https://www.sec.gov/Archives/edgar/data/1609809/000095017024055159/mcrb-ex10_6.htm" TargetMode="External"/><Relationship Id="rId178" Type="http://schemas.openxmlformats.org/officeDocument/2006/relationships/hyperlink" Target="https://www.sec.gov/Archives/edgar/data/1609809/000095017025038427/mcrb-ex19_1.htm" TargetMode="External"/><Relationship Id="rId179" Type="http://schemas.openxmlformats.org/officeDocument/2006/relationships/hyperlink" Target="https://www.sec.gov/Archives/edgar/data/0001609809/000156459020008002/mcrb-ex211_9.htm" TargetMode="External"/><Relationship Id="rId181" Type="http://schemas.openxmlformats.org/officeDocument/2006/relationships/hyperlink" Target="https://www.sec.gov/ix?doc=/Archives/edgar/data/0001609809/000095017024025464/mcrb-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2026-03-12T09:07:24Z</dcterms:created>
  <dcterms:modified xsi:type="dcterms:W3CDTF">2026-03-12T09:07:24Z</dcterms:modified>
</cp:coreProperties>
</file>