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rb-20260630.htm"/>
      <w:bookmarkStart w:id="1" w:name="ksmcrb20260630"/>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001-37465</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Seres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27-4326290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101 Cambridgepark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945-9626</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248" w:type="dxa"/>
        <w:jc w:val="left"/>
        <w:tblInd w:w="0" w:type="dxa"/>
        <w:tblLayout w:type="fixed"/>
        <w:tblCellMar>
          <w:top w:w="28" w:type="dxa"/>
          <w:left w:w="28" w:type="dxa"/>
          <w:bottom w:w="28" w:type="dxa"/>
          <w:right w:w="28" w:type="dxa"/>
        </w:tblCellMar>
      </w:tblPr>
      <w:tblGrid>
        <w:gridCol w:w="2476"/>
        <w:gridCol w:w="145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4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MCRB</w:t>
            </w:r>
          </w:p>
        </w:tc>
        <w:tc>
          <w:tcPr>
            <w:tcW w:w="3316"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sz w:val="20"/>
              </w:rPr>
            </w:pPr>
            <w:r>
              <w:rPr>
                <w:rFonts w:ascii="Times New Roman" w:hAnsi="Times New Roman"/>
                <w:color w:val="000000"/>
                <w:sz w:val="16"/>
              </w:rPr>
              <w:t>The Nasdaq Stock Market LLC</w:t>
            </w:r>
            <w:r>
              <w:rPr>
                <w:rFonts w:ascii="Times New Roman" w:hAnsi="Times New Roman"/>
                <w:color w:val="000000"/>
                <w:sz w:val="20"/>
              </w:rPr>
              <w:t xml:space="preserve">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tbl>
      <w:tblPr>
        <w:tblW w:w="9177" w:type="dxa"/>
        <w:jc w:val="left"/>
        <w:tblInd w:w="0" w:type="dxa"/>
        <w:tblLayout w:type="fixed"/>
        <w:tblCellMar>
          <w:top w:w="28" w:type="dxa"/>
          <w:left w:w="28" w:type="dxa"/>
          <w:bottom w:w="28" w:type="dxa"/>
          <w:right w:w="28" w:type="dxa"/>
        </w:tblCellMar>
      </w:tblPr>
      <w:tblGrid>
        <w:gridCol w:w="161"/>
        <w:gridCol w:w="9016"/>
      </w:tblGrid>
      <w:tr>
        <w:trPr/>
        <w:tc>
          <w:tcPr>
            <w:tcW w:w="161"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6"/>
        </w:rPr>
        <w:t>As of August 3, 2026, the registrant had 9,941,261</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Seres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068"/>
        <w:gridCol w:w="146"/>
        <w:gridCol w:w="991"/>
      </w:tblGrid>
      <w:tr>
        <w:trPr/>
        <w:tc>
          <w:tcPr>
            <w:tcW w:w="9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0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68"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condensed_consolidated_financial_">
              <w:r>
                <w:rPr>
                  <w:rStyle w:val="InternetLink"/>
                  <w:rFonts w:ascii="Times New Roman" w:hAnsi="Times New Roman"/>
                  <w:color w:val="0000FF"/>
                  <w:sz w:val="20"/>
                  <w:u w:val="single"/>
                </w:rPr>
                <w:t>Item 1.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734"/>
              <w:jc w:val="right"/>
              <w:rPr>
                <w:rFonts w:ascii="Times New Roman" w:hAnsi="Times New Roman"/>
                <w:color w:val="000000"/>
                <w:sz w:val="20"/>
              </w:rPr>
            </w:pPr>
            <w:r>
              <w:rPr>
                <w:rFonts w:ascii="Times New Roman" w:hAnsi="Times New Roman"/>
                <w:color w:val="000000"/>
                <w:sz w:val="20"/>
              </w:rPr>
              <w:t>5</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734"/>
              <w:jc w:val="left"/>
              <w:rPr/>
            </w:pPr>
            <w:hyperlink w:anchor="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734"/>
              <w:jc w:val="right"/>
              <w:rPr>
                <w:rFonts w:ascii="Times New Roman" w:hAnsi="Times New Roman"/>
                <w:color w:val="000000"/>
                <w:sz w:val="20"/>
              </w:rPr>
            </w:pPr>
            <w:r>
              <w:rPr>
                <w:rFonts w:ascii="Times New Roman" w:hAnsi="Times New Roman"/>
                <w:color w:val="000000"/>
                <w:sz w:val="20"/>
              </w:rPr>
              <w:t>5</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734"/>
              <w:jc w:val="left"/>
              <w:rPr/>
            </w:pPr>
            <w:hyperlink w:anchor="consolidated_statements_operations_compr">
              <w:r>
                <w:rPr>
                  <w:rStyle w:val="InternetLink"/>
                  <w:rFonts w:ascii="Times New Roman" w:hAnsi="Times New Roman"/>
                  <w:color w:val="0000FF"/>
                  <w:sz w:val="20"/>
                  <w:u w:val="single"/>
                </w:rPr>
                <w:t>Condensed Consolidated Statements of Operations and Comprehensive Income</w:t>
              </w:r>
            </w:hyperlink>
            <w:hyperlink w:anchor="consolidated_statements_operations_compr">
              <w:r>
                <w:rPr>
                  <w:rStyle w:val="InternetLink"/>
                  <w:rFonts w:ascii="Times New Roman" w:hAnsi="Times New Roman"/>
                  <w:color w:val="0000FF"/>
                  <w:sz w:val="20"/>
                </w:rPr>
                <w:t xml:space="preserve"> </w:t>
              </w:r>
            </w:hyperlink>
            <w:hyperlink w:anchor="consolidated_statements_operations_compr">
              <w:r>
                <w:rPr>
                  <w:rStyle w:val="InternetLink"/>
                  <w:rFonts w:ascii="Times New Roman" w:hAnsi="Times New Roman"/>
                  <w:color w:val="0000FF"/>
                  <w:sz w:val="20"/>
                  <w:u w:val="single"/>
                </w:rPr>
                <w:t>(Loss)</w:t>
              </w:r>
            </w:hyperlink>
            <w:hyperlink w:anchor="consolidated_statements_operations_compr">
              <w:r>
                <w:rPr>
                  <w:rStyle w:val="InternetLink"/>
                  <w:rFonts w:ascii="Times New Roman" w:hAnsi="Times New Roman"/>
                  <w:color w:val="0000FF"/>
                  <w:sz w:val="20"/>
                </w:rPr>
                <w:t xml:space="preserve"> </w:t>
              </w:r>
            </w:hyperlink>
            <w:hyperlink w:anchor="consolidated_statements_operations_compr">
              <w:r>
                <w:rPr>
                  <w:rStyle w:val="InternetLink"/>
                  <w:rFonts w:ascii="Times New Roman" w:hAnsi="Times New Roman"/>
                  <w:color w:val="0000FF"/>
                  <w:sz w:val="20"/>
                  <w:u w:val="single"/>
                </w:rPr>
                <w:t>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6</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_stockholders_equi">
              <w:r>
                <w:rPr>
                  <w:rStyle w:val="InternetLink"/>
                  <w:rFonts w:ascii="Times New Roman" w:hAnsi="Times New Roman"/>
                  <w:color w:val="0000FF"/>
                  <w:sz w:val="20"/>
                  <w:u w:val="single"/>
                </w:rPr>
                <w:t>Condensed Consolidated Statements of Stockholders’</w:t>
              </w:r>
            </w:hyperlink>
            <w:hyperlink w:anchor="consolidated_statement_stockholders_equi">
              <w:r>
                <w:rPr>
                  <w:rStyle w:val="InternetLink"/>
                  <w:rFonts w:ascii="Times New Roman" w:hAnsi="Times New Roman"/>
                  <w:color w:val="0000FF"/>
                  <w:sz w:val="20"/>
                </w:rPr>
                <w:t xml:space="preserve"> </w:t>
              </w:r>
            </w:hyperlink>
            <w:hyperlink w:anchor="consolidated_statement_stockholders_equi">
              <w:r>
                <w:rPr>
                  <w:rStyle w:val="InternetLink"/>
                  <w:rFonts w:ascii="Times New Roman" w:hAnsi="Times New Roman"/>
                  <w:color w:val="0000FF"/>
                  <w:sz w:val="20"/>
                  <w:u w:val="single"/>
                </w:rPr>
                <w:t>Equity</w:t>
              </w:r>
            </w:hyperlink>
            <w:hyperlink w:anchor="consolidated_statement_stockholders_equi">
              <w:r>
                <w:rPr>
                  <w:rStyle w:val="InternetLink"/>
                  <w:rFonts w:ascii="Times New Roman" w:hAnsi="Times New Roman"/>
                  <w:color w:val="0000FF"/>
                  <w:sz w:val="20"/>
                </w:rPr>
                <w:t xml:space="preserve"> </w:t>
              </w:r>
            </w:hyperlink>
            <w:hyperlink w:anchor="consolidated_statement_stockholders_equi">
              <w:r>
                <w:rPr>
                  <w:rStyle w:val="InternetLink"/>
                  <w:rFonts w:ascii="Times New Roman" w:hAnsi="Times New Roman"/>
                  <w:color w:val="0000FF"/>
                  <w:sz w:val="20"/>
                  <w:u w:val="single"/>
                </w:rPr>
                <w:t>for the six months ended June 30, 2026 and 2025</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734"/>
              <w:jc w:val="right"/>
              <w:rPr>
                <w:rFonts w:ascii="Times New Roman" w:hAnsi="Times New Roman"/>
                <w:color w:val="000000"/>
                <w:sz w:val="20"/>
              </w:rPr>
            </w:pPr>
            <w:r>
              <w:rPr>
                <w:rFonts w:ascii="Times New Roman" w:hAnsi="Times New Roman"/>
                <w:color w:val="000000"/>
                <w:sz w:val="20"/>
              </w:rPr>
              <w:t>7</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734"/>
              <w:jc w:val="left"/>
              <w:rPr/>
            </w:pPr>
            <w:hyperlink w:anchor="consolidated_statements_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8</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notes_to_consolidated_financial_statemen">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1_item_3_market_risk">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40</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1_item_4_controls_and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0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6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80</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80</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81</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81</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0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future results of operations and financial position including our projected cash runway, our requirement for additional funding, our business strategy, including potential strategic partnership efforts, our prospective products, the design, timing and results of our clinical studies and data readouts, product approvals, communications with, feedback from, or submissions to the FDA, research and development costs, timing and likelihood of success, our ability to continue as a going concern, our ability to maintain compliance with any applicable Nasdaq listing requirements, executive and director transition matters, plans and objectives of management for future operations and future results of anticipated products, the expected receipt of the Milestone Termination Payment (as defined herein) or the timing of any of the foregoing,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Quarterly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TRADEMARKS, SERVICE MARKS AND TRADENAMES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proprietary rights to trademarks used in this Quarterly Report, which are important to our business and many of which are registered under applicable intellectual property laws. Solely for convenience, the trademarks, service marks, logos and trade names referred to in this Quarterly Report are without the ® and  symbols, but such references are not intended to indicate, in any way, that we will not assert, to the fullest extent under applicable law, our rights to these trademarks, service marks and trade names. This Quarterly Report contains additional trademarks, service marks and trade names of others, which are the property of their respective owners. All trademarks, service marks and trade names appearing in this Quarterly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conditions and events that raise substantial doubt regarding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additional funding in order to advance development of our product candidates (including to conduct the Phase 2 study of SER-155 in allo-HCT and/or a Phase 2 study of SER-155 in irEC) and commercialize our product candidates, if approved. If we are unable to raise capital or secure a partnership or other business development transaction, we could be required to implement further cost-reduction measures, reduce or delay our product development programs or potential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future commercialization efforts, or pursue other alternatives, which could include seeking relief under the U.S. Bankruptcy Code or winding down our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company and have incurred significant losses since our inception. We expect to incur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may make it difficult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of our product candidates and may not be successful in our efforts to use our reverse translational platform to build a pipeline of product candidates and develop additional marketable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based on live biotherapeutics, which is a novel approach to therapeutic intervention.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involves a risky, lengthy and expensive process, with an uncertain outcome. We may incur additional costs or experience delays in completing, or ultimately be unable to complete, the development and any potential future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enrollment of patients in clinical trials, could result in our receipt of necessary regulatory approvals being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government agencies caused by funding shortages, government shutdowns, or staffing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and future legislation or regulation may increase the difficulty and cost for us to obtain marketing approval of and commercialize our product candidates and may adversely affect the prices we may obtain.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conduct our clinical trials, and those third parties may not perform satisfactorily, including failing to meet deadlines for the completion of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 marketing approval, such product candidates may fail to achieve the degree of market acceptance by physicians, patients, hospitals, third-party payors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competing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ability to retain key executives and to attract, retain and motivate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again in the future receive a notice of the failure to satisfy a continued listing rule from Nasdaq.</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3" w:name="item_1_condensed_consolidated_financial_"/>
      <w:bookmarkEnd w:id="3"/>
      <w:r>
        <w:rPr>
          <w:rFonts w:ascii="Times New Roman" w:hAnsi="Times New Roman"/>
          <w:b/>
          <w:color w:val="000000"/>
          <w:sz w:val="20"/>
        </w:rPr>
        <w:t>Item 1. Condensed Consolidated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SERES THERAPEUTICS,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6852"/>
        <w:gridCol w:w="146"/>
        <w:gridCol w:w="211"/>
        <w:gridCol w:w="931"/>
        <w:gridCol w:w="166"/>
        <w:gridCol w:w="146"/>
        <w:gridCol w:w="211"/>
        <w:gridCol w:w="931"/>
        <w:gridCol w:w="611"/>
      </w:tblGrid>
      <w:tr>
        <w:trPr/>
        <w:tc>
          <w:tcPr>
            <w:tcW w:w="6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due from SPN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138,193</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due to SPN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at June 30, 2026 and December 31, 2025; no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360,000,000 shares authorized at June 30, 2026 and December 31, 2025; 9,827,569 and 9,556,466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SERES THERAPEUTICS, INC.</w:t>
      </w:r>
    </w:p>
    <w:p>
      <w:pPr>
        <w:pStyle w:val="TextBody"/>
        <w:bidi w:val="0"/>
        <w:jc w:val="center"/>
        <w:rPr>
          <w:rFonts w:ascii="Times New Roman" w:hAnsi="Times New Roman"/>
          <w:b/>
          <w:color w:val="000000"/>
          <w:sz w:val="20"/>
        </w:rPr>
      </w:pPr>
      <w:bookmarkStart w:id="5" w:name="consolidated_statements_operations_compr"/>
      <w:bookmarkEnd w:id="5"/>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4110"/>
        <w:gridCol w:w="211"/>
        <w:gridCol w:w="931"/>
        <w:gridCol w:w="166"/>
        <w:gridCol w:w="146"/>
        <w:gridCol w:w="211"/>
        <w:gridCol w:w="931"/>
        <w:gridCol w:w="166"/>
        <w:gridCol w:w="146"/>
        <w:gridCol w:w="211"/>
        <w:gridCol w:w="931"/>
        <w:gridCol w:w="166"/>
        <w:gridCol w:w="146"/>
        <w:gridCol w:w="211"/>
        <w:gridCol w:w="931"/>
        <w:gridCol w:w="591"/>
      </w:tblGrid>
      <w:tr>
        <w:trPr/>
        <w:tc>
          <w:tcPr>
            <w:tcW w:w="4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services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VOWST Business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8,723,589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8,732,176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$0, $0, $3,490, and $9,799 for the three and six months ended June 30, 2026 and 2025 related to reimbursement received from SPN (related party) for transition services provided by the Company.</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SERES THERAPEUTICS, INC.</w:t>
      </w:r>
    </w:p>
    <w:p>
      <w:pPr>
        <w:pStyle w:val="TextBody"/>
        <w:bidi w:val="0"/>
        <w:jc w:val="center"/>
        <w:rPr>
          <w:rFonts w:ascii="Times New Roman" w:hAnsi="Times New Roman"/>
          <w:sz w:val="20"/>
        </w:rPr>
      </w:pPr>
      <w:bookmarkStart w:id="6" w:name="consolidated_statement_stockholders_equi"/>
      <w:bookmarkEnd w:id="6"/>
      <w:r>
        <w:rPr>
          <w:rFonts w:ascii="Times New Roman" w:hAnsi="Times New Roman"/>
          <w:b/>
          <w:color w:val="000000"/>
          <w:sz w:val="20"/>
        </w:rPr>
        <w:t>CONDENSED CONSOLIDATED STATEMENTS OF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7"/>
        <w:gridCol w:w="146"/>
        <w:gridCol w:w="146"/>
        <w:gridCol w:w="826"/>
        <w:gridCol w:w="146"/>
        <w:gridCol w:w="146"/>
        <w:gridCol w:w="196"/>
        <w:gridCol w:w="346"/>
        <w:gridCol w:w="146"/>
        <w:gridCol w:w="146"/>
        <w:gridCol w:w="196"/>
        <w:gridCol w:w="826"/>
        <w:gridCol w:w="146"/>
        <w:gridCol w:w="146"/>
        <w:gridCol w:w="217"/>
        <w:gridCol w:w="834"/>
        <w:gridCol w:w="166"/>
        <w:gridCol w:w="146"/>
        <w:gridCol w:w="250"/>
        <w:gridCol w:w="846"/>
        <w:gridCol w:w="391"/>
      </w:tblGrid>
      <w:tr>
        <w:trPr/>
        <w:tc>
          <w:tcPr>
            <w:tcW w:w="3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9,556,466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at the market equity offering, net of issuance costs of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9,592,326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at the market equity offering, net of issuance costs of $140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9,827,569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32"/>
        <w:gridCol w:w="146"/>
        <w:gridCol w:w="146"/>
        <w:gridCol w:w="826"/>
        <w:gridCol w:w="146"/>
        <w:gridCol w:w="146"/>
        <w:gridCol w:w="196"/>
        <w:gridCol w:w="346"/>
        <w:gridCol w:w="146"/>
        <w:gridCol w:w="146"/>
        <w:gridCol w:w="196"/>
        <w:gridCol w:w="691"/>
        <w:gridCol w:w="146"/>
        <w:gridCol w:w="146"/>
        <w:gridCol w:w="217"/>
        <w:gridCol w:w="834"/>
        <w:gridCol w:w="166"/>
        <w:gridCol w:w="146"/>
        <w:gridCol w:w="250"/>
        <w:gridCol w:w="846"/>
        <w:gridCol w:w="391"/>
      </w:tblGrid>
      <w:tr>
        <w:trPr/>
        <w:tc>
          <w:tcPr>
            <w:tcW w:w="3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8,650,227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at the market equity offering, net of issuance costs of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8,732,187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fractional shares due to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8,754,482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SERES THERAPEUTICS, INC.</w:t>
      </w:r>
    </w:p>
    <w:p>
      <w:pPr>
        <w:pStyle w:val="TextBody"/>
        <w:bidi w:val="0"/>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7102"/>
        <w:gridCol w:w="146"/>
        <w:gridCol w:w="211"/>
        <w:gridCol w:w="736"/>
        <w:gridCol w:w="166"/>
        <w:gridCol w:w="146"/>
        <w:gridCol w:w="211"/>
        <w:gridCol w:w="676"/>
        <w:gridCol w:w="811"/>
      </w:tblGrid>
      <w:tr>
        <w:trPr/>
        <w:tc>
          <w:tcPr>
            <w:tcW w:w="7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due from SPN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due to SPN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current and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 the market equity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purchases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 in ROU asset and lease liability due to lease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SERES THERAPEUTICS, INC.</w:t>
      </w:r>
    </w:p>
    <w:p>
      <w:pPr>
        <w:pStyle w:val="TextBody"/>
        <w:bidi w:val="0"/>
        <w:jc w:val="center"/>
        <w:rPr>
          <w:rFonts w:ascii="Times New Roman" w:hAnsi="Times New Roman"/>
          <w:b/>
          <w:color w:val="000000"/>
          <w:sz w:val="20"/>
        </w:rPr>
      </w:pPr>
      <w:bookmarkStart w:id="8" w:name="notes_to_consolidated_financial_statemen"/>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clinical-stage company focused on improving patient outcomes in medically compromised populations, including oncology patients and those suffering from inflammatory and immune (“I&amp;I”) diseases through discovery and development of novel live biotherapeutics. The Company led the successful development and approval of VOWST (previously referred to as SER-109), the first FDA-approved orally administered microbiome therapeutic and a Breakthrough Therapy designated drug, which was sold to Nestlé Health Science (as defined below) in September 2024. The Company's live biotherapeutic product (“LBP”) candidates, including SER-155, SER-603, SER-428, SER-147, and other potential candidates in earlier development, are consortia of bacteria designed to optimize specific, targeted pharmacological properties, and are formulated for oral delivery. The Company is designing LBP candidates to address unmet medical needs in oncology that can lead to interruption to patients' cancer treatment and/or mortality, and to treat I&amp;I diseases, by modulating host function to protect and improve mucosal epithelial barrier integrity, induce immune homeostasis and tolerance, and prevent the colonization and overgrowth of pathogens in the gastrointestinal (“GI”) tract.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initial focus in oncology is in two areas: (1) to prevent bacterial bloodstream infections (“BSIs”), including those that can harbor antimicrobial resistance (“AMR”), as well as other pathogen-associated negative clinical outcomes in patients undergoing allogeneic hematopoietic stem cell transplantation (“allo-HCT”), and (2) to treat immune checkpoint-related enterocolitis (“irEC”), a frequent and often severe side effect of immune checkpoint inhibitor (“ICI”) therapy.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SER-155, the Company's most advanced LBP candidate, is an investigational, oral, live biotherapeutic currently in development to address unmet medical needs in oncology that cause interruptions to cancer treatment and/or mortality. In the Company's placebo-controlled Phase 1b study of SER-155 in allo-HCT, SER-155 was associated with a 77% relative risk reduction in bacterial BSIs and a significant reduction in systemic antibiotic exposure as well as a lower incidence of febrile neutropenia, as compared to placebo through day 100 post HCT. SER-155 was generally well tolerated, with no observed treatment-related serious adverse events. Drug pharmacology data demonstrated that SER-155 significantly promoted mucosal epithelial barrier integrity and had a positive impact on biomarkers of systemic inflammation and immune homeostasis. Following advancement of key startup activities for the SER-155 Phase 2 study in allo-HCT, including the submission of a final protocol to the FDA in January 2026, study site evaluation and qualification with its CRO, and manufacturing of drug substance, the Company has paused additional investment in that program while continuing to seek funding for the Phase 2 study.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SER-155 is also being evaluated in 15 patients with moderate-to-severe (Grade 2- 3) irEC, through an investigator-sponsored trial (“IST”), with Memorial Sloan Kettering Cancer Center, with whom the Company has had a decade-long collaboration. irEC is among the most frequent and severe immune-related adverse events (“irAEs”), in recipients of ICI therapy, and can be observed in up to 50% of patients, with rates varying based on cancer drug and treatment regimen. Moderate to severe irEC occurs in approximately 25% of all ICI therapy recipients in the United States. Top-line data from the IST showed that 80% of SER-155 recipients achieved an immunosuppressive-free clinical response of diarrhea (a primary symptom of irEC) at Day 15, which met the primary endpoint, defined as at least a 1-grade improvement in diarrhea symptoms without immunosuppressive therapy (i.e., a corticosteroid and/or biologic immunomodulator drug). All 12 participants with immunosuppressive-free clinical response at Day 15 had the same, or better, diarrhea grade at Day 43. SER-155 was well tolerated, with no drug-related serious adverse events observed.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Clinical data from the SER-155 Phase 1b study in allo-HCT and the IST in irEC, in particular the drug pharmacology translational biomarker data, along with the Company's extensive preclinical and other translational clinical data compiled over the past decade support and inform the advancement of the Company's earlier stage programs targeting I&amp;I diseases. The Company is developing SER-603, broadly in inflammatory bowel disease (“IBD”), including ulcerative colitis (“UC”), and Crohn's disease. SER-603 is a novel, LBP candidate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The Company is currently exploring potential collaborations related to I&amp;I disease programs.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2025, the Company was awarded a grant from Combating Antibiotic-Resistant Bacteria Biopharmaceutical Accelerator (“CARB-X”) for up to $3,583, representing the Company’s second CARB-X award, to support the development of an oral liquid formulation based on SER-155 strains, now referred to as SER-428, for dosing in patients who cannot take oral capsules such as intubated patients in the medical ICU, and other medically vulnerable patients at high risk of AMR infections. The Company began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recognizing revenue from this grant in the third quarter of 2025. The Company has advanced development and manufacturing of SER-428 and is designing a Phase 1b open label trial in collaboration with Columbia University to evaluate this LBP candidate in medical ICU patients at high risk of infection.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built and deploys a reverse translational platform and knowledge base for the discovery and development of LBPs, and maintains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spans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the Company owns a valuable intellectual property estate related to the development and manufacture of live biotherapeutics.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12, 2026, the Company announced that it implemented cost reduction actions, including reducing its workforce by approximately 30%. During the six months ended June 30, 2026, the Company incurred approximately $914 in restructuring costs, primarily related to severance costs, of which $718 was paid in the first quarter of 2026, and the remainder of these costs were paid out in the second quarter of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 operates in an environment of rapid change in technology and substantial competition from pharmaceutical and biotechnology companies. In addition, the Company is dependent upon the services of its employees and consultants.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on a basis which assumes that the Company will continue as a going concern and which contemplates the realization of assets and satisfaction of liabilities and commitments in the normal course of business. As of June 30, 2026, the Company had an accumulated deficit of $987,735 and cash and cash equivalents of $15,594.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candidates are in development, and will require significant additional research and development efforts, including extensive preclinical and clinical testing and regulatory approval, prior to potential commercialization. There can be no assurance that the Company’s research and development will be successfully completed, that adequate protection for the Company’s intellectual property will be obtained, or maintained, that any product candidate developed will obtain necessary government regulatory approval, or that any approved product will be commercially viable.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Primarily as a result of the costs associated with the discovery and development of novel live biotherapeutics, the Company incurred a net loss from operations of $42,180 for the six months ended June 30, 2026. The Company expects that its operating losses and negative cash flows will continue for the foreseeable future. Based on the Company’s currently available cash resources, the $12,500 Milestone Termination Payment (as defined below in Note 3, </w:t>
      </w:r>
      <w:r>
        <w:rPr>
          <w:rFonts w:ascii="Times New Roman" w:hAnsi="Times New Roman"/>
          <w:i/>
          <w:color w:val="000000"/>
          <w:sz w:val="20"/>
        </w:rPr>
        <w:t>Discontinued Operations and TSA</w:t>
      </w:r>
      <w:r>
        <w:rPr>
          <w:rFonts w:ascii="Times New Roman" w:hAnsi="Times New Roman"/>
          <w:color w:val="000000"/>
          <w:sz w:val="20"/>
        </w:rPr>
        <w:t xml:space="preserve">) received from SPN (as defined below) in July 2026, and the expected receipt of the additional $12,500 Milestone Termination Payment due from SPN in October 2026, current and forecasted level of operations, and forecasted cash flows for the 12-month period subsequent to the date of issuance of these condensed consolidated financial statements, the Company will require additional funding to support its ongoing operations and meet its obligations as they come due. These conditions raise substantial doubt about the Company’s ability to continue as a going concern.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ability to continue as a going concern is dependent upon its ability to obtain the necessary financing to meet its obligations and repay its liabilities arising from normal business operations when they come due, and to generate profitable operations in the future. Management plans to provide for the Company’s capital requirements through financing or other strategic transactions, including potential business development transactions, and selling shares under the Company’s at the market equity offering. There can be no assurance that the Company will be able to access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Accounting Standards Codification (“ASC”) 205-40, </w:t>
      </w:r>
      <w:r>
        <w:rPr>
          <w:rFonts w:ascii="Times New Roman" w:hAnsi="Times New Roman"/>
          <w:i/>
          <w:color w:val="000000"/>
          <w:sz w:val="20"/>
        </w:rPr>
        <w:t>Going Concern</w:t>
      </w:r>
      <w:r>
        <w:rPr>
          <w:rFonts w:ascii="Times New Roman" w:hAnsi="Times New Roman"/>
          <w:color w:val="000000"/>
          <w:sz w:val="20"/>
        </w:rPr>
        <w:t xml:space="preserve"> (“ASC 205-40”), and therefore cannot be considered in the evaluation of mitigating factors. As a result, management has concluded that substantial doubt exists about the Company’s ability to continue as a going concern for 12 months from the date these condensed consolidated financial statements are issued. The accompanying condensed consolidated financial statements do not include any adjustments that may result from the outcome of this uncertainty.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as of June 30, 2026 and for the six months ended June 30, 2026 and 2025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consolidated financial statements and the notes thereto for the year ended December 31, 2025 included in the Company’s annual report on Form 10-K for the fiscal year ended December 31, 2025, which was filed with the SEC on March 12, 2026 (the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have been prepared on the same basis as the audited consolidated financial statements. The condensed consolidated balance sheet at December 31, 2025 was derived from audited annual financial statements, but does not contain all of the footnote disclosures from the annual financial statements. In the opinion of management, the accompanying unaudited interim condensed consolidated financial statements contain all adjustments which are necessary for a fair statement of the Company’s financial position, results of operations, and cash flows for the periods presented. Such adjustments are of a normal and recurring nature. The results of operations for the three and six months ended June 30, 2026 are not necessarily indicative of the results of operations that may be expected for the year ending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condensed consolidated financial statements include its accounts and the accounts of its wholly owned subsidiaries. All intercompany transactions have been eliminated in consolidation. The condensed consolidated financial statements have been prepared in conformity with U.S. GAAP.</w:t>
      </w:r>
    </w:p>
    <w:p>
      <w:pPr>
        <w:pStyle w:val="TextBody"/>
        <w:bidi w:val="0"/>
        <w:spacing w:before="120" w:after="283"/>
        <w:jc w:val="left"/>
        <w:rPr>
          <w:rFonts w:ascii="Times New Roman" w:hAnsi="Times New Roman"/>
          <w:sz w:val="20"/>
        </w:rPr>
      </w:pPr>
      <w:r>
        <w:rPr>
          <w:rFonts w:ascii="Times New Roman" w:hAnsi="Times New Roman"/>
          <w:color w:val="000000"/>
          <w:sz w:val="20"/>
        </w:rPr>
        <w:t>On April 21, 2025, the Company effected a 1-for-20 reverse stock split of the Company’s common stock. All share and per share amounts in the financial statements and notes thereto have been retroactively adjusted for all periods presented to give effect to this reverse stock split. T</w:t>
      </w:r>
      <w:r>
        <w:rPr>
          <w:rFonts w:ascii="Times New Roman" w:hAnsi="Times New Roman"/>
          <w:color w:val="212529"/>
          <w:sz w:val="20"/>
        </w:rPr>
        <w:t xml:space="preserve">he reverse stock split had no impact on the number of authorized shares or the par value of preferred and common stock. </w:t>
      </w:r>
      <w:r>
        <w:rPr>
          <w:rFonts w:ascii="Times New Roman" w:hAnsi="Times New Roman"/>
          <w:color w:val="000000"/>
          <w:sz w:val="20"/>
        </w:rPr>
        <w:t xml:space="preserve">Therefore, the Company reclassified an amount equal to the reduction in the number of shares of common stock at par value to additional paid-in capital. No fractional shares were issued in connection with the reverse split, and stockholders who would otherwise be entitled to receive a fractional share instead received a cash payment equal to the fraction of a share of common stock in lieu of such fractional share. Proportionate adjustments were made to the number of shares authorized under the Company’s equity incentive plans, the number of shares subject to any award or purchase right under the Company’s equity incentive plans, and the exercise price or purchase price with respect to any stock option award or purchase right under the Company’s equity incentive plans. See Note 7, </w:t>
      </w:r>
      <w:r>
        <w:rPr>
          <w:rFonts w:ascii="Times New Roman" w:hAnsi="Times New Roman"/>
          <w:i/>
          <w:color w:val="000000"/>
          <w:sz w:val="20"/>
        </w:rPr>
        <w:t>Stockholders' Equity</w:t>
      </w:r>
      <w:r>
        <w:rPr>
          <w:rFonts w:ascii="Times New Roman" w:hAnsi="Times New Roman"/>
          <w:color w:val="000000"/>
          <w:sz w:val="20"/>
        </w:rPr>
        <w:t>, for further information.</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and estimates used in preparation of the unaudited condensed consolidated financial statements are described in the Company’s audited financial statements as of and for the year ended December 31, 2025, and the notes thereto, which are included in the Annual Report. There have been no material changes to the Company’s significant accounting policies during the six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unaudited condensed consolidated financial statements and the reported amount of expenses during the reporting periods. In the unaudited condensed consolidated financial statements, the Company uses estimates and assumptions related to the accrual of research and development expenses. Estimates are periodically reviewed in light of changes in circumstances, facts and experience.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held restricted cash of $2,243 and $8,668 as of June 30, 2026 and December 31, 2025, respectively, which represents cash held for the benefit of the landlords for the Company’s leases. The Company has classified the restricted cash as long-term on its condensed consolidated balance sheets as the terms of the underlying leases are greater than one year.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cash equivalents and restricted cash were comprised of the following (in thousands):</w:t>
      </w:r>
    </w:p>
    <w:tbl>
      <w:tblPr>
        <w:tblW w:w="6757" w:type="dxa"/>
        <w:jc w:val="left"/>
        <w:tblInd w:w="0" w:type="dxa"/>
        <w:tblLayout w:type="fixed"/>
        <w:tblCellMar>
          <w:top w:w="28" w:type="dxa"/>
          <w:left w:w="28" w:type="dxa"/>
          <w:bottom w:w="28" w:type="dxa"/>
          <w:right w:w="28" w:type="dxa"/>
        </w:tblCellMar>
      </w:tblPr>
      <w:tblGrid>
        <w:gridCol w:w="4046"/>
        <w:gridCol w:w="146"/>
        <w:gridCol w:w="211"/>
        <w:gridCol w:w="676"/>
        <w:gridCol w:w="146"/>
        <w:gridCol w:w="146"/>
        <w:gridCol w:w="260"/>
        <w:gridCol w:w="835"/>
        <w:gridCol w:w="29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2025-07, </w:t>
      </w:r>
      <w:r>
        <w:rPr>
          <w:rFonts w:ascii="Times New Roman" w:hAnsi="Times New Roman"/>
          <w:i/>
          <w:color w:val="000000"/>
          <w:sz w:val="20"/>
        </w:rPr>
        <w:t>Derivatives and Hedging and Revenue from Contracts with Customers - Derivatives Scope Refinements and Scope Clarification for Share-Based Noncash Consideration from a Customer in a Revenue Contract,</w:t>
      </w:r>
      <w:r>
        <w:rPr>
          <w:rFonts w:ascii="Times New Roman" w:hAnsi="Times New Roman"/>
          <w:color w:val="000000"/>
          <w:sz w:val="20"/>
        </w:rPr>
        <w:t xml:space="preserve"> which applies to all entities that enter into non-exchange-traded contracts with underlyings based on operations or activities specific to one of the parties to the contract. The guidance in ASU 2025-07 expands the scope exceptions within ASC Topic 815, </w:t>
      </w:r>
      <w:r>
        <w:rPr>
          <w:rFonts w:ascii="Times New Roman" w:hAnsi="Times New Roman"/>
          <w:i/>
          <w:color w:val="000000"/>
          <w:sz w:val="20"/>
        </w:rPr>
        <w:t>Derivatives and Hedging</w:t>
      </w:r>
      <w:r>
        <w:rPr>
          <w:rFonts w:ascii="Times New Roman" w:hAnsi="Times New Roman"/>
          <w:color w:val="000000"/>
          <w:sz w:val="20"/>
        </w:rPr>
        <w:t>, to include certain nonexchange-traded contracts with underlyings that are based on operations or activities specific to one of the parties to the contract, including research and development funding arrangements. The Company early-adopted ASU 2025-07 effective January 1, 2026, and will account for the new ASU on a prospective basis to any new contracts entered into after the effective date. The adoption of ASU 2025-07 did not have a material impact on the Company's condensed consolidated financial statements or financial statement disclosures.</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 (Topic 220)</w:t>
      </w:r>
      <w:r>
        <w:rPr>
          <w:rFonts w:ascii="Times New Roman" w:hAnsi="Times New Roman"/>
          <w:color w:val="000000"/>
          <w:sz w:val="20"/>
        </w:rPr>
        <w:t xml:space="preserve">, which requires disclosure in the notes to financial statements about specific types of expenses included in the expense captions presented on the face of the statement of operations. The requirements of the ASU are effective for annual periods beginning after December 15, 2026, and for interim periods beginning after December 15, 2027, with early adoption permitted. The requirements will be applied prospectively with the option for retrospective application. The Company is currently evaluating the impact related to the adoption of ASU 2024-03 on its financial statement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which standardizes the accounting for government grants and distinguishes between a grant related to an asset and a grant related to income. The requirements of the ASU are effective for annual periods beginning after December 15, 2028, and for interim periods within those annual periods, with early adoption permitted. The requirements can be applied using a modified prospective or a modified retrospective approach. The Company does not expect the impact of ASU 2025-10 to be material to its financial statement disclosures as it is consistent with the Company's current accounting policy for government grants.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3. Discontinued Operations and TSA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30, 2024, the Company completed the sale (the “Transaction”) of its VOWST microbiome therapeutic business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as provided for in accordance with the terms of the Purchase Agreement (the “Product”), to Société des Produits Nestlé S.A. (“SPN”), a wholly-owned subsidiary of Nestlé S.A., and its designated affiliates (collectively, “Nestlé Health Science”) pursuant to the Asset Purchase Agreement, dated as of August 5, 2024 (the “Purchase Agreement”), by and among the Company and SPN, and a wholly-owned subsidiary of Nestlé S.A.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entered into a Transition Services Agreement (“TSA”) with Nestlé Enterprises S.A., (“NESA”), an affiliate of SPN, in connection with the Transaction, through which the Company provided certain manufacturing services until December 31, 2025, and other transition services, for the duration specified in the schedule to the TSA for each service. The Company's obligations under the TSA are now complete. For the three and six months ended June 30, 2026 and 2025, the Company recognized $0, $0, $3,490, and $9,799 respectively, of TSA reimbursement income in other income in the Company’s condensed consolidated statements of operations and comprehensive (loss) income. For the three and six months ended June 30, 2026 and 2025, the Company incurred $0, $0, $1,689, and $5,216, respectively, of expenses related to manufacturing services and $0, $0, $1,261, and $3,509, respectively, of TSA labor and passthrough expenses to support the transition services, including finance and accounting, information technology, human resources, operations, and other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$0, $0, $4,585, and $11,987, respectively, was billed to NESA related to transition services performed by the Company, and the Company received $0, $360, $6,464, and $63,173 from NESA during the periods, respectively. The payments received in the first quarter of 2025 included the installment payment of $50,000 received in January 2025 which was conditioned on the Company’s material compliance with obligations under the TSA. The installment payment was recognized in Gain on sale of VOWST Business within continuing operations in the Company’s condensed consolidated statements of operations and comprehensive income for the six months ended June 30, 2025 as the gain was realizable.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estimated costs associated with certain accrued liabilities due to SPN - related party as a loss contingency in accordance with ASC 450, </w:t>
      </w:r>
      <w:r>
        <w:rPr>
          <w:rFonts w:ascii="Times New Roman" w:hAnsi="Times New Roman"/>
          <w:i/>
          <w:color w:val="000000"/>
          <w:sz w:val="20"/>
        </w:rPr>
        <w:t>Contingencies.</w:t>
      </w:r>
      <w:r>
        <w:rPr>
          <w:rFonts w:ascii="Times New Roman" w:hAnsi="Times New Roman"/>
          <w:color w:val="000000"/>
          <w:sz w:val="20"/>
        </w:rPr>
        <w:t xml:space="preserve"> These contingent liabilities are presented as Accrued Liabilities due to SPN - 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party from continuing operations on the condensed consolidated balance sheet as of June 30, 2026 and December 31, 2025 and consist of the following (in thousands):</w:t>
      </w:r>
    </w:p>
    <w:tbl>
      <w:tblPr>
        <w:tblW w:w="7082" w:type="dxa"/>
        <w:jc w:val="left"/>
        <w:tblInd w:w="0" w:type="dxa"/>
        <w:tblLayout w:type="fixed"/>
        <w:tblCellMar>
          <w:top w:w="28" w:type="dxa"/>
          <w:left w:w="28" w:type="dxa"/>
          <w:bottom w:w="28" w:type="dxa"/>
          <w:right w:w="28" w:type="dxa"/>
        </w:tblCellMar>
      </w:tblPr>
      <w:tblGrid>
        <w:gridCol w:w="4576"/>
        <w:gridCol w:w="146"/>
        <w:gridCol w:w="211"/>
        <w:gridCol w:w="571"/>
        <w:gridCol w:w="146"/>
        <w:gridCol w:w="146"/>
        <w:gridCol w:w="294"/>
        <w:gridCol w:w="80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Sharing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associated with the MSK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VOWST post-marketing safety surveillance study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 due to SPN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liabilities accrued on the Company's condensed consolidated balance sheet are remeasured at each reporting period based on i) cash payments made by the Company to reduce the accrued liabilities due to SPN - related party and ii) revised estimates of the total remaining liabilities due to SPN - related party. For the three and six months ended June 30, 2026 and 2025, the Company recognized a gain on sale of VOWST Business of $0, $0, $185, and $2,366, respectively, as a result of the change in accrued liabilities due to SPN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2026, the Company entered into Amendment No. 1 (the “APA Amendment”) to the Purchase Agreement. Pursuant to the Purchase Agreement, SPN agreed to pay the Company certain one-time contingent milestone payments during the Milestone Period (as defined in the Purchase Agreement) if and following the first time that the worldwide annual net sales of the Product (as defined in the Purchase Agreement) reached the following thresholds: (i) a $125,000 milestone payment upon the first calendar year in which annual worldwide net sales of the Product equal or exceed $400,000 (the “Second Sales Milestone Payment”); and (ii) a $150,000 milestone payment upon the first calendar year in which annual worldwide net sales of the Product equal or exceed $750,000 (the “Third Sales Milestone Payment”). Pursuant to the Purchase Agreement, the Prepaid Milestone (as defined in the Purchase Agreement) accrued interest during the Milestone Period, which would reduce the Second Milestone Payment to Seres if and when it became payable (the “Milestone Interest Payments”). Pursuant to the APA Amendment, the parties agreed to terminate SPN’s obligations with respect to the Second Sales Milestone Payment, the Third Sales Milestone Payment and eliminate the Milestone Interest Payments that would have been due from the Company to SPN. In consideration for the foregoing, SPN agreed to a one-time payment to the Company of $25,000 (the “Milestone Termination Payment”), which amount is payable in two equal installments of $12,500, with the first installment paid on July 1, 2026 and the second installment payable on October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there are no conditions under which the Company would be required to repay the $25,000, or any portion of the interest that was accruing on the Prepaid Milestone under the Purchase Agreement, and there are no circumstances under which SPN would be relieved of its obligation to make this payment to the Company, the gain is considered realizable in June 2026 when the APA Amendment was signed. The Company recorded a Gain on Sale of VOWST Business within continuing operations of $25,000 during the three months ended June 30, 2026 because the amount is fixed consideration and is no longer contingent on a future event. As of June 30, 2026 and December 31, 2025, the Company had $25,000 and $360 in accounts receivable due from SPN - related party in the Company’s condensed consolidated balance sheets.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4.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7450" w:type="dxa"/>
        <w:jc w:val="left"/>
        <w:tblInd w:w="0" w:type="dxa"/>
        <w:tblLayout w:type="fixed"/>
        <w:tblCellMar>
          <w:top w:w="28" w:type="dxa"/>
          <w:left w:w="28" w:type="dxa"/>
          <w:bottom w:w="28" w:type="dxa"/>
          <w:right w:w="28" w:type="dxa"/>
        </w:tblCellMar>
      </w:tblPr>
      <w:tblGrid>
        <w:gridCol w:w="4156"/>
        <w:gridCol w:w="146"/>
        <w:gridCol w:w="250"/>
        <w:gridCol w:w="875"/>
        <w:gridCol w:w="166"/>
        <w:gridCol w:w="146"/>
        <w:gridCol w:w="334"/>
        <w:gridCol w:w="1166"/>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Depreciation and amortization expense was $670, $1,451, $1,059, and $2,135 for the three and six months ended June 30, 2026 and 2025, respectively. During the three and six months ended June 30, 2026, the Company disposed of certain assets with a cost basis of $3,155 and a net book value of $386, primarily related to assets that were returned to the landlord in connection with the Lease Amendment as defined in Note 6, </w:t>
      </w:r>
      <w:r>
        <w:rPr>
          <w:rFonts w:ascii="Times New Roman" w:hAnsi="Times New Roman"/>
          <w:i/>
          <w:color w:val="000000"/>
          <w:sz w:val="20"/>
        </w:rPr>
        <w:t>Leases</w:t>
      </w:r>
      <w:r>
        <w:rPr>
          <w:rFonts w:ascii="Times New Roman" w:hAnsi="Times New Roman"/>
          <w:color w:val="000000"/>
          <w:sz w:val="20"/>
        </w:rPr>
        <w:t xml:space="preserve">. The Company did not dispose of any assets during the three and six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6210" w:type="dxa"/>
        <w:jc w:val="left"/>
        <w:tblInd w:w="0" w:type="dxa"/>
        <w:tblLayout w:type="fixed"/>
        <w:tblCellMar>
          <w:top w:w="28" w:type="dxa"/>
          <w:left w:w="28" w:type="dxa"/>
          <w:bottom w:w="28" w:type="dxa"/>
          <w:right w:w="28" w:type="dxa"/>
        </w:tblCellMar>
      </w:tblPr>
      <w:tblGrid>
        <w:gridCol w:w="2956"/>
        <w:gridCol w:w="146"/>
        <w:gridCol w:w="303"/>
        <w:gridCol w:w="822"/>
        <w:gridCol w:w="146"/>
        <w:gridCol w:w="146"/>
        <w:gridCol w:w="403"/>
        <w:gridCol w:w="109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quality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real estate, primarily laboratory, office and manufacturing space. The Company’s leases have remaining terms ranging from approximately three to ten years. Certain leases include one or more options to renew, exercisable at the Company’s sole discretion, with renewal terms that can extend the lease from approximately one year to ten years. The Company evaluated the renewal options in its leases to determine if it was reasonably certain that the renewal option would be exercised,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in order to reduce the Company's ongoing annual rent costs and facilities footprint, the Company entered into the First Amendment to Lease (the “Lease Amendment”) with 101 CPD LLC (f/k/a HCP/King 101 CPD LLC), a Delaware limited liability company (the “Landlord”), which amends the Lease Agreement, dated September 22, 2021, by and between the Company and the Landlord (as amended, the “Lease”), pursuant to which the Company leases approximately 82,714 rentable square feet of office and laboratory space in Cambridge, Massachusetts.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as of May 1, 2026, the Lease Amendment reduced the amount of space subject to the lease from 82,714 rentable square feet of space to 36,882 rentable square feet, extended the term of the renewal premises to December 31, 2036, and reduced the base rent the Company is obligated to pay the Landlord for the renewal premises to $79.70 per rentable square foot per year, subject to an annual adjustment of 3%. Concurrent with the execution of the Lease Amendment, the Company entered into a separate lease for the portion of the space under the Lease that was not retained (the “Early Termination Premises”) with a lease term that ends on December 31, 2027. There are no ongoing legal or economic liabilities of the Company related to this lease of the Early Termination Premises apart from the termination payments described below related to the Lease Amendment. The Company accounted for the Lease Amendment and the lease of the Early Termination Premises as a single contract with two lease components, as the agreements were negotiated simultaneously.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Lease Amendment, the Company agreed to pay the following: (i) a $4,500 termination fee payable on the execution of the Lease Amendment, and (ii) on or before January 4, 2027, a deferred payment of $5,201 which may be satisfied either as an unconditional letter of credit or in cash, of which $1,967 represents the Company’s rent obligations for the period from May 1, 2026 through December 31, 2026 and $3,234 represents an additional termination payment. Further, the Company permitted the Landlord to draw the existing letter of credit held by Landlord under the Lease equal to $6,266. Minimum lease payments total $36,763 throughout the term of the Lease Amendment, for total consideration of $50,763 inclusive of termination fees and the letter of credit draw. The Company identified two lease components, the retained space subject to the Lease Amendment, and the Early Termination Premises. Consideration was allocated to each lease component based on their relative standalone 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accounted for the Lease Amendment as a modification to the existing lease and not a new contract separate from the existing contract, and accordingly decreased the associated lease liability and right-of-use asset by $11,538.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the Company identified an indicator of impairment relating to the Early Termination Premises, as the Company is not planning to use the Early Termination Premises; additionally, the Company is prohibited under the lease from marketing the Early Termination Premises for sublease. The Company determined that this represents a significant adverse change in the extent in which the long-lived asset was being used. The Company concluded that the carrying value of the Early Termination Premises, which represents a single asset group, was not recoverable as there are zero future cash flows that are expected to be generated from the assets within the asset group. The Company recognized an impairment loss of $5,807, consisting of $5,574 on the operating lease right-of-use asset and $233 on the leasehold improvements, in the three and six months ended June 30, 2026. The impairment loss is disaggregated in the accompanying condensed consolidated statements of operations and comprehensive income (loss) as a separate line, impairment of long-lived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presentation in the Company’s condensed consolidated balance sheets of its operating leases (in thousands):</w:t>
      </w:r>
    </w:p>
    <w:tbl>
      <w:tblPr>
        <w:tblW w:w="7575" w:type="dxa"/>
        <w:jc w:val="left"/>
        <w:tblInd w:w="0" w:type="dxa"/>
        <w:tblLayout w:type="fixed"/>
        <w:tblCellMar>
          <w:top w:w="28" w:type="dxa"/>
          <w:left w:w="28" w:type="dxa"/>
          <w:bottom w:w="28" w:type="dxa"/>
          <w:right w:w="28" w:type="dxa"/>
        </w:tblCellMar>
      </w:tblPr>
      <w:tblGrid>
        <w:gridCol w:w="4121"/>
        <w:gridCol w:w="146"/>
        <w:gridCol w:w="267"/>
        <w:gridCol w:w="858"/>
        <w:gridCol w:w="146"/>
        <w:gridCol w:w="146"/>
        <w:gridCol w:w="357"/>
        <w:gridCol w:w="1143"/>
        <w:gridCol w:w="3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condensed consolidated statements of operations and comprehensive (loss) income (in thousands):</w:t>
      </w:r>
    </w:p>
    <w:tbl>
      <w:tblPr>
        <w:tblW w:w="6562" w:type="dxa"/>
        <w:jc w:val="left"/>
        <w:tblInd w:w="0" w:type="dxa"/>
        <w:tblLayout w:type="fixed"/>
        <w:tblCellMar>
          <w:top w:w="28" w:type="dxa"/>
          <w:left w:w="28" w:type="dxa"/>
          <w:bottom w:w="28" w:type="dxa"/>
          <w:right w:w="28" w:type="dxa"/>
        </w:tblCellMar>
      </w:tblPr>
      <w:tblGrid>
        <w:gridCol w:w="1831"/>
        <w:gridCol w:w="146"/>
        <w:gridCol w:w="211"/>
        <w:gridCol w:w="571"/>
        <w:gridCol w:w="166"/>
        <w:gridCol w:w="146"/>
        <w:gridCol w:w="211"/>
        <w:gridCol w:w="571"/>
        <w:gridCol w:w="166"/>
        <w:gridCol w:w="146"/>
        <w:gridCol w:w="211"/>
        <w:gridCol w:w="676"/>
        <w:gridCol w:w="166"/>
        <w:gridCol w:w="146"/>
        <w:gridCol w:w="211"/>
        <w:gridCol w:w="676"/>
        <w:gridCol w:w="31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 Company made cash payments for operating leases of $14,166, $19,147, $4,837, and $9,715,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2026, future payments of operating lease liabilities are as follows (in thousands): </w:t>
      </w:r>
    </w:p>
    <w:tbl>
      <w:tblPr>
        <w:tblW w:w="5318" w:type="dxa"/>
        <w:jc w:val="left"/>
        <w:tblInd w:w="0" w:type="dxa"/>
        <w:tblLayout w:type="fixed"/>
        <w:tblCellMar>
          <w:top w:w="28" w:type="dxa"/>
          <w:left w:w="28" w:type="dxa"/>
          <w:bottom w:w="28" w:type="dxa"/>
          <w:right w:w="28" w:type="dxa"/>
        </w:tblCellMar>
      </w:tblPr>
      <w:tblGrid>
        <w:gridCol w:w="3611"/>
        <w:gridCol w:w="146"/>
        <w:gridCol w:w="260"/>
        <w:gridCol w:w="910"/>
        <w:gridCol w:w="39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weighted average remaining lease term was 7.10 years and the weighted average incremental borrowing rate used to determine the operating lease liability was 11.4%. As of June 30, 2025, the weighted average remaining lease term was 6.52 years and the weighted average incremental borrowing rate used to determine the operating lease liability was 13%.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7. Common Stock and Stock-Based Awards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April 10, 2025, at the Company's 2025 annual meeting of stockholders (the “2025 Annual Meeting”), stockholders approved an amendment to the Company’s Restated Certificate of Incorporation in order to effect a reverse stock split of all outstanding shares of the Company's common stock. On April 21, 2025, the Company effected a 1-for-20 reverse stock split of its common stock. The reverse stock split had no impact on the number of authorized shares or the par value of preferred and common stock. As of the effective time of the reverse stock split, the number of shares of common stock issuable upon exercise, vesting or settlement of outstanding awards, the exercise price of all outstanding options and any stock price vesting goals with respect to any outstanding awards under the Company’s equity plans (including the 2025 Plan, as defined below) was proportionately adjusted (and rounded down to the nearest whole share in the case of shares and up to the nearest whole cent in the case of exercise prices, as applicable) based on the 1-for-20 ratio. In addition, the number of shares available for future issuance and any share</w:t>
        <w:noBreakHyphen/>
        <w:t>based award limits under the Company’s equity plans were proportionately reduced based on the 1-for-20 ratio. Trading of the Company's common stock on The Nasdaq Global Select Market commenced on a split-adjusted basis on April 22, 2025.</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Additionally, at the 2025 Annual Meeting, stockholders approved the Seres Therapeutics, Inc. 2025 Incentive Award Plan (the “2025 Plan”) as an amendment and restatement of the Seres Therapeutics, Inc. 2015 Incentive Award Plan (the “2015 Plan”).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amendment, among other things, authorized the issuance of 2,230,243 shares of the Company’s common stock for awards under the 2025 Plan, which includes 1,750,493 shares previously authorized for issuance under the 2015 Plan plus an increase of 479,750 shares (in each case, which amounts reflect the 1-for-20 reverse stock split), and extended the term of the 2025 Plan to March 3, 2035, the tenth anniversary of the approval of the 2025 Plan by the Company’s board of directors. On July 8, 2026, at the Company's reconvened 2026 annual meeting of stockholders (the “2026 Annual Meeting”), stockholders approved an amendment and restatement of the 2025 Plan to increase the number of authorized shares available for issuance under the Plan by 900,000.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21, 2021, the Company entered into a Sales Agreement (the “Sales Agreement”) with Cowen and Company, LLC (“Cowen”) to sell shares of the Company’s common stock, with aggregate gross sales proceeds of up to $150,000, from time to time, through an “at the market” equity offering program (“ATM”) under which Cowen acts as sales agent. During the three and six months ended June 30, 2026, the Company sold 232,286 and 258,082 shares of common stock under the Sales Agreement, at an average price of approximately $7.99 and $8.78 per share, respectively, raising aggregate net proceeds of approximately $1,715 and $2,115 after deducting an aggregate commission of approximately 3% and other issuance costs. During the six months ended June 30, 2025, the Company sold 54,806 shares of common stock under the Sales Agreement, at an average price of approximately $18.60 per share, raising aggregate net proceeds of approximately $996 after deducting an aggregate commission of approximately 3% and other issuance costs.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 since December 31, 2025:</w:t>
      </w:r>
    </w:p>
    <w:p>
      <w:pPr>
        <w:pStyle w:val="TextBody"/>
        <w:bidi w:val="0"/>
        <w:jc w:val="left"/>
        <w:rPr/>
      </w:pPr>
      <w:r>
        <w:rPr/>
        <w:t> </w:t>
      </w:r>
    </w:p>
    <w:tbl>
      <w:tblPr>
        <w:tblW w:w="9024" w:type="dxa"/>
        <w:jc w:val="left"/>
        <w:tblInd w:w="0" w:type="dxa"/>
        <w:tblLayout w:type="fixed"/>
        <w:tblCellMar>
          <w:top w:w="28" w:type="dxa"/>
          <w:left w:w="28" w:type="dxa"/>
          <w:bottom w:w="28" w:type="dxa"/>
          <w:right w:w="28" w:type="dxa"/>
        </w:tblCellMar>
      </w:tblPr>
      <w:tblGrid>
        <w:gridCol w:w="3856"/>
        <w:gridCol w:w="146"/>
        <w:gridCol w:w="146"/>
        <w:gridCol w:w="931"/>
        <w:gridCol w:w="166"/>
        <w:gridCol w:w="146"/>
        <w:gridCol w:w="214"/>
        <w:gridCol w:w="582"/>
        <w:gridCol w:w="146"/>
        <w:gridCol w:w="146"/>
        <w:gridCol w:w="236"/>
        <w:gridCol w:w="755"/>
        <w:gridCol w:w="146"/>
        <w:gridCol w:w="146"/>
        <w:gridCol w:w="290"/>
        <w:gridCol w:w="58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grant date fair value of stock options granted during the six months ended June 30, 2026 and the three and six months ended June 30, 2025 was $7.79, $10.18, and $13.49 per share, respectively. The Company did not grant any stock options during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2024, the Company granted stock options to certain executives for the purchase of an aggregate of 127,500 shares of common stock. These awards will vest only to the extent that the 30-day trailing simple average public market closing price of the Company's common stock reaches certain price thresholds. These awards have an exercise price of $22.00 and vest and become exercisable when the market conditions are satisfied or, if later, on the first anniversary of the grant date. These awards expire 10 years from the date of grant. The fair value of these market-based stock options was estimated using a Monte Carlo valuation method. During the three and six months ended June 30, 2026 and 2025, the Company recognized $82, $248, $188 and $261, respectively, of compensation expense related to these awards.</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w:t>
      </w:r>
      <w:r>
        <w:rPr>
          <w:rFonts w:ascii="Times New Roman" w:hAnsi="Times New Roman"/>
          <w:color w:val="000000"/>
          <w:sz w:val="20"/>
        </w:rPr>
        <w:t xml:space="preserve"> </w:t>
      </w:r>
      <w:r>
        <w:rPr>
          <w:rFonts w:ascii="Times New Roman" w:hAnsi="Times New Roman"/>
          <w:b/>
          <w:i/>
          <w:color w:val="000000"/>
          <w:sz w:val="20"/>
        </w:rPr>
        <w:t>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restricted stock units with service-based vesting conditions (“RSUs”) and restricted stock units with performance-based vesting conditions (“PSUs”). RSUs and PSUs represent the right to receive shares of common stock upon meeting specified vesting requirements. Restricted stock units may not be sold or transferred by the holder and vest according to the vesting conditions of each award. RSUs generally vest over four years, with 25% vesting after one year, and the remaining 75% vesting quarterly over the next 3 years, subject to continued service to the Company through the applicable vesting date. PSUs vest according to the performance requirements of the awards, generally when the Company has determined that the specified performance targets have been achieved.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RSU and PSU activity since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42" w:type="dxa"/>
        <w:jc w:val="left"/>
        <w:tblInd w:w="0" w:type="dxa"/>
        <w:tblLayout w:type="fixed"/>
        <w:tblCellMar>
          <w:top w:w="28" w:type="dxa"/>
          <w:left w:w="28" w:type="dxa"/>
          <w:bottom w:w="28" w:type="dxa"/>
          <w:right w:w="28" w:type="dxa"/>
        </w:tblCellMar>
      </w:tblPr>
      <w:tblGrid>
        <w:gridCol w:w="4651"/>
        <w:gridCol w:w="146"/>
        <w:gridCol w:w="146"/>
        <w:gridCol w:w="781"/>
        <w:gridCol w:w="166"/>
        <w:gridCol w:w="146"/>
        <w:gridCol w:w="326"/>
        <w:gridCol w:w="889"/>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 Company granted 0, 173,385, 0, and 11,250 RSUs, respectively. During the three and six months ended June 30, 2026 and 2025, the Company did not grant any PSUs.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issued retention awards to non-executive employees of the Company in the form of RSUs covering 173,385 shares of common stock with a grant date fair value of $8.74 per share. The retention RSUs will become fully vested on September 30, 2026 subject to the employee's continued employment with the Company through such date. The compensation expense associated with these awards is being recognized ratably over the vesting period. For the three and six months ended June 30, 2026, the Company recognized $523 and $741 in compensation expense with respect to the retention RSUs.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stock-based compensation expense in the following expense categories of its condensed consolidated statements of operations and comprehensive (loss) income (in thousands):</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3091"/>
        <w:gridCol w:w="146"/>
        <w:gridCol w:w="257"/>
        <w:gridCol w:w="697"/>
        <w:gridCol w:w="178"/>
        <w:gridCol w:w="178"/>
        <w:gridCol w:w="257"/>
        <w:gridCol w:w="697"/>
        <w:gridCol w:w="146"/>
        <w:gridCol w:w="146"/>
        <w:gridCol w:w="235"/>
        <w:gridCol w:w="637"/>
        <w:gridCol w:w="162"/>
        <w:gridCol w:w="162"/>
        <w:gridCol w:w="235"/>
        <w:gridCol w:w="63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 Net Income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and diluted net income (loss) per share attributable to common stockholders was calculated as follows (in thousands, except share and per share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0"/>
        <w:gridCol w:w="211"/>
        <w:gridCol w:w="931"/>
        <w:gridCol w:w="146"/>
        <w:gridCol w:w="146"/>
        <w:gridCol w:w="211"/>
        <w:gridCol w:w="931"/>
        <w:gridCol w:w="166"/>
        <w:gridCol w:w="146"/>
        <w:gridCol w:w="211"/>
        <w:gridCol w:w="931"/>
        <w:gridCol w:w="166"/>
        <w:gridCol w:w="146"/>
        <w:gridCol w:w="211"/>
        <w:gridCol w:w="931"/>
        <w:gridCol w:w="391"/>
      </w:tblGrid>
      <w:tr>
        <w:trPr/>
        <w:tc>
          <w:tcPr>
            <w:tcW w:w="4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Basic Earnings Per Share:</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 basic</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8,723,589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 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Diluted Earnings Per Share:</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attributable to common stockholders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8,723,589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impact from:</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to purchase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issuable under employee stock purchase plan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8,732,176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applicable to common stockholders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potential common stock equivalents excluded from the calculation of net income (loss) per share:</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to purchase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issuable under employee stock purchase plan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 to purchase common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potential dilutive securities include stock options, unvested restricted common stock and shares issuable under the 2015 Employee Stock Purchase Plan. The effect of dilutive securities was calculated using the treasury stock method. The anti-dilutive potential common stock equivalents for the six months ended June 30, 2026 and the three months ended June 30, 2025 were excluded from the computation of diluted net loss per share attributable to common stockholders because those stock options to purchase common stock, restricted stock units, and shares issuable under employee stock purchase plan had an anti-dilutive impact as the Company reported a net loss from continuing operations attributable to common stockholders for those periods. The anti-dilutive potential common stock equivalents for the three months ended June 30, 2026 and the six months ended June 30, 2025 were excluded from the computation of diluted net income per share attributable to common stockholders because those stock options to purchase common stock and restricted stock units had an anti-dilutive impact due to the assumed proceeds per share using the treasury stock method being greater than the average fair value of the Company’s common shares for those periods. For that same period, the warrants to purchase common stock were excluded because the exercise price of the Tranche A Warrants is greater than the average fair value of the Company’s common shares. </w:t>
      </w:r>
    </w:p>
    <w:p>
      <w:pPr>
        <w:pStyle w:val="TextBody"/>
        <w:bidi w:val="0"/>
        <w:spacing w:before="12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left"/>
        <w:rPr>
          <w:rFonts w:ascii="Times New Roman" w:hAnsi="Times New Roman"/>
          <w:sz w:val="20"/>
        </w:rPr>
      </w:pPr>
      <w:r>
        <w:rPr>
          <w:rFonts w:ascii="Times New Roman" w:hAnsi="Times New Roman"/>
          <w:color w:val="000000"/>
          <w:sz w:val="20"/>
        </w:rPr>
        <w:t xml:space="preserve">Refer to Note 6, </w:t>
      </w:r>
      <w:r>
        <w:rPr>
          <w:rFonts w:ascii="Times New Roman" w:hAnsi="Times New Roman"/>
          <w:i/>
          <w:color w:val="000000"/>
          <w:sz w:val="20"/>
        </w:rPr>
        <w:t>Leases</w:t>
      </w:r>
      <w:r>
        <w:rPr>
          <w:rFonts w:ascii="Times New Roman" w:hAnsi="Times New Roman"/>
          <w:color w:val="000000"/>
          <w:sz w:val="20"/>
        </w:rPr>
        <w:t xml:space="preserve">, for discussion of the commitments associated with the Company’s lease portfolio.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June 30, 2026 or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will be recorded in the period in which such determination is made.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did not accrue any liabilities related to legal contingencies in its consolidated financial statements as of June 30, 2026 or December 31, 2025. </w:t>
      </w:r>
    </w:p>
    <w:p>
      <w:pPr>
        <w:pStyle w:val="TextBody"/>
        <w:bidi w:val="0"/>
        <w:spacing w:before="12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provide for any income taxes in its condensed consolidated statement of operations and comprehensive (loss) income for the three and six months ended June 30, 2026 and 2025. Management considered the Company’s history of cumulative net losses incurred since inception, its early stage of development of its product candidates, and its projection of book and tax losses for the year ending December 31, 2026. Based on its evaluation of the positive and negative evidence bearing upon its ability to realize its deferred tax assets, the Company determined that it is more likely than not that it will not realize such benefits. Accordingly, the Company has recorded a full valuation allowance against its deferred tax assets as of June 30, 2026 and December 31, 2025, and has not recorded any income taxes for the three and six months ended June 30, 2026 and 2025. Management reevaluates the positive and negative evidence at each reporting period.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in Note 3, </w:t>
      </w:r>
      <w:r>
        <w:rPr>
          <w:rFonts w:ascii="Times New Roman" w:hAnsi="Times New Roman"/>
          <w:i/>
          <w:color w:val="000000"/>
          <w:sz w:val="20"/>
        </w:rPr>
        <w:t>Discontinued Operations and TSA</w:t>
      </w:r>
      <w:r>
        <w:rPr>
          <w:rFonts w:ascii="Times New Roman" w:hAnsi="Times New Roman"/>
          <w:color w:val="000000"/>
          <w:sz w:val="20"/>
        </w:rPr>
        <w:t>, in September 2024, the Company sold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to SPN, and SPN assumed certain liabilities from the Company. As consideration for the Transaction, the Company received an upfront cash payment of $139,788, which consisted of $100,000, less $17,857 owed by the Company to an affiliate of SPN under the prior license agreement between the Company and the SPN affiliate, less approximately $2,355 in satisfaction of fees due under the Bacthera Manufacturing Agreement; plus a prepayment of the $60,000 milestone payment tied to the achievement of worldwide annual net sales of VOWST of $150,000; plus an equity investment of $15,000 based on the Securities Purchase Agreement pursuant to which SPN purchased 714,285 shares of common stock at a purchase price of $21.00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June 30, 2026 and December 31, 2025, there was $3,278 included in Accrued Liabilities due to SPN - related party on the Company’s condensed consolidated balance sheet, which represents amounts due to SPN pursuant to the Purchase Agreement, which are further described in Note 3, </w:t>
      </w:r>
      <w:r>
        <w:rPr>
          <w:rFonts w:ascii="Times New Roman" w:hAnsi="Times New Roman"/>
          <w:i/>
          <w:color w:val="000000"/>
          <w:sz w:val="20"/>
        </w:rPr>
        <w:t>Discontinued Operations and TSA</w:t>
      </w:r>
      <w:r>
        <w:rPr>
          <w:rFonts w:ascii="Times New Roman" w:hAnsi="Times New Roman"/>
          <w:color w:val="000000"/>
          <w:sz w:val="20"/>
        </w:rPr>
        <w:t>. During the three and six months ended June 30, 2026 and 2025, the Company paid $0, $0, $0, and $1,309, to SPN related to the Purchase Agreement during the periods,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in Note 3, </w:t>
      </w:r>
      <w:r>
        <w:rPr>
          <w:rFonts w:ascii="Times New Roman" w:hAnsi="Times New Roman"/>
          <w:i/>
          <w:color w:val="000000"/>
          <w:sz w:val="20"/>
        </w:rPr>
        <w:t>Discontinued Operations and TSA</w:t>
      </w:r>
      <w:r>
        <w:rPr>
          <w:rFonts w:ascii="Times New Roman" w:hAnsi="Times New Roman"/>
          <w:color w:val="000000"/>
          <w:sz w:val="20"/>
        </w:rPr>
        <w:t xml:space="preserve">, the Company entered into the TSA with NESA, an affiliate of SPN, in connection with the Transaction, through which the Company provided certain manufacturing services until December 31, 2025, and other transition services, for the duration specified in the schedule to the TSA for each service. For the three and six months ended June 30, 2026 and 2025, the Company recognized $0, $0, $3,490, and $9,799, respectively, of TSA reimbursement income in other income in the Company’s condensed consolidated statements of operations and comprehensive (loss) income. For the three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 months ended June 30, 2026 and 2025, the Company incurred $0, $0, $1,689, and $5,216, respectively, of expenses related to manufacturing services and $0, $0, $1,261, and $3,509, respectively, of TSA labor and passthrough expenses to support the transition services, including finance and accounting, information technology, human resources, operations, and other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and 2025, $0, $0, $4,585, and $11,987, respectively, was billed to NESA related to transition services performed by the Company, and the Company received payments of $0, $360, $6,464, and $63,173, respectively, related to transition services performed. The payments received in the first quarter of 2025 included the installment payment of $50,000 received in January 2025 which was conditioned on the Company’s material compliance with obligations under the TSA. As of June 30, 2026 and December 31, 2025, the Company had $25,000 and $360 in accounts receivable due from SPN - related party, respectively, and $0 and $169 included in prepaid expenses and other current assets, respectively, relating to the sale of certain manufacturing and laboratory equipment, in the Company’s condensed consolidated balance sheets.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in Note 3, </w:t>
      </w:r>
      <w:r>
        <w:rPr>
          <w:rFonts w:ascii="Times New Roman" w:hAnsi="Times New Roman"/>
          <w:i/>
          <w:color w:val="000000"/>
          <w:sz w:val="20"/>
        </w:rPr>
        <w:t xml:space="preserve">Discontinued Operations and TSA, </w:t>
      </w:r>
      <w:r>
        <w:rPr>
          <w:rFonts w:ascii="Times New Roman" w:hAnsi="Times New Roman"/>
          <w:color w:val="000000"/>
          <w:sz w:val="20"/>
        </w:rPr>
        <w:t>the Company entered into the APA Amendment with SPN pursuant to which the parties agreed to terminate SPN’s obligations with respect to the Second Sales Milestone Payment, the Third Sales Milestone Payment and eliminate the Milestone Interest Payments that would have been due from the Company to SPN. In consideration for the foregoing, SPN agreed to a one-time payment to the Company of $25,000 (the “Milestone Termination Payment”), which amount is payable in two equal installments of $12,500, with the first installment paid on July 1, 2026 and the second installment payable on October 1, 2026. The Company recorded a Gain on Sale of VOWST Business within continuing operations and the corresponding receivable due from SPN of $25,000 during the three months ended June 30, 2026 because the amount is fixed consideration and is no longer contingent on a future event.</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interim Chief Executive Officer, who is the Chief Operating Decision Maker (“CODM</w:t>
      </w:r>
      <w:r>
        <w:rPr>
          <w:rFonts w:ascii="Times New Roman" w:hAnsi="Times New Roman"/>
          <w:color w:val="212529"/>
          <w:sz w:val="20"/>
        </w:rPr>
        <w:t>”</w:t>
      </w:r>
      <w:r>
        <w:rPr>
          <w:rFonts w:ascii="Times New Roman" w:hAnsi="Times New Roman"/>
          <w:color w:val="000000"/>
          <w:sz w:val="20"/>
        </w:rPr>
        <w:t>),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company-wide strategic goals. The CODM uses the Company’s consolidated net income (loss) to monitor actual results versus the budget in assessing segment performance and the allocation of resources. The measure of segment assets is reported on the consolidated balance sheets as total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reportable segment net income (loss) for the three and six months ended June 30, 2026 and 2025, consisted of the following (in thousands): </w:t>
      </w:r>
    </w:p>
    <w:tbl>
      <w:tblPr>
        <w:tblW w:w="10205" w:type="dxa"/>
        <w:jc w:val="left"/>
        <w:tblInd w:w="0" w:type="dxa"/>
        <w:tblLayout w:type="fixed"/>
        <w:tblCellMar>
          <w:top w:w="28" w:type="dxa"/>
          <w:left w:w="28" w:type="dxa"/>
          <w:bottom w:w="28" w:type="dxa"/>
          <w:right w:w="28" w:type="dxa"/>
        </w:tblCellMar>
      </w:tblPr>
      <w:tblGrid>
        <w:gridCol w:w="5018"/>
        <w:gridCol w:w="215"/>
        <w:gridCol w:w="754"/>
        <w:gridCol w:w="169"/>
        <w:gridCol w:w="148"/>
        <w:gridCol w:w="215"/>
        <w:gridCol w:w="754"/>
        <w:gridCol w:w="166"/>
        <w:gridCol w:w="146"/>
        <w:gridCol w:w="211"/>
        <w:gridCol w:w="736"/>
        <w:gridCol w:w="166"/>
        <w:gridCol w:w="146"/>
        <w:gridCol w:w="211"/>
        <w:gridCol w:w="736"/>
        <w:gridCol w:w="414"/>
      </w:tblGrid>
      <w:tr>
        <w:trPr/>
        <w:tc>
          <w:tcPr>
            <w:tcW w:w="50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segment expenses:</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 biotherapeutics platform</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SER-155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personnel-related (including stock-based compensation)</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G&amp;A personnel-related (including stock-based compensation)</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VOWST Business (2)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(income) expense (1)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segment (income) expense includes manufacturing services expenses, research and development expenses on early stage programs, interest income and other (income) expense, net.</w:t>
      </w:r>
    </w:p>
    <w:p>
      <w:pPr>
        <w:pStyle w:val="TextBody"/>
        <w:bidi w:val="0"/>
        <w:spacing w:before="120" w:after="283"/>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See Note 3, </w:t>
      </w:r>
      <w:r>
        <w:rPr>
          <w:rFonts w:ascii="Times New Roman" w:hAnsi="Times New Roman"/>
          <w:i/>
          <w:color w:val="000000"/>
          <w:sz w:val="20"/>
        </w:rPr>
        <w:t>Discontinued Operations and TSA</w:t>
      </w:r>
      <w:r>
        <w:rPr>
          <w:rFonts w:ascii="Times New Roman" w:hAnsi="Times New Roman"/>
          <w:color w:val="000000"/>
          <w:sz w:val="20"/>
        </w:rPr>
        <w:t>, for further details.</w:t>
      </w:r>
    </w:p>
    <w:p>
      <w:pPr>
        <w:pStyle w:val="TextBody"/>
        <w:bidi w:val="0"/>
        <w:spacing w:before="120" w:after="283"/>
        <w:jc w:val="both"/>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31, 2026, the Company entered into the Third Amendment to Lease and Termination Agreement (the “Termination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 with BMR-Sidney Research Campus LLC, a Delaware limited liability company (the “Sidney Street Landlord”), the purpose of which is to effect an early termination of one of the Company’s leases, reducing the Company’s ongoing annual facilities costs and materially eliminating the Company’s primary restoration obligations. The Termination Agreement amends the Lease Agreement, dated November 11, 2015, by and between the Company and the Sidney Street Landlord (as amended, the “Lease”), pursuant to which the Company leases approximately 68,636 rentable square feet of office, laboratory, and manufacturing space located at 200 Sidney Street, Cambridge, Massachusetts (the “Existing Premises”).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Termination Agreement provides for (i) effective as of August 1, 2026, the surrender by the Company to the Landlord of an aggregate area of approximately 21,295 rentable square feet of the Existing Premises (the “Early Termination Premises”), and (ii) the revision of the expiration date of the term of the Lease with respect to the remaining 47,341 rentable square feet of the Existing Premises (the “Renewal Premises”) from January 13, 2031 to December 31, 2026. As consideration for the Termination Agreement, the Company agreed to pay the following: (i) an increase to the letter of credit held by the Sidney Street Landlord in the amount of $2,238 (for a total letter of credit of $3,638), which the Sidney Street Landlord will apply toward rent and operating expenses through the term of the Renewal Premises, (ii) on or before January 4, 2027, a deferred payment of $3,850 representing an additional termination payment, and (iii) an equity issuance of shares of the Company's common stock valued at $500 (the “Share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31, 2026, in connection with the Share Issuance, the Company entered into a Stock Issuance Agreement (the “Stock Issuance Agreement”) with the Sidney Street Landlord, pursuant to which the Company agreed to issue 103,520 shares of Common Stock (the “Shares”) to the Sidney Street Landlord at a price per share of $4.83, which was the closing price of the Common Stock on the Nasdaq Global Select Market (“Nasdaq”) on July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Shares are to be issued no later than five business days after the Execution Date. The Shares are registered under the Company’s registration statement on Form S-3 (File No. 333-273794), pursuant to a prospectus supplement, dated July 31, 2026 and the accompanying base prospectus, dated August 15, 2023, and will be freely tradeable when issued. In the event the value of the Shares on the date of issuance (calculated using the closing price on Nasdaq on such date) (the “Issuance Date Value”) is less than $500, the Company is obligated to pay to the Sidney Street Landlord, in cash, the difference between $500, and the Issuance Date Value. The Stock Issuance Agreement contains customary representations and warranties of the Company and the Sidney Street Landlord and customary conditions to the share issuance.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Some of the information contained in this discussion and analysis or set forth elsewhere in this Quarterly Report, such as statements regarding our plans, objectives, expectations, intentions and projections, includes forward-looking statements that involve risks and uncertainties. As a result of many factors, including those factors set forth in the “Risk Factors</w:t>
      </w:r>
      <w:r>
        <w:rPr>
          <w:rFonts w:ascii="Times New Roman" w:hAnsi="Times New Roman"/>
          <w:color w:val="212529"/>
          <w:sz w:val="20"/>
        </w:rPr>
        <w:t>”</w:t>
      </w:r>
      <w:r>
        <w:rPr>
          <w:rFonts w:ascii="Times New Roman" w:hAnsi="Times New Roman"/>
          <w:color w:val="000000"/>
          <w:sz w:val="20"/>
        </w:rPr>
        <w:t xml:space="preserve"> </w:t>
      </w:r>
      <w:r>
        <w:rPr>
          <w:rFonts w:ascii="Times New Roman" w:hAnsi="Times New Roman"/>
          <w:i/>
          <w:color w:val="000000"/>
          <w:sz w:val="20"/>
        </w:rPr>
        <w:t>section of this Quarterly Report, our actual results could differ materially from the results described in, or implied by, these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On April 21, 2025, we effected a 1-for-20 reverse stock split of our common stock. All shares of our common stock, stock-based instruments, and per-share data included in this Quarterly Report on Form 10-Q have been retroactively adjusted as though the reverse stock split had been effected prior to all periods presented.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company focused on improving patient outcomes in medically compromised populations, including oncology patients and those suffering from inflammatory and immune, or I&amp;I, diseases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or SPN, and with certain of its affiliates, collectively, Nestlé Health Science,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epithelial barrier-immune interface targets. We believe clinical and nonclinical data across our programs support the development of LBPs to address unmet medical needs in oncology that can lead to interruption to patients' cancer treatment and/or mortality (by targeting the prevention and treatment of a broad swath of infection risks faced by cancer patients and by treating irEC), and to treat I&amp;I diseases. Our pipeline consists of SER-155, SER-603, SER-428, and SER-147, as well as other potential candidates in earlier development.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are designing LBP candidates to modulate host function to protect and improve mucosal epithelial barrier integrity, induce immune homeostasis and tolerance, and prevent the colonization and overgrowth of pathogens in the gastrointestinal, or GI, tract. We believe that the scientific and clinical data from the development of VOWST (our then product candidate SER-109 program) and the data from the SER-155 Phase 1b study in allo-HCT and the SER-155 IST in irEC (both further described below) validate our novel therapeutic approach to address unmet medical needs in oncology that can lead to interruption to patients' cancer treatment and/or mortality, and to treat I&amp;I diseases.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the context of preventing infection for patients undergoing allo-HCT for hematological cancer, we believe that our technology may be replicable across different bacterial pathogens with the potential to develop live biotherapeutics to protect a range of medically compromised patients at risk of antimicrobial resistance, or AMR, infections and bloodstream infections, or BSIs, that can result from a compromised mucosal epithelial barrier and that can be a major cause of mortality. SER-155, our most advanced LBP candidate, is an investigational, oral, live biotherapeutic designed to decolonize GI pathogens, improve GI mucosal epithelial barrier integrity, and induce immune homeostasis to prevent bacterial BSIs, including those that can harbor antimicrobial resistance, as well as other pathogen-associated negative clinical outcomes in patients undergoing allogeneic hematopoietic stem cell transplantation, or allo-HCT. In our placebo-controlled Phase 1b study of SER-155 in allo-HCT, SER-155 was associated with a 77% relative risk reduction in bacterial BSIs and a significant reduction in systemic antibiotic exposure as well as a lower incidence of febrile neutropenia, as compared to placebo through day 100 post HCT. SER-155 was generally well tolerated, with no observed treatment-related serious adverse events. Drug pharmacology data demonstrated that SER-155 significantly promoted mucosal epithelial barrier integrity and had a positive impact on biomarkers of systemic inflammation and immune homeostasis. Following advancement of key startup activities for the SER-155 Phase 2 study in allo-HCT, including the submission of a final protocol to the FDA in January 2026, study site evaluation and qualification with our CRO, and manufacturing of drug substance, we have paused additional investment in that program while continuing to seek funding for the Phase 2 study.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are also evaluating SER-155 in 15 patients with moderate-to-severe (Grade 2- 3) immune checkpoint-related enterocolitis, or irEC, through an investigator-sponsored trial, or IST, with Memorial Sloan Kettering Cancer Center, an institution with whom we have had a decade-long collaboration. irEC is among the most frequent and severe immune-related adverse events, or irAEs, in recipients of immune checkpoint inhibitor, or ICI, therapy and can be observed in up to 50% of patients, with rates varying based on cancer drug and treatment regimen. Moderate to severe irEC occurs in approximately 25% of all ICI therapy recipients in the United States. In 2026, it is estimated that there are a total of 300,000 patients on ICI cancer therapy in the United States, and this figure is increasing as ICI are being used across multiple cancer types, in earlier intervention and in combination with other cancer therapies. ICIs can cause a wide range of irAEs with links to T cell biology and epithelial barrier inflammation, both of which are biological functions shown in our preclinical and clinical pharmacology data to be positively impacted by SER-155. Top-line data from the IST showed that 80% of SER-155 recipients achieved an immunosuppressive-free clinical response of diarrhea (a primary symptom of irEC) at Day 15, which met the primary endpoint, defined as at least a 1-grade improvement in diarrhea symptoms without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immunosuppressive therapy (i.e., a corticosteroid and/or biologic immunomodulator drug). All 12 participants with immunosuppressive-free clinical response at Day 15 had the same, or better, diarrhea grade at Day 43. SER-155 was well tolerated, with no drug-related serious adverse events observed. In addition, drug pharmacology translational biomarkers of gastrointestinal inflammation (fecal calprotectin) and of mucosal epithelial barrier integrity (fecal albumin), which were elevated in participants at baseline, prior to SER-155 dosing, both showed decreases post SER-155 treatment, with statistically significant reductions achieved by Day 43, reflecting improvement in two mechanistically linked dimensions of irEC disease. Participants in the study were on a wide range of ICI types, including PD-1 inhibitors (Keytruda®, Opdivo®, Zynyz®), PD-L1 inhibitors (Imfinzi®, Bavencio®), CTLA-4 inhibitors (Yervoy®, Imjudo®), LAG-3 inhibitor (Opdualag®), and combinations thereof. Clinical guidelines for these patients stipulate halting of ICI cancer treatment and initiation of systemic immunosuppressive corticosteroids, which are associated with clinically meaningful toxicities and other negative consequences, including: systemic immunosuppression, increased infection risk, metabolic complications, and potential interference with cancer treatment.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believe there remains a significant unmet need for systemic immunosuppressive-free therapeutic approaches that reduce gastrointestinal inflammation and diarrhea and may allow patients who develop irEC to avoid disruption of their life-saving ICI cancer treatment and the promising study results support continued development of SER-155 to treat irEC. We are engaging with potential partners, including companies with ICI franchises, as we evaluate next steps for the development of SER-155 in irEC.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meaningfully advanced over the past decade our scientific understanding of how microbes in the GI functionally modulate pathways at the mucosal epithelial barrier-immune interface that are associated with inflammatory and immune-related disease. The clinical data from our SER-155 Phase 1b study in allo-HCT and the IST in irEC, in particular the drug pharmacology translational biomarker data, along with our extensive preclinical and translational clinical data compiled over the past decade support and inform the advancement of our earlier stage programs targeting I&amp;I diseases and our current strategy continues to prioritize these indications. We are developing SER-603, broadly in inflammatory bowel disease, or IBD, including ulcerative colitis, or UC, and Crohn's disease. SER-603 is a novel, LBP candidate optimized to address disruptions in the GI microbiome and to improve GI mucosal epithelial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We believe that our LBPs could represent a non-immunosuppressive treatment option for I&amp;I diseases that are linked to colitis and could broadly address immune therapy toxicities, both of which represent significant unmet medical needs and potential commercial opportunities. We are currently exploring potential collaborations related to those I&amp;I disease programs.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believe that SER-155 and other cultivated live biotherapeutic candidates could be developed in additional patient populations in which mucosal epithelial barrier compromise is implicated. For example, in bloodstream and AMR infections, there are numerous medically compromised patients beyond allo-HCT, including autologous-HCT patients, cancer patients with neutropenia, chimeric antigen receptors therapy, or CAR-T, recipients, individuals with chronic liver disease, or CLD, solid organ transplant recipients, as well as patients in the intensive care unit, or ICU, and long-term acute care facilities. In 2025, we received a non-dilutive award from CARB-X (Combating Antibiotic-Resistant Bacteria Biopharmaceutical Accelerator) for up to $3.6 million, representing our second CARB-X award, to support the development of an oral liquid formulation based on SER-155 strains, now referred to as SER-428, for dosing in patients who cannot take oral capsules such as intubated patients in the medical ICU, and other medically vulnerable patients at high risk of AMR infections. We have advanced development and manufacturing of SER-428 and are designing a Phase 1b open label trial in collaboration with Columbia University to evaluate this LBP candidate in medical ICU patients at high risk of infection. Additionally, we continue to develop another proprietary live biotherapeutic composition, SER-147, designed to prevent bacterial bloodstream and spontaneous bacterial peritonitis, or SBP, infections in patients with metabolic disease, including CLD. We continue to leverage microbiome pharmacokinetic and pharmacodynamic data from across our clinical and preclinical portfolios, using our reverse translational development platform to prioritize future drug targets and to identify opportunities for monotherapy treatment and in combination with existing therapies across various indications, including inflammatory and immune diseases, cancer, and metabolic diseases.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built and deploy a reverse translational platform and knowledge base for the discovery and development of live biotherapeutics,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we own a valuable intellectual property estate related to the development and manufacture of live biotherapeutics.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early-stage clinical or preclinical development. Our ability to achieve profitability will depend heavily on the successful development and eventual commercialization of one or more of our product candidates. Since our inception, we have incurred significant operating losses. Our net loss from operations was $42.2 million for the six months ended June 30, 2026. As of June 30, 2026, we had an accumulated deficit of $987.7 million.</w:t>
      </w:r>
    </w:p>
    <w:p>
      <w:pPr>
        <w:pStyle w:val="TextBody"/>
        <w:bidi w:val="0"/>
        <w:spacing w:before="120" w:after="283"/>
        <w:jc w:val="left"/>
        <w:rPr>
          <w:rFonts w:ascii="Times New Roman" w:hAnsi="Times New Roman"/>
          <w:sz w:val="20"/>
        </w:rPr>
      </w:pPr>
      <w:r>
        <w:rPr>
          <w:rFonts w:ascii="Times New Roman" w:hAnsi="Times New Roman"/>
          <w:color w:val="000000"/>
          <w:sz w:val="20"/>
        </w:rPr>
        <w:t>We plan to focus our investment in the near-term on advancing our early-stage live biotherapeutic candidates, including advancing IND-enabling studies for SER-603, evaluating the next stage of development for SER-155 in irEC, and, subject to receiving additional funding, progressing the development of SER-155 into a Phase 2 study in allo-HCT. Our expenses may increase in connection with these future activities. See “Risk Factors—Risks Related to Our Financial Position and Need for Additional Capital—</w:t>
      </w:r>
      <w:r>
        <w:rPr>
          <w:rFonts w:ascii="Times New Roman" w:hAnsi="Times New Roman"/>
          <w:i/>
          <w:color w:val="000000"/>
          <w:sz w:val="20"/>
        </w:rPr>
        <w:t>We are a clinical-stage company and have incurred significant losses since our inception. We expect to incur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any of our product candidates, we expect to incur costs related to product manufacturing and commercialization, including marketing, sales and distribution. Furthermore, we expect to continue to incur additional costs associated with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will need additional financing to support our continuing operations. Until such time as we can generate significant revenue from product sales, if ever, we expect to finance our operations through a combination of business development transactions including collaborations with third parties, public or private equity or debt financings or other sources. Adequate additional financing may not be available to us on acceptable terms, or at all. For example, the trading prices for our and other biopharmaceutical companies’ stock have been highly volatile as a result of factors such as the impacts of pandemics, increases in inflation rates, interest rates and tariffs. As a result, we may face difficulties raising capital through sales of our common stock and any such sales may be on unfavorable terms. Our inability to raise capital or secure a partnership as and when needed would have a negative impact on our financial condition and our ability to pursue our business strategy. We will need to generate significant revenue to achieve profitability, and we may never do so. </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we had cash and cash equivalents totaling $15.6 million. Based on our currently available cash resources, the $12.5 million Milestone Termination Payment received from SPN in July 2026, and the expected receipt of the additional $12.5 million Milestone Termination Payment due from SPN in October 2026, and considering our future operating plans, we anticipate that we will require additional funding following the first quarter of 2027. In accordance with applicable accounting standards, we evaluated whether there are conditions and events, considered in the aggregate, that raise substantial doubt about our ability to continue as a going concern within 12 months after the date of the issuance of the condensed consolidated financial statements included elsewhere in this Quarterly Report on Form 10-Q. In performing this analysis, we excluded certain elements of our operating plan that cannot be considered probable of occurring. Under the applicable accounting standards, any future transactions or equity issuances cannot be considered probable, as these events are outside our control. Accordingly, management has concluded that substantial doubt exists about our ability to continue as a going concern for 12 months from the date the condensed consolidated financial statements included elsewhere in this Quarterly Report on Form 10-Q are issued. See “Risk Factors— Risks Related to Our Financial Position and Need for Additional Capital —</w:t>
      </w:r>
      <w:r>
        <w:rPr>
          <w:rFonts w:ascii="Times New Roman" w:hAnsi="Times New Roman"/>
          <w:i/>
          <w:color w:val="000000"/>
          <w:sz w:val="20"/>
        </w:rPr>
        <w:t>We have identified conditions and events that raise substantial doubt regarding our ability to continue as a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our efforts to obtain capital and other resources to support further development of SER-155 and our broader portfolio of live biotherapeutic product candidates with applications for inflammatory diseases. We are evaluating a range of potential deal structures that we believe could leverage our live biotherapeutics expertise and success, as demonstrated by bringing VOWST from early development through FDA approval.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February 12, 2026, we announced that we implemented cost reduction actions, including reducing our workforce by approximately 30%. During the three months ended March 31, 2026, we incurred approximately $0.9 million in restructuring costs, primarily related to severance costs, of which $0.7 million was paid during the first quarter of 2026, and the remainder was paid out in the second quarter of 2026.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On June 5, 2026, we announced that we amended our lease with our landlord for a portion of our space in Cambridge, Massachusetts, under which we reduced our leased space, rental rate and facility operating expenses. The restructured lease is expected to materially reduce the Company’s ongoing annual facility-related costs and long-term obligations. Refer to Note 6, </w:t>
      </w:r>
      <w:r>
        <w:rPr>
          <w:rFonts w:ascii="Times New Roman" w:hAnsi="Times New Roman"/>
          <w:i/>
          <w:color w:val="000000"/>
          <w:sz w:val="20"/>
        </w:rPr>
        <w:t>Leases</w:t>
      </w:r>
      <w:r>
        <w:rPr>
          <w:rFonts w:ascii="Times New Roman" w:hAnsi="Times New Roman"/>
          <w:color w:val="000000"/>
          <w:sz w:val="20"/>
        </w:rPr>
        <w:t>, included elsewhere in this Quarterly Report on Form 10-Q for more information.</w:t>
      </w:r>
    </w:p>
    <w:p>
      <w:pPr>
        <w:pStyle w:val="TextBody"/>
        <w:bidi w:val="0"/>
        <w:jc w:val="left"/>
        <w:rPr>
          <w:rFonts w:ascii="Times New Roman" w:hAnsi="Times New Roman"/>
          <w:b/>
          <w:color w:val="000000"/>
          <w:sz w:val="20"/>
        </w:rPr>
      </w:pPr>
      <w:r>
        <w:rPr>
          <w:rFonts w:ascii="Times New Roman" w:hAnsi="Times New Roman"/>
          <w:b/>
          <w:color w:val="000000"/>
          <w:sz w:val="20"/>
        </w:rPr>
        <w:t>Our Product Pipeline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Addressing unmet medical needs in oncology patients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Treatment of Immune checkpoint-related enterocolitis (irEC)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SER-155 for irEC patients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have been collaborating with Memorial Sloan Kettering Cancer Center for over a decade on the impact of the GI microbiome on immune related diseases and cancer; recently this long-standing collaboration included a single arm, open-label Phase 1b investigator-sponsored trial, or IST, evaluating SER-155 as a potential first-line treatment in irEC. The study evaluated SER-155 in 15 patients with moderate-to-severe (Grade 2- 3) irEC. irEC is among the most frequent and severe immune-related adverse events, or irAEs, in recipients of immune checkpoint inhibitor, or ICI, therapy and can be observed in up to 50% of patients, with rates varying based on cancer drug and treatment regimen. Moderate to severe irEC occurs in approximately 25% of all ICI therapy recipients in the United States. ICIs can cause a wide range of irAEs with links to T cell biology and epithelial barrier inflammation, both of which are biological functions shown in our preclinical and clinical pharmacology data to be positively impacted by SER-155. Participants in the study were on a wide range of ICI types, including PD-1 inhibitors (Keytruda®, Opdivo®, Zynyz®), PD-L1 inhibitors (Imfinzi®, Bavencio®), CTLA-4 inhibitors (Yervoy®, Imjudo®), LAG-3 inhibitor (Opdualag®), and combinations thereof. Clinical guidelines for these patients who experience Grade 2-3 irEC stipulate halting of ICI cancer treatment and initiation of systemic immunosuppressive corticosteroids, which are associated with clinically meaningful toxicities and other negative consequences, including systemic immunosuppression, increased infection risk, metabolic complications, and potential interference with cancer treatment. There remains a significant unmet need for systemic, immunosuppressive-free therapeutic approaches that reduce gastrointestinal inflammation and diarrhea and may allow patients who develop irEC to avoid disruption of their life-saving ICI cancer treatment. SER-155 is designed to promote mucosal healing and modulate inflammation without systemic immunosuppressives, which carry the risk of toxicity and ICI efficacy impact.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July 2026, we reported initial clinical results, including preliminary safety, efficacy, pharmacology, and exploratory biomarker data. Top-line data from the IST showed that 80% of SER-155 recipients, or 12 of 15 participants, achieved an immunosuppressive-free clinical response of diarrhea (a primary symptom of irEC) at Day 15, which met the primary endpoint, defined as at least a 1-grade improvement in diarrhea symptoms without immunosuppressive therapy (i.e., a corticosteroid and/or biologic immunomodulator drug). Notably, 8 of these 12 responders (67%) achieved greater than or equal to a 2-grade improvement in diarrhea symptoms without immunosuppressive therapy at Day 15. At Day 15, 5 of 15 participants (33%) achieved immunosuppressive-free complete clinical remission, defined as total resolution of diarrhea symptoms to Grade 0, without immunosuppressive therapy. At Day 43, 5 of 15 participants (33%) maintained immunosuppressive-free clinical response, and, notably, 2 of 15 participants (13%) maintained immunosuppressive-free complete clinical remission. All 12 participants with immunosuppressive-free clinical response at Day 15 had the same, or better, diarrhea grade at Day 43. As noted, 5 maintained immunosuppressive-free clinical response at Day 43. The other 7 were treated with non-systemically acting, gastrointestinal-targeted immunosuppressives after Day 15. SER-155 was generally well tolerated through Day 43, with no safety concerns identified, consistent with the outcome in Seres’ Phase 1b study of SER-155 in participants undergoing allo-HCT. There were no serious adverse events assessed as related to SER-155 and no bloodstream infections reported in the study through Day 43. Two participants experienced 2 non-serious adverse events each, assessed as possibly related to vancomycin and SER-155. All 4 adverse events were moderate in severity and were resolved. SER-155 bacterial strain engraftment (a measure of drug pharmacokinetics and strain growth in the gastrointestinal tract) was robust, with the majority of SER-155 strains observed across the study participants, and with kinetics, magnitude, and durability comparable to that observed in our prior clinical studies.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Biomarker data also supported that SER-155 was functioning as designed. At baseline, participants in the study showed evidence of epithelial barrier disruption and severe gastrointestinal inflammation as evidenced in the biomarkers fecal albumin and fecal calprotectin respectively. Fecal albumin is a biomarker that indicates protein leakage from the bloodstream into the gut lumen and provides direct evidence of mucosal epithelial barrier compromise. Fecal calprotectin is a well-established clinical biomarker of immune activation that indicates the presence of activated neutrophils in the intestinal mucosa. At study entry participants had elevated fecal albumin and calprotectin levels that are characteristic of individuals with colitis. Following SER-155 treatment, both albumin and calprotectin biomarkers show early, durable, and concordant reductions over time with significant reductions in both measures achieved by Day 43, reflecting consistent improvement across two mechanistically linked dimensions of irEC disease. These biomarker improvements were directionally consistent with the clinical observations and provide additional support for SER-155’s potential biologic activity in this setting. Importantly, the pharmacological and translational results suggest that SER-155 may act on core disease-relevant biology rather than simply produce a symptomatic effect. We believe the drug pharmacology data provide supportive evidence of our live biotherapeutic candidates operating as designed to repair the mucosal epithelial barrier and reduce gastrointestinal inflammation, which supports possible expansion into multiple other inflammatory and immune diseases.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believe data from this IST further supports the potential for live biotherapeutics to address a significant unmet need among the large population of cancer patients receiving ICIs for systemic immunosuppressive-free therapeutic approaches that have the potential to reduce gastrointestinal inflammation and diarrhea and may allow patients who develop irEC to avoid disruption of their life-saving ICI cancer treatment.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Infection Risk Reduction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Oncology patients are particularly vulnerable to risk of infection due to their cancer treatment and conditioning procedure as well as compromised immune system. We believe that the scientific and clinical data from our VOWST program (our then product candidate SER-109 program) validate our novel approach of using live biotherapeutics to decolonize pathogens and improve mucosal epithelial barrier integrity, resulting in reduced rate of infections in medically compromised patients. Data from the ECOSPOR III and ECOSPOR IV Phase 3 trial published in the </w:t>
      </w:r>
      <w:r>
        <w:rPr>
          <w:rFonts w:ascii="Times New Roman" w:hAnsi="Times New Roman"/>
          <w:i/>
          <w:color w:val="000000"/>
          <w:sz w:val="20"/>
        </w:rPr>
        <w:t>New England Journal of Medicine</w:t>
      </w:r>
      <w:r>
        <w:rPr>
          <w:rFonts w:ascii="Times New Roman" w:hAnsi="Times New Roman"/>
          <w:color w:val="000000"/>
          <w:sz w:val="20"/>
        </w:rPr>
        <w:t xml:space="preserve"> (Feuerstadt et al., 2022) and </w:t>
      </w:r>
      <w:r>
        <w:rPr>
          <w:rFonts w:ascii="Times New Roman" w:hAnsi="Times New Roman"/>
          <w:i/>
          <w:color w:val="000000"/>
          <w:sz w:val="20"/>
        </w:rPr>
        <w:t xml:space="preserve">Journal of the American Medical Association </w:t>
      </w:r>
      <w:r>
        <w:rPr>
          <w:rFonts w:ascii="Times New Roman" w:hAnsi="Times New Roman"/>
          <w:color w:val="000000"/>
          <w:sz w:val="20"/>
        </w:rPr>
        <w:t xml:space="preserve">(Sims et al., 2023) suggest that live biotherapeutics have the potential to restructure the gut microbiome and shift the gut metabolic landscape. Additional data show that VOWST rapidly reduced the abundance of bacteria associated with common antibiotic resistance genes, or ARGs, and reduced ARG abundance in the gut (Straub et al., 2023). Collectively, we believe these data suggest the potential for live biotherapeutics to prevent the colonization and overgrowth of pathogens that can establish in the gut and ultimately to reduce infections. We believe that reducing pathogen colonization in the GI and improving GI epithelial barrier integrity to reduce the risk of infection may be replicable in a range of medically compromised patients, protecting them from infections and resulting downstream clinical sequelae.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this approach may also enable us to reduce AMR, which the World Health Organization declared as a top ten global public health threat facing humanity, and with estimates that yearly deaths may reach 10 million by 2050, putting mortality due to AMR on par with deaths due to cancer. Recently, two manuscripts were published in </w:t>
      </w:r>
      <w:r>
        <w:rPr>
          <w:rFonts w:ascii="Times New Roman" w:hAnsi="Times New Roman"/>
          <w:i/>
          <w:color w:val="000000"/>
          <w:sz w:val="20"/>
        </w:rPr>
        <w:t>Nature Medicine</w:t>
      </w:r>
      <w:r>
        <w:rPr>
          <w:rFonts w:ascii="Times New Roman" w:hAnsi="Times New Roman"/>
          <w:color w:val="000000"/>
          <w:sz w:val="20"/>
        </w:rPr>
        <w:t xml:space="preserve"> (Bryant et al. 2026) and the </w:t>
      </w:r>
      <w:r>
        <w:rPr>
          <w:rFonts w:ascii="Times New Roman" w:hAnsi="Times New Roman"/>
          <w:i/>
          <w:color w:val="000000"/>
          <w:sz w:val="20"/>
        </w:rPr>
        <w:t xml:space="preserve">Journal of Infectious Diseases </w:t>
      </w:r>
      <w:r>
        <w:rPr>
          <w:rFonts w:ascii="Times New Roman" w:hAnsi="Times New Roman"/>
          <w:color w:val="000000"/>
          <w:sz w:val="20"/>
        </w:rPr>
        <w:t xml:space="preserve">(Bryant et al. 2025) highlighting new insights into the functional mechanism and clinical impact of VOWST. The </w:t>
      </w:r>
      <w:r>
        <w:rPr>
          <w:rFonts w:ascii="Times New Roman" w:hAnsi="Times New Roman"/>
          <w:i/>
          <w:color w:val="000000"/>
          <w:sz w:val="20"/>
        </w:rPr>
        <w:t>Nature Medicine article</w:t>
      </w:r>
      <w:r>
        <w:rPr>
          <w:rFonts w:ascii="Times New Roman" w:hAnsi="Times New Roman"/>
          <w:color w:val="000000"/>
          <w:sz w:val="20"/>
        </w:rPr>
        <w:t xml:space="preserve">, titled “The impact of an oral purified microbiome therapeutic on the GI microbiome”, confirmed our pharmacological hypotheses from earlier VOWST studies, with higher VOWST dosing associated with enhanced pharmacokinetics, as assessed by faster and more robust therapeutic species engraftment in the gut. Treatment also significantly altered the composition of the intestinal microbiome and microbe-associated metabolites, including decreased primary and increased secondary bile acids, as well as elevated short- and medium-chain fatty acids, functional changes that inhibit C. difficile spore germination and vegetative growth. Further, in vitro analyses confirmed that VOWST batches induced production of these metabolites that disrupt C. difficile life cycle and growth. Collectively, these findings support VOWST’s role in restoring microbe-associated metabolic functions critical to preventing CDI recurrence. A complementary publication in the </w:t>
      </w:r>
      <w:r>
        <w:rPr>
          <w:rFonts w:ascii="Times New Roman" w:hAnsi="Times New Roman"/>
          <w:i/>
          <w:color w:val="000000"/>
          <w:sz w:val="20"/>
        </w:rPr>
        <w:t>Journal of Infectious Diseases</w:t>
      </w:r>
      <w:r>
        <w:rPr>
          <w:rFonts w:ascii="Times New Roman" w:hAnsi="Times New Roman"/>
          <w:color w:val="000000"/>
          <w:sz w:val="20"/>
        </w:rPr>
        <w:t>, titled “Comparability of Gastrointestinal Microbiome and Bile Acid Profiles in Patients With First or Multiply Recurrent Clostridioides difficile Infection”, reported a post hoc analysis of the ECOSPOR IV Phase 3 trial, evaluating differences in gastrointestinal microbiome and bile acid profiles between patients experiencing a first recurrence C. difficile infection (frCDI) versus multiply recurrence infection (mrCDI). These data demonstrate that the underlying functional disease etiology is consistent in both first and multiply recurrent CDI patient populations, with VOWST demonstrating similar efficacy and drug pharmacology across the broad patient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these data provide important clinical translation and further demonstrate the potential of live biotherapeutics to target specific microbiome functions that are linked to serious disease, including those that are not effectively treated with other drug modalities. The underlying data supporting these publications was developed using Seres' MbTx platform, which provides high-resolution assessment of drug pharmacology and functional mechanism of action. These data on bacterial function and pharmacology anchored the preclinical development of SER-155 and inform the continued development of Seres’ pipeline of next-generation live biotherapeutic products.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SER-155 for allo-HCT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SER-155, an investigational, oral, live biotherapeutic designed to decolonize GI pathogens, improve GI epithelial barrier integrity, and induce immune homeostasis to prevent bacterial BSIs, including those that can harbor AMR, as well as other pathogen associated negative clinical outcomes in patients undergoing allo-HCT. SER-155 is a live biotherapeutic candidate designed to prevent frequent, expensive, and fatal infections in blood cancer patients.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SER-155 contains 16 bacterial strains selected using our reverse translation discovery and development platform technologies to optimize SER-155’s functional profile. The design incorporates biomarker data from human clinical data and screening data from nonclinical human cell-based assays and in vivo disease models. The bacteria consortia is designed to optimize: (i) the prevention of the growth of various </w:t>
      </w:r>
      <w:r>
        <w:rPr>
          <w:rFonts w:ascii="Times New Roman" w:hAnsi="Times New Roman"/>
          <w:i/>
          <w:color w:val="000000"/>
          <w:sz w:val="20"/>
        </w:rPr>
        <w:t>Enterococcaceae</w:t>
      </w:r>
      <w:r>
        <w:rPr>
          <w:rFonts w:ascii="Times New Roman" w:hAnsi="Times New Roman"/>
          <w:color w:val="000000"/>
          <w:sz w:val="20"/>
        </w:rPr>
        <w:t xml:space="preserve"> and </w:t>
      </w:r>
      <w:r>
        <w:rPr>
          <w:rFonts w:ascii="Times New Roman" w:hAnsi="Times New Roman"/>
          <w:i/>
          <w:color w:val="000000"/>
          <w:sz w:val="20"/>
        </w:rPr>
        <w:t>Enterobacteriaceae</w:t>
      </w:r>
      <w:r>
        <w:rPr>
          <w:rFonts w:ascii="Times New Roman" w:hAnsi="Times New Roman"/>
          <w:color w:val="000000"/>
          <w:sz w:val="20"/>
        </w:rPr>
        <w:t xml:space="preserve"> species known to potentially dominate the GI tract and lead to downstream negative clinical outcomes in medically compromised patients and that can harbor antibacterial resistance, (ii) the production of multiple bacterial metabolites that can promote mucosal and epithelial barrier integrity with the goal of reducing the likelihood of harmful bacteria translocating from the gut to the bloodstream through a compromised epithelium, and (iii) the production of multiple bacterial metabolites that can modulate immune pathways to induce immune tolerance with a potential impact on graft versus host disease, or GvHD.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rationale for this program is based in part on published clinical evidence from our collaborators at Memorial Sloan Kettering Cancer Center showing that allo-HCT patients with decreased diversity of commensal microbes and pathogen domination in the gastrointestinal tract were significantly more likely to die due to infection and/or lethal GvHD (Peled et al., 2020). There are an estimated 40,000 allo-HCT procedures annually worldwide, and infection is one of the most common causes of mortality in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The Center for International Blood &amp; Marrow Transplant Research, or CIBMTR, reports that 19-28% of deaths in allo-HCT patients over 18 years of age within 100 days post-transplant are caused by infections and 5-14% by GvHD. In December 2023, we received Fast Track Designation for SER-155 to reduce the risk of infection and GvHD in allo-HCT patients. In December 2024, the FDA granted Breakthrough Therapy designation to SER-155 for the reduction of BSIs in patients 18 years and older undergoing allo-HCT.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SER-155 Phase 1b Study (including placebo-controlled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SER-155 has been evaluated in a Phase 1b study in patients undergoing allo-HCT. The SER-155 Phase 1b study included two cohorts. Cohort 1 was designed to assess safety and drug pharmacology, specifically the drug strain engraftment in the gastrointestinal tract. Cohort 1 included 13 subjects who received any dosing of the SER-155 regimen, with 11 subjects subsequently receiving an allo-HCT. Results from this cohort, announced in May 2023, showed SER-155 was generally well tolerated and resulted in successful drug strain engraftment and a reduction in pathogen domination in the GI microbiome relative to a historical control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Cohort 2 utilized a randomized, double-blinded 1:1 placebo-controlled design to further evaluate safety and drug strain engraftment, as well as key secondary and exploratory endpoints such as the incidence of bacterial bloodstream infections and related medical consequences such as febrile neutropenia and antibiotic use. Cohort 2 included 45 patients in the intention-to-treat (ITT) population. Of the ITT population, 20 received SER-155 and 14 received placebo, each of whom subsequently received an allo-HCT, with data available for clinical evaluation through day 100, the study’s prespecified primary observation point. Exploratory hypothesis testing was conducted at the two-sided α=0.05 level. Ninety-five percent (95%) 2-sided confidence intervals (CIs) were determined, where specified. No adjustment for multiplicity was done. A subset of patient samples was available for drug pharmacology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median age in Cohort 2 was 63, and most subjects had acute myeloid leukemia, acute lymphocytic leukemia, myelodysplastic syndrome or myeloproliferative neoplasia as their primary disease and received reduced-intensity conditioning pre-transplant. Most patients received peripheral blood stem cells from a matched unrelated donor. A majority received post-transplant cyclophosphamide as part of their graft-versus-host disease (GvHD) prophylaxis.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Cohort 2, announced in September 2024, were consistent with the observations from Cohort 1. SER-155 was generally well tolerated, and no treatment-emergent serious adverse events related to drug were observed. SER-155 bacterial strains engrafted into the gastrointestinal tract of patients following the administration of SER-155.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of BSIs was significantly lower in the SER-155 arm compared with the placebo arm (2/20 (10%) vs. 6/14 (42.9%), respectively; [Odds Ratio: 0.15; 95% CI: 0.01, 1.13, p=0.0423]), which represents a relative risk reduction of approximately 77% and an absolute risk reduction of approximately 33%, resulting in a number needed to treat (NNT) of 3 for SER-155 to prevent a BSI event. In addition, while antibiotic starts were similar in each arm, patients administered SER-155 were treated with antibiotics for a significantly shorter duration compared to patients in the placebo arm (9.2 days vs. 21.1 days, respectively, with a mean difference of -11.9 days [95% CI: -23.85, -0.04; p=0.0494]). The incidence of febrile neutropenia was lower in patients administered SER-155 compared to placebo (65% vs. 78.6%, respectively; [Odds Ratio: 0.51; 95% CI: 0.07, 2.99; p=0.4674]). Six cases of gastrointestinal infections (C. difficile infections) were observed in the study, with four cases (20%) in the SER-155 arm and two cases (14.3%) in the placebo 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changes in the allo-HCT standard of care and the increasing use of post-transplant cyclophosphamide as part of prophylactic therapy for GvHD have reduced rates of GvHD overall in this patient population. The rates of GvHD in the study were low, with two cases of grade 2 GvHD observed in each arm, and no cases of grade 3 or 4 GvHD were observed.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Cohort 2, the ability to detect pathogen domination (i.e., relative abundance in the GI ≥30%) in the placebo arm, and differences between the study arms, was constrained due to the limited number of placebo stool samples (placebo patients submitted fewer stool samples) and an imbalance in the number of available stool samples between the arms. Observed pathogen domination events were low in the placebo and SER-155 arms with no significant differences identified. In a comparison of the prevalence of pathogen domination versus a larger allo-HCT historical control cohort, pathogen domination in SER-155 subjects was substantially lower, providing further evidence of SER-155 activity.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the available study data from Cohort 1 suggest that SER-155 administration results in significantly lower incidence rates of gastrointestinal dominations with pathogens of clinical concern, such as </w:t>
      </w:r>
      <w:r>
        <w:rPr>
          <w:rFonts w:ascii="Times New Roman" w:hAnsi="Times New Roman"/>
          <w:i/>
          <w:color w:val="000000"/>
          <w:sz w:val="20"/>
        </w:rPr>
        <w:t>Enterococcaceae</w:t>
      </w:r>
      <w:r>
        <w:rPr>
          <w:rFonts w:ascii="Times New Roman" w:hAnsi="Times New Roman"/>
          <w:color w:val="000000"/>
          <w:sz w:val="20"/>
        </w:rPr>
        <w:t xml:space="preserve">, </w:t>
      </w:r>
      <w:r>
        <w:rPr>
          <w:rFonts w:ascii="Times New Roman" w:hAnsi="Times New Roman"/>
          <w:i/>
          <w:color w:val="000000"/>
          <w:sz w:val="20"/>
        </w:rPr>
        <w:t>Enterobacteriaceae</w:t>
      </w:r>
      <w:r>
        <w:rPr>
          <w:rFonts w:ascii="Times New Roman" w:hAnsi="Times New Roman"/>
          <w:color w:val="000000"/>
          <w:sz w:val="20"/>
        </w:rPr>
        <w:t xml:space="preserve">, </w:t>
      </w:r>
      <w:r>
        <w:rPr>
          <w:rFonts w:ascii="Times New Roman" w:hAnsi="Times New Roman"/>
          <w:i/>
          <w:color w:val="000000"/>
          <w:sz w:val="20"/>
        </w:rPr>
        <w:t>Streptococcaceae</w:t>
      </w:r>
      <w:r>
        <w:rPr>
          <w:rFonts w:ascii="Times New Roman" w:hAnsi="Times New Roman"/>
          <w:color w:val="000000"/>
          <w:sz w:val="20"/>
        </w:rPr>
        <w:t xml:space="preserve">, and </w:t>
      </w:r>
      <w:r>
        <w:rPr>
          <w:rFonts w:ascii="Times New Roman" w:hAnsi="Times New Roman"/>
          <w:i/>
          <w:color w:val="000000"/>
          <w:sz w:val="20"/>
        </w:rPr>
        <w:t>Staphylococcaceae</w:t>
      </w:r>
      <w:r>
        <w:rPr>
          <w:rFonts w:ascii="Times New Roman" w:hAnsi="Times New Roman"/>
          <w:color w:val="000000"/>
          <w:sz w:val="20"/>
        </w:rPr>
        <w:t>. We further believe the resulting Cohort 2 data, together with the Cohort 1 SER-155 Phase 1b study results provide encouraging evidence to support further development of SER-155 to potentially reduce GI associated bloodstream and AMR infections as well as increase immune tolerance in individuals undergoing allo-HCT for cancers and other serious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we presented new post hoc data from our SER-155 Phase 1b trial in an oral presentation at IDWeek in Atlanta, Georgia. The presentation included new post-hoc analysis from the completed SER-155 Phase 1b study describing differences between the SER-155 and placebo groups, including the bacterial and fungal organisms causing BSIs, BSI event clinical outcomes, antibacterial prophylaxis use, and patterns of AMR among the bacterial BSI organisms. These new data illustrated that BSIs occurred despite antibacterial prophylaxis, and that BSI bacteria exhibited AMR. Resistance to multiple antibacterial agent classes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observed only in the BSI bacteria from placebo-treated participants, two of whom had fatal outcomes related to their BSIs. These new data further support the potential of SER-155 as an innovative alternative approach to the significant unmet medical need for prevention of BSIs in HCT patients, especially those BSIs associated with AMR that increases the risk of morbidity and mortality.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we presented SER-155 Phase 1b study results, including biomarker and clinical pharmacology data, at the 2026 European Society of Clinical Microbiology and Infectious Diseases (ESCMID) global congress. Data showed that administration of SER-155 induced a significant and durable shift in GI microbiome composition relative to placebo, characterized by high relative abundance of SER-155 species. This shift is associated with improved GI epithelial barrier integrity that could reduce the likelihood of bacterial translocation from the GI to the bloodstream. These pharmacology results are consistent with the intended SER-155 mechanisms of action as well as the observation of significantly lower bloodstream infection incidence post allo-HCT in SER-155-administered participants.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Exploratory biomarker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2025, clinical and biomarker results from our biotherapeutic programs were presented at multiple leading industry meetings and conferences, including the 2025 Tandem Transplantation &amp; Cellular Therapy Meetings of the American Society for Transplantation and Cellular Therapy (ASTCT) and Center for International Blood and Marrow Transplant Research (CIBMTR), European Society for Blood and Marrow Transplantation (EBMT), Digestive Disease Week (DDW), and the 2025 American Society of Clinical Oncology (ASCO). We believe that exploratory biomarker data presented at recent medical meetings have supported the intended mechanisms of SER-155. We believe that the data generated suggest that live biotherapeutics could provide a novel treatment modality that could benefit patients living with gut-related inflammatory and immune diseases that are not effectively addressed today. Furthermore, research indicates that specific patient subpopulations optimally suited for biotherapeutic-based treatments may be identifiable. </w:t>
      </w:r>
    </w:p>
    <w:p>
      <w:pPr>
        <w:pStyle w:val="TextBody"/>
        <w:bidi w:val="0"/>
        <w:jc w:val="left"/>
        <w:rPr>
          <w:rFonts w:ascii="Times New Roman" w:hAnsi="Times New Roman"/>
          <w:sz w:val="20"/>
        </w:rPr>
      </w:pPr>
      <w:r>
        <w:rPr>
          <w:rFonts w:ascii="Times New Roman" w:hAnsi="Times New Roman"/>
          <w:color w:val="000000"/>
          <w:sz w:val="20"/>
          <w:u w:val="single"/>
        </w:rPr>
        <w:t>Proposed SER-155 Phase 2 Study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SER-155 Phase 2 study is expected to incorporate a well-powered, placebo-controlled design, which provides for a planned interim analysis to enable an expedited initial data readout. The SER-155 Phase 2 study is expected to enroll approximately 248 participants and incorporate an adaptive design and an interim data analysis when approximately half of the enrolled participants have reached the primary endpoint. We expect to obtain the interim clinical results within twelve months following study initiation, which we believe will facilitate timely engagement with the FDA on the design of a Phase 3 study and inform development in adjacent medically vulnerable patient populations. We believe that positive results, if achieved, from the Phase 2 study could enable advancement into a single Phase 3 trial to support registration.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advancement of key startup activities for the SER-155 Phase 2 study in allo-HCT, including the submission of a final protocol to the FDA in January 2026, study site evaluation and qualification with our CRO, and manufacturing of drug substance, we have paused additional investment in that program while continuing to seek funding for the Phase 2 study.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SER-428 - liquid formulation for ICU patients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we were awarded a grant from CARB-X to support the development of SER-428, an oral liquid formulation of an LBP based on SER-155 strains for medically vulnerable patient populations at risk of BSIs, including AMR infections, who cannot be dosed with oral capsules, such as intubated patients in the medical ICU. The CARB-X grant provides us with up to $3.6 million of funding for research, manufacture, and design of a Phase 1 clinical trial in ICU patients. SER-428 is designed to target the prevention of bloodstream infections in medical ICU patients by </w:t>
      </w:r>
      <w:r>
        <w:rPr>
          <w:rFonts w:ascii="Times New Roman" w:hAnsi="Times New Roman"/>
          <w:i/>
          <w:color w:val="000000"/>
          <w:sz w:val="20"/>
        </w:rPr>
        <w:t>Escherichia coli</w:t>
      </w:r>
      <w:r>
        <w:rPr>
          <w:rFonts w:ascii="Times New Roman" w:hAnsi="Times New Roman"/>
          <w:color w:val="000000"/>
          <w:sz w:val="20"/>
        </w:rPr>
        <w:t xml:space="preserve"> and other gut-derived bacteria capable of harboring antibiotic resistance. Up to 50% of all preventable medical ICU deaths have been attributed to infections with </w:t>
      </w:r>
      <w:r>
        <w:rPr>
          <w:rFonts w:ascii="Times New Roman" w:hAnsi="Times New Roman"/>
          <w:i/>
          <w:color w:val="000000"/>
          <w:sz w:val="20"/>
        </w:rPr>
        <w:t>E. coli</w:t>
      </w:r>
      <w:r>
        <w:rPr>
          <w:rFonts w:ascii="Times New Roman" w:hAnsi="Times New Roman"/>
          <w:color w:val="000000"/>
          <w:sz w:val="20"/>
        </w:rPr>
        <w:t xml:space="preserve"> and other gut-derived bacteria (Mayr, 2006). These infections are also the leading cost in the medical ICU (Neidell, 2012). When ICU patients with multidrug resistant, or MDR, infections survive hospitalization, they have high long-term morbidity with over 20% 30-day readmission rates (Chang, 2015; Mayr, 2017). Over 5 million patients are admitted to ICUs in the U.S. annually, and these admissions account for approximately 20% of all acute care hospitalizations (Barrett et al.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Infections with pathogenic, often MDR, bacteria are the leading cause of mortality in the medical ICU, causing up to 9 deaths for every 100 ICU patients admitted (Vincent, 2009). Most patients are admitted to the medical ICU with a known or suspected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infection (i.e., sepsis) but, with targeted or empiric antibiotics, most recover from this initial infection. Once in the ICU, secondary, healthcare-associated infections frequently develop during the prolonged recovery from sepsis and are a significant driver of mortality. SER-428 is a novel approach that addresses both gut colonization and subsequent translocation by </w:t>
      </w:r>
      <w:r>
        <w:rPr>
          <w:rFonts w:ascii="Times New Roman" w:hAnsi="Times New Roman"/>
          <w:i/>
          <w:color w:val="000000"/>
          <w:sz w:val="20"/>
        </w:rPr>
        <w:t>E. coli</w:t>
      </w:r>
      <w:r>
        <w:rPr>
          <w:rFonts w:ascii="Times New Roman" w:hAnsi="Times New Roman"/>
          <w:color w:val="000000"/>
          <w:sz w:val="20"/>
        </w:rPr>
        <w:t xml:space="preserve"> and other gut-derived pathogens to prevent a significant proportion of these secondary hospital acquired infections. SER-428 is in preclinical development, with IND-enabling activities ongoing and IND-readiness targeted by the end of 2026. We have advanced development and manufacturing of SER-428 and are designing a Phase 1b open label trial in collaboration with Columbia University to evaluate this therapeutic candidate in medical ICU patients at high risk of infection.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SER-147 for cirrhosis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developing another proprietary live biotherapeutic composition, SER-147, designed to prevent bacterial bloodstream and spontaneous bacterial peritonitis, or SBP, infections in patients with metabolic disease, including chronic liver disease, or CLD. SER-147 was designed and optimized using our reverse translational therapeutics development platform. CLD is a progressive condition marked by deterioration of liver function and is reaching epidemic proportions affecting nearly 1.7 billion people worldwide, causing substantial health burden on afflicted countries (GBD 2017 Cirrhosis Collaborators, 2020, Clinical Liver Disease,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advanced stages of CLD, known as decompensated cirrhosis, patients exhibit significant immune dysfunction, microbiome disruption, and increased contact with the healthcare system, all of which drive increased susceptibility to bacterial infections such as SBP and BSIs (Bajaj et al., 2021, Albillos et al., 2022). Over 40% of patients with decompensated cirrhosis experience an infection within the first year of diagnosis. Antibiotics are the only prophylactic option for patients at high risk of infections like SBP, resulting in exposure to antibiotics for months or years. To combat increasing rates of AMR, antibacterial prophylaxis for primary SBP is no longer recommended for the majority of patients outside of those at very high-risk, leaving significant unmet need. Many cultivated live biotherapeutics currently in clinic are constrained by formulation technologies incompatible with concomitant medications commonly used in CLD.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SER-147 is in preclinical development. The program is ready to progress to IND-enabling activities, including manufacturing, in order to advance to clinical development, pending availability of funding.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Immunology and Inflammation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SER-603 for IBD patients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SER-603 is a novel, LBP candidate designed to improve response rates and durability of remission in patients with IBD, including ulcerative colitis, or UC, and Crohn's disease. SER-603 is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Our research on SER-603 has been primarily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w:t>
      </w:r>
    </w:p>
    <w:p>
      <w:pPr>
        <w:pStyle w:val="TextBody"/>
        <w:bidi w:val="0"/>
        <w:jc w:val="left"/>
        <w:rPr>
          <w:rFonts w:ascii="Times New Roman" w:hAnsi="Times New Roman"/>
          <w:color w:val="000000"/>
          <w:sz w:val="20"/>
        </w:rPr>
      </w:pPr>
      <w:r>
        <w:rPr>
          <w:rFonts w:ascii="Times New Roman" w:hAnsi="Times New Roman"/>
          <w:color w:val="000000"/>
          <w:sz w:val="20"/>
        </w:rPr>
        <w:t>Emerging clinical and preclinical evidence suggests that microbiome functional disruption contributes to disease activity in a defined subset of IBD patients. Observational and translational data from our prior SER-287 Phase 2b study and SER-301 Phase 1b study indicate that pharmacodynamic responses were greater in microbiome-defined subpopulations. These findings, along with external data demonstrating heterogeneity in microbiome-associated inflammatory responses, support the development of targeted, biomarker-informed live biotherapeutic strategies. We have discovered more than fifty GI bacterial features linked to inflammatory outcomes and have nominated and validated microbe associated biomarkers that can predict a response to current advanced therapies for IBD. Leveraging these biomarkers and our integrated preclinical and clinical data sets, SER-603 is optimized to address epithelial barrier dysfunction and microbiome-driven inflammation without systemic immunosuppression.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SER-603 is in preclinical development, with IND-enabling activities ongoing. SER-603 is being developed for use as a stand-alone therapy and/or as a mechanism-distinct adjunctive therapy in combination with biologics or small molecules. We continue to evaluate biomarker-based patient selection approaches and functional characterization strategies to inform future clinical development. </w:t>
      </w:r>
    </w:p>
    <w:p>
      <w:pPr>
        <w:pStyle w:val="TextBody"/>
        <w:bidi w:val="0"/>
        <w:jc w:val="left"/>
        <w:rPr>
          <w:rFonts w:ascii="Times New Roman" w:hAnsi="Times New Roman"/>
          <w:color w:val="000000"/>
          <w:sz w:val="20"/>
        </w:rPr>
      </w:pPr>
      <w:r>
        <w:rPr>
          <w:rFonts w:ascii="Times New Roman" w:hAnsi="Times New Roman"/>
          <w:color w:val="000000"/>
          <w:sz w:val="20"/>
        </w:rPr>
        <w:t>In April 2026, Dr. Ines Moura of the University of Leeds gave a presentation at the 2026 European Society of Clinical Microbiology and Infectious Diseases (ESCMID) global congress describing the use of an in vitro colonic model (MiGut) to recapitulate patient-specific microbiome composition and inflammatory responses in IBD. We are co-developing with Leeds models to evaluate drug strain engraftment in different patient microbiome backgrounds and measure resulting metabolic and immune functional responses. The collaboration with Leeds on MiGut enables the modeling of patient stratification, conditioning, and live biotherapeutic effects in a pharmacological model, to inform clinical development in IBD and broader opportunities in other diseases.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May 2026, we presented data at the Digestive Disease Week, or DDW conference highlighting preclinical data supporting the design and potential of SER-603 in IBD. The poster, titled “The Rational Design of SER-603: A Next Generation Cultivated Microbial Consortia to Treat IBD,” which was selected as a DDW ‘Poster of Distinction,’ highlights our integrated approach to the design of microbiome therapeutics, combining rational strain selection and biomarker-driven patient stratification. SER-603 incorporates strains selected for engraftment and delivery of clinically relevant metabolites, including short-chain fatty acids, secondary bile acids, and tryptophan-derived molecules, with a therapeutic goal of inducing mucosal healing and regulating inflammatory pathways central to IBD pathophysiology, without immunosuppression. Its design integrates insights from human clinical datasets and reverse translational approaches to identify strains linked to key functional outputs, potentially enabling targeted modulation of inflammatory microbiome features, and is complemented by microbiome-based biomarkers associated with GI inflammation, to support patient stratification and to enrich for those patients most likely to benefit.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extensive patent portfolio directed to rationally designed ecologies of spores and microbes. The portfolio includes both company-owned patents and applications, and those that we have rights to as licensee. The patents and applications included in our portfolio cover both composition of matter and methods (e.g., method of treating). Our intellectual property rights related to SER-155, SER-147 and/or SER-603 extend through at least part of 2046 (not including any potential term extension). We plan on continuing to broaden our patent portfolio. Currently, we have 20 active patent families, which includes 16 nationalized applications, three at the PCT stage, and one at the provisional stage. To date, we have obtained issuance of 33 U.S. patents (which includes three as licensee). Of the issued U.S. patents, 13 U.S. patents (including one as licensee) have been assigned to Nestlé Health Science as part of its purchase of VOWST.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Transaction and pursuant to the Purchase Agreement, we transferred certain patents and trademarks affiliated with the VOWST Business to SPN at Closing. In addition, in connection with Closing, we entered into a cross-license agreement, or the Cross-License Agreement, with SPN. Under the Cross-License Agreement, we granted to SPN a perpetual, worldwide, non-exclusive, fully paid-up license under certain Seres patents that have been issued or will issue in the future and current know-how controlled by us that was not transferred to SPN pursuant to the Purchase Agreement. In the field of the treatment of CDI and recurrent CDI and associated complications, or collectively, the CDI Field, the license to SPN under such Seres patents and know-how is exclusive to SPN for five years after the Closing and co-exclusive between SPN and Seres following that five year period. The license from Seres to SPN is to issued Company patents that currently or in the future cover the Product or improvements thereof and know-how that is used or reasonably useful in connection with the exploitation of the VOWST Business. We also granted SPN an exclusive, perpetual, worldwide, fully paid-up license under issued Seres patents that currently or in the future cover the Product and improvements thereof and know-how that is used or reasonably useful in connection with the exploitation of the Product to exploit SER-262 in the CDI Field. SPN granted to us a perpetual, worldwide, non-exclusive license under the patents and know-how that are transferred to SPN pursuant to the Purchase Agreement or developed under the TSA, for Seres' products for use outside of the CDI Field, and after five years from Closing for Seres products containing designed, cultivated, bacterial consortia not manufactured using human stool (excluding SER-262) in the CDI Field. From and after Closing, certain license agreements between us, SPN, and/or their respective affiliates terminated and are of no further force or effect, except as contemplated by the Purchase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marketing approval for any of our product candidates, we expect to receive reference product exclusivity against biosimilar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revenues from the sale of products. Our revenues have been derived primarily from our agreements with our collaborators. See “–Liquidity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since inception have consisted primarily of research and development activities and general and administrative costs. In connection with the TSA we entered into with NESA following the sale of the VOWST Business during the third quarter of 2024 through December 31, 2025, our operating expenses also consisted of certain passthrough costs incurred in performing duties under the TSA and manufacturing services related to the VOWST Business and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other obligations,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third parties, including contract research organizations, or CROs, that conduct research, preclinical activities and clinical trials on our behalf as well as contract manufacturing organizations and other third parties that manufacture or test drug products for use in our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salaries, benefits and other related costs, including stock-based compensation expense, for personnel in our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outside consultants, including their fees, stock-based compensation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laboratory supplies and acquiring, developing and manufacturing preclinical study and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facility-related expenses, which include direct depreciation costs and allocated expenses for rent and maintenance of facilities and other operating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 and passthrough costs, reimbursable by Nestlé, incurred in performing duties under the TSA.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unaudited condensed consolidated financial statements as prepaid or accrued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focus of research and development since inception has been on our reverse translational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anticipate an overall decrease in research and development expenses in 2026 as compared to 2025, following the conclusion of the TSA, completion of the Phase 1b study of SER-155 in allo-HCT, and the cost reduction actions that were implemented in September 2025 and February 2026, including pausing investment in the SER-155 Phase 2 study and headcount reductions. Research and development expenses may increase in the future if and as we resume development of any clinical or preclinical programs. In 2025, research and development expenses included labor and passthrough costs, reimbursable by Nestlé, incurred in performing obligations under the TSA. Given the conclusion of the TSA as of December 31, 2025, these costs and related reimbursements are not expected to reoccur in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commercial,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rent and maintenance of facilities, information technology costs and other operating costs. In 2025, general and administrative expenses also included labor and passthrough costs, reimbursable by Nestlé, incurred in performing duties under the TSA.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decrease in 2026 as compared to 2025, following the conclusion of the TSA as of December 31, 2025, reductions of our workforce and overall cost containment efforts. Over the longer term, general and administrative expenses may increase in the future as we continue to incur increased expenses associated with being a public company, including increased costs of accounting, audit, legal, regulatory and tax-related services associated with maintaining compliance with exchange listing rules and the requirements of the SEC, director and officer insurance costs and investor and public relations costs.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TSA with NESA, beginning in the fourth quarter of 2024, we provided certain manufacturing services and related functions of the VOWST Business and operations. Expenses associated with the manufacturing services included certain facility-related, labor, lab supplies and consumables, and other manufacturing costs that would have been capitalized into inventory prior to the sale of VOWST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provided the manufacturing services until December 31, 2025. We do not expect to incur any expenses related to manufacturing services related to the VOWST business in the future, as the TSA and other Transaction-related obligations concluded on December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recognized an impairment loss of $5.8 million, related to one of our operating leases and the associated leasehold improvements as an indicator of impairment was deemed to exist and the carrying value of the asset group exceeded its fair value. Refer to Note 6, </w:t>
      </w:r>
      <w:r>
        <w:rPr>
          <w:rFonts w:ascii="Times New Roman" w:hAnsi="Times New Roman"/>
          <w:i/>
          <w:color w:val="000000"/>
          <w:sz w:val="20"/>
        </w:rPr>
        <w:t>Leases</w:t>
      </w:r>
      <w:r>
        <w:rPr>
          <w:rFonts w:ascii="Times New Roman" w:hAnsi="Times New Roman"/>
          <w:color w:val="000000"/>
          <w:sz w:val="20"/>
        </w:rPr>
        <w:t xml:space="preserve">, included elsewhere in this Quarterly Report on Form 10-Q, for more information.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our cash, cash equivalents and investments.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sublease income;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premiums or accretion of discounts on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gains and losses on foreign currency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Nestlé paid for costs associated with PRMS manufacturing; and reimbursement for certain labor and other passthrough costs of the transition services performed by the Company under the TSA;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gains or losses associated with the change in the Company's accrued liabilities due to SPN - related party.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in 2010, we have not recorded any U.S. federal or state income tax benefits for the net losses we have incurred in each year or our earned research and development tax credits, due to our uncertainty of realizing a benefit from those items. We did not provide for any income taxes in the three and six months ended June 30, 2026 or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accounting principles generally accepted in the United States.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Annual Report on Form 10-K for the fiscal year ended December 31, 2025, filed with the SEC on March 12, 2026, or the Annual Report,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and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tbl>
      <w:tblPr>
        <w:tblW w:w="7453" w:type="dxa"/>
        <w:jc w:val="left"/>
        <w:tblInd w:w="0" w:type="dxa"/>
        <w:tblLayout w:type="fixed"/>
        <w:tblCellMar>
          <w:top w:w="28" w:type="dxa"/>
          <w:left w:w="28" w:type="dxa"/>
          <w:bottom w:w="28" w:type="dxa"/>
          <w:right w:w="28" w:type="dxa"/>
        </w:tblCellMar>
      </w:tblPr>
      <w:tblGrid>
        <w:gridCol w:w="3291"/>
        <w:gridCol w:w="146"/>
        <w:gridCol w:w="211"/>
        <w:gridCol w:w="736"/>
        <w:gridCol w:w="166"/>
        <w:gridCol w:w="146"/>
        <w:gridCol w:w="211"/>
        <w:gridCol w:w="736"/>
        <w:gridCol w:w="166"/>
        <w:gridCol w:w="146"/>
        <w:gridCol w:w="211"/>
        <w:gridCol w:w="676"/>
        <w:gridCol w:w="61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VOWST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revenue was $0.7 million for the three months ended June 30, 2026 consisting of costs reimbursable under the CARB-X grant that we were awarded in the third quarter of 2025.</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tbl>
      <w:tblPr>
        <w:tblW w:w="8333" w:type="dxa"/>
        <w:jc w:val="left"/>
        <w:tblInd w:w="0" w:type="dxa"/>
        <w:tblLayout w:type="fixed"/>
        <w:tblCellMar>
          <w:top w:w="28" w:type="dxa"/>
          <w:left w:w="28" w:type="dxa"/>
          <w:bottom w:w="28" w:type="dxa"/>
          <w:right w:w="28" w:type="dxa"/>
        </w:tblCellMar>
      </w:tblPr>
      <w:tblGrid>
        <w:gridCol w:w="4681"/>
        <w:gridCol w:w="146"/>
        <w:gridCol w:w="211"/>
        <w:gridCol w:w="571"/>
        <w:gridCol w:w="146"/>
        <w:gridCol w:w="146"/>
        <w:gridCol w:w="211"/>
        <w:gridCol w:w="676"/>
        <w:gridCol w:w="146"/>
        <w:gridCol w:w="146"/>
        <w:gridCol w:w="211"/>
        <w:gridCol w:w="631"/>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5"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Live biotherapeutics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$9.1 million for the three months ended June 30, 2026 and $12.9 million for the three months ended June 30, 2025. The decrease of $3.8 million was primarily due to the following: </w:t>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decrease in personnel-related costs of $2.4 million primarily due to a decrease in salaries, bonuses, employee benefits expenses, and stock-based compensation expense due to lower headcount;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decrease of $0.9 million in expenses related to our live biotherapeutics platform and research and development operations primarily due to the conclusion of the TSA with Nestlé as of December 31, 2025, under which we incurred costs related to inventory shipments and storage of sample material that were reimbursed by Nestlé in 2025, as well as a reduction in facilities costs related to the Lease Amendment that was effective during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$0.9 million in expenses related to our SER-155 program as investment related to the Phase 2 study of SER-155 in allo-HCT was paused in February 2026;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$0.5 million in expenses related to our early stage programs primarily related to activities associated with the development of SER-428, for which the related reimbursements received from CARB-X are included within grant revenue.</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tbl>
      <w:tblPr>
        <w:tblW w:w="8318" w:type="dxa"/>
        <w:jc w:val="left"/>
        <w:tblInd w:w="0" w:type="dxa"/>
        <w:tblLayout w:type="fixed"/>
        <w:tblCellMar>
          <w:top w:w="28" w:type="dxa"/>
          <w:left w:w="28" w:type="dxa"/>
          <w:bottom w:w="28" w:type="dxa"/>
          <w:right w:w="28" w:type="dxa"/>
        </w:tblCellMar>
      </w:tblPr>
      <w:tblGrid>
        <w:gridCol w:w="4666"/>
        <w:gridCol w:w="146"/>
        <w:gridCol w:w="211"/>
        <w:gridCol w:w="571"/>
        <w:gridCol w:w="146"/>
        <w:gridCol w:w="146"/>
        <w:gridCol w:w="211"/>
        <w:gridCol w:w="676"/>
        <w:gridCol w:w="146"/>
        <w:gridCol w:w="146"/>
        <w:gridCol w:w="211"/>
        <w:gridCol w:w="631"/>
        <w:gridCol w:w="4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5"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$7.1 million for the three months ended June 30, 2026 compared to $10.3 million for the three months ended June 30, 2025. The decrease of $3.2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in personnel-related costs of $1.1 million primarily due to a decrease in salaries, bonuses, employee benefits expenses, and stock-based compensation expenses due to lower headcount;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professional fees of $0.7 million due to lower legal and consulting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facility-related and other costs of $1.4 million primarily related to information technology costs that were incurred as part of the TSA and reimbursed by Nestlé that did not reoccur in 2026, as well as a reduction in facilities costs related to the Lease Amendment that was effective during the second quarter of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services costs were incurred between the fourth quarter of 2024 and the end of 2025 as we performed PRMS manufacturing on behalf of Nestlé in accordance with the TSA. The expenses associated with manufacturing services included labor, materials, allocated facility-related, lab supplies and other manufacturing costs that would have been capitalized into inventory prior to the sale of VOWST Business. Following the conclusion of the TSA on December 31, 2025, no further manufacturing services costs were incurred and none are expected moving forward.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Impairment of long-lived assets was $5.8 million for the three months ended June 30, 2026, consisting of $5.6 million related to right-of-use assets and $0.2 million related to the associated leasehold improvements. Refer to Note 6, </w:t>
      </w:r>
      <w:r>
        <w:rPr>
          <w:rFonts w:ascii="Times New Roman" w:hAnsi="Times New Roman"/>
          <w:i/>
          <w:color w:val="000000"/>
          <w:sz w:val="20"/>
        </w:rPr>
        <w:t>Leases</w:t>
      </w:r>
      <w:r>
        <w:rPr>
          <w:rFonts w:ascii="Times New Roman" w:hAnsi="Times New Roman"/>
          <w:color w:val="000000"/>
          <w:sz w:val="20"/>
        </w:rPr>
        <w:t xml:space="preserve">, included elsewhere in this Quarterly Report on Form 10-Q, for more information.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was $25.9 million of income and $5.0 million of income for the three months ended June 30, 2026 and 2025, respectively. The increase of $20.8 million in other income, net was primarily due to the $25.0 million Gain on sale of VOWST business related to the Milestone Termination Payment expected to be received from SPN in July and October 2026, partially offset by $3.5 million of reimbursement income associated with the performance of TSA services in the second quarter of 2025 that did not reoccur due to the conclusion of the TSA at the end of 2025, and a decrease in interest income of $0.3 million due to our lower cash balance.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p>
      <w:pPr>
        <w:pStyle w:val="TextBody"/>
        <w:bidi w:val="0"/>
        <w:spacing w:before="120" w:after="283"/>
        <w:jc w:val="left"/>
        <w:rPr/>
      </w:pPr>
      <w:r>
        <w:rPr/>
        <w:t> </w:t>
      </w:r>
    </w:p>
    <w:tbl>
      <w:tblPr>
        <w:tblW w:w="7513" w:type="dxa"/>
        <w:jc w:val="left"/>
        <w:tblInd w:w="0" w:type="dxa"/>
        <w:tblLayout w:type="fixed"/>
        <w:tblCellMar>
          <w:top w:w="28" w:type="dxa"/>
          <w:left w:w="28" w:type="dxa"/>
          <w:bottom w:w="28" w:type="dxa"/>
          <w:right w:w="28" w:type="dxa"/>
        </w:tblCellMar>
      </w:tblPr>
      <w:tblGrid>
        <w:gridCol w:w="3291"/>
        <w:gridCol w:w="146"/>
        <w:gridCol w:w="211"/>
        <w:gridCol w:w="736"/>
        <w:gridCol w:w="166"/>
        <w:gridCol w:w="146"/>
        <w:gridCol w:w="211"/>
        <w:gridCol w:w="736"/>
        <w:gridCol w:w="166"/>
        <w:gridCol w:w="146"/>
        <w:gridCol w:w="211"/>
        <w:gridCol w:w="736"/>
        <w:gridCol w:w="61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VOWST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revenue was $1.1 million for the six months ended June 30, 2026 consisting of costs reimbursable under the CARB-X grant that we were awarded in the third quarter of 2025.</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tbl>
      <w:tblPr>
        <w:tblW w:w="8438" w:type="dxa"/>
        <w:jc w:val="left"/>
        <w:tblInd w:w="0" w:type="dxa"/>
        <w:tblLayout w:type="fixed"/>
        <w:tblCellMar>
          <w:top w:w="28" w:type="dxa"/>
          <w:left w:w="28" w:type="dxa"/>
          <w:bottom w:w="28" w:type="dxa"/>
          <w:right w:w="28" w:type="dxa"/>
        </w:tblCellMar>
      </w:tblPr>
      <w:tblGrid>
        <w:gridCol w:w="4681"/>
        <w:gridCol w:w="146"/>
        <w:gridCol w:w="211"/>
        <w:gridCol w:w="676"/>
        <w:gridCol w:w="146"/>
        <w:gridCol w:w="146"/>
        <w:gridCol w:w="211"/>
        <w:gridCol w:w="676"/>
        <w:gridCol w:w="146"/>
        <w:gridCol w:w="146"/>
        <w:gridCol w:w="211"/>
        <w:gridCol w:w="631"/>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Live biotherapeutics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$22.3 million for the six months ended June 30, 2026 and $24.8 million for the six months ended June 30, 2025. The decrease of $2.4 million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in personnel-related costs of $2.6 million primarily due to a decrease in salaries, bonus, employee benefits expenses, and stock-based compensation expense due to lower headcount;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$0.9 million in expenses related to our SER-155 program as investment related to preparation for the Phase 2 study of SER-155 in allo-HCT was paused in February 2026;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$0.5 million in expenses related to our live biotherapeutics platform and research and development operations primarily due to the conclusion of the TSA with Nestlé as of December 31, 2025, under which a portion of our facility costs and other operational costs were included within manufacturing services expenses and were reimbursed by Nestlé in 2025, partially offset by a reduction in facilities costs related to the Lease Amendment that was effective during the second quarter of 2026;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$0.6 million in expenses related to our early stage programs primarily related to activities associated with the development of SER-428, for which the related reimbursements received from CARB-X are included within grant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tbl>
      <w:tblPr>
        <w:tblW w:w="8423" w:type="dxa"/>
        <w:jc w:val="left"/>
        <w:tblInd w:w="0" w:type="dxa"/>
        <w:tblLayout w:type="fixed"/>
        <w:tblCellMar>
          <w:top w:w="28" w:type="dxa"/>
          <w:left w:w="28" w:type="dxa"/>
          <w:bottom w:w="28" w:type="dxa"/>
          <w:right w:w="28" w:type="dxa"/>
        </w:tblCellMar>
      </w:tblPr>
      <w:tblGrid>
        <w:gridCol w:w="4666"/>
        <w:gridCol w:w="146"/>
        <w:gridCol w:w="211"/>
        <w:gridCol w:w="676"/>
        <w:gridCol w:w="146"/>
        <w:gridCol w:w="146"/>
        <w:gridCol w:w="211"/>
        <w:gridCol w:w="676"/>
        <w:gridCol w:w="146"/>
        <w:gridCol w:w="146"/>
        <w:gridCol w:w="211"/>
        <w:gridCol w:w="631"/>
        <w:gridCol w:w="4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$15.1 million for the six months ended June 30, 2026 compared to $22.1 million for the six months ended June 30, 2025. The decrease of $7.0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personnel-related costs of $1.9 million primarily due to a decrease in salaries, bonus, employee benefits expenses, and stock-based compensation expenses due to the decrease in headcount period over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professional fees of $2.2 million due to lower legal and consulting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facility-related and other costs of $2.9 million primarily related to information technology costs that were incurred as part of the TSA and reimbursed by Nestlé that did not reoccur in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services costs were incurred between the fourth quarter of 2024 and the end of 2025 as we performed PRMS manufacturing on behalf of Nestlé in accordance with the TSA. The expenses associated with manufacturing services included labor, materials, allocated facility-related, lab supplies and other manufacturing costs that would have been capitalized into inventory prior to the sale of VOWST Business. Following the conclusion of the TSA on December 31, 2025, no further manufacturing services costs were incurred and none are expected moving forward.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Impairment of long-lived assets was $5.8 million for the six months ended June 30, 2026, consisting of $5.6 million related to right-of-use assets and $0.2 million related to the associated leasehold improvements. Refer to Note 6, </w:t>
      </w:r>
      <w:r>
        <w:rPr>
          <w:rFonts w:ascii="Times New Roman" w:hAnsi="Times New Roman"/>
          <w:i/>
          <w:color w:val="000000"/>
          <w:sz w:val="20"/>
        </w:rPr>
        <w:t>Leases</w:t>
      </w:r>
      <w:r>
        <w:rPr>
          <w:rFonts w:ascii="Times New Roman" w:hAnsi="Times New Roman"/>
          <w:color w:val="000000"/>
          <w:sz w:val="20"/>
        </w:rPr>
        <w:t xml:space="preserve">, included elsewhere in this Quarterly Report on Form 10-Q, for more information.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$26.8 million of income and $64.9 million of income for the six months ended June 30, 2026 and 2025, respectively. The decrease of $38.1 million in other income, net was due to the lower gain on sale of VOWST business in 2026 compared to 2025 of $27.4 million, as well as $9.8 million of reimbursement income associated with the performance of TSA services in the first half of 2025 that did not reoccur due to the conclusion of the TSA at the end of 2025, and a decrease in interest income of $0.7 million due to our lower cash balance. The $52.4 million gain on sale of the VOWST business recognized in the six months ended June 30, 2025 was primarily due to the $50.0 million installment payment received from Nestlé in January 2025 that was conditioned on our material compliance with obligations under the TSA, while the $25.0 million gain on sale of VOWST business recognized in the six months ended June 30, 2026 was related to the Milestone Termination Payment expected to be received from SPN in July and October 2026.</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generated revenue only from collaborations and have incurred recurring net losses from operations. We anticipate that we will continue to incur losses for at least the next several years. We will need additional capital to fund our operations, which include our research and development and general and administrative expenses, which we may obtain from additional financings, public offerings, research funding, additional collaborations, contract and grant revenue or other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5, 2024, we entered into the Purchase Agreement with SPN, pursuant to which we agreed to sell our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Product to SPN and its designated affiliates, and SPN and its designated affiliates assumed certain liabilities from us. Our stockholders approved the Transaction at a special meeting of stockholders held on September 26, 2024, and the Transaction closed on September 30, 2024. As consideration for the Transaction, SPN agreed to pay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cash payment, which was paid at Closing, of $100 million, less approximately $17.9 million owed by us to an affiliate of SPN as of March 31, 2024 under the prior license agreement between us and the SPN affiliate, less approximately CHF 2.0 million in satisfaction of fees due under an existing manufacturing agreement between us and Bacthera;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installment payments of $50 million, which was received on January 15, 2025, and $25 million, which was received on July 1, 2025 (offset by $1.4 million paid by us to Nestlé on July 1, 2025 related to certain employment obligations assumed by SPN, as described below), conditioned on our material compliance with obligations under the TSA entered into at Closing between us and NESA;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they are earned, the Milestone Payments will be satisfied as follows: (i) first, by set-off against all accrued interest on the Prepaid Milestone until the amount of such accrued interest has been paid in full, (ii) second, by set-off against the outstanding balance of the Prepaid Milestone until the Prepaid Milestone has been repaid in full and (iii)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installment payment received on July 1, 2025 was offset by $1.4 million that we paid to Nestlé on the same date related to certain employment obligations assumed by SPN through the period prior to the Closing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condition to Closing, we and SPN entered into the Securities Purchase Agreement, pursuant to which SPN purchased 714,285 shares of Common Stock at Closing, at a purchase price per share of $21.00, for an aggregate purchase price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2026, we entered into Amendment No. 1 (the “APA Amendment”) to the Purchase Agreement. Pursuant to the APA Amendment, the parties agreed to terminate SPN’s obligations with respect to the Milestone Payments described above and eliminate the milestone interest payments that would have been due from us to SPN. In consideration for the foregoing, SPN agreed to a one-time payment to us of $25.0 million (the "Milestone Termination Payment"), which amount is payable in two equal installments of $12.5 million, with the first installment paid on July 1, 2026 and the second installment payable on October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entered into a Sales Agreement, or the Sales Agreement, with Cowen and Company, LLC, or Cowen, to sell shares of our common stock, with aggregate gross sales proceeds of up to $150.0 million, from time to time, through an “at the market” equity offering program under which Cowen acts as sales agent. During the three and six months ended June 30, 2026, we sold 232,286 and 258,082 shares of common stock under the Sales Agreement, at an average price of approximately $7.99 and $8.78 per share, raising aggregate net proceeds of approximately $1.7 million and $2.1 million after deducting an aggregate commission of approximately 3%. During the six months ended June 30, 2025, we sold 54,806 of common stock under the Sales Agreement, at an average price of approximately $18.60 per share, raising aggregate net proceeds of approximately $1.0 million after deducting an aggregate commission of approximately 3% and other issuance costs. As of June 30, 2026, we have sold 2,446,777 shares of common stock under the Sales Agreement, at an average price of approximately $26.16 per share, raising aggregate net proceeds of approximately $61.4 million after deducting an aggregate commission of approximately 3% and other issuance costs.</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we had cash and cash equivalents totaling $15.6 million and an accumulated deficit of $987.7 million. For the six months ended June 30, 2026, we incurred a loss from operations of $42.2 million</w:t>
      </w:r>
      <w:r>
        <w:rPr>
          <w:rFonts w:ascii="Times New Roman" w:hAnsi="Times New Roman"/>
          <w:color w:val="222222"/>
          <w:sz w:val="20"/>
        </w:rPr>
        <w:t xml:space="preserve">. </w:t>
      </w:r>
      <w:r>
        <w:rPr>
          <w:rFonts w:ascii="Times New Roman" w:hAnsi="Times New Roman"/>
          <w:color w:val="000000"/>
          <w:sz w:val="20"/>
        </w:rPr>
        <w:t xml:space="preserve">We expect that our operating losses and negative cash flows will continue for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applicable accounting standards, we have the responsibility to evaluate whether conditions or events raise substantial doubt about our ability to meet our future financial obligations as they become due within 12 months after the date the consolidated financial statements are issued. The ability to obtain sufficient proceeds from additional equity offerings, collaborations or other financing with terms favorable or acceptable to us cannot be considered probable, as these events are outside of our control. Based on our currently available cash resources, the $12.5 million Milestone Termination Payment received from SPN in July 2026, and the expected receipt of the additional $12.5 million Milestone Termination Payment due from SPN in October 2026, and considering our future operating plans, we anticipate that we will require additional funding following the first quarter of 2027. Accordingly, management has concluded that these circumstances raise substantial doubt about our ability to continue as a going concern. 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We will need to generate significant revenues to achieve profitability, and we may never do so. Because of the numerous risks and uncertainties associated with the development of our current and any future product candidates, the development of our platform and technology and because the extent to which we may enter into collaborations with third parties for development of any of our product candidates is unknown, we are unable to estimate the amounts of increased capital outlays and operating expenses required for completing the research and development of our product candidates.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w:t>
      </w:r>
    </w:p>
    <w:p>
      <w:pPr>
        <w:pStyle w:val="TextBody"/>
        <w:bidi w:val="0"/>
        <w:jc w:val="left"/>
        <w:rPr/>
      </w:pPr>
      <w:r>
        <w:rPr/>
        <w:t> </w:t>
      </w:r>
    </w:p>
    <w:tbl>
      <w:tblPr>
        <w:tblW w:w="8449" w:type="dxa"/>
        <w:jc w:val="left"/>
        <w:tblInd w:w="0" w:type="dxa"/>
        <w:tblLayout w:type="fixed"/>
        <w:tblCellMar>
          <w:top w:w="28" w:type="dxa"/>
          <w:left w:w="28" w:type="dxa"/>
          <w:bottom w:w="28" w:type="dxa"/>
          <w:right w:w="28" w:type="dxa"/>
        </w:tblCellMar>
      </w:tblPr>
      <w:tblGrid>
        <w:gridCol w:w="5766"/>
        <w:gridCol w:w="146"/>
        <w:gridCol w:w="211"/>
        <w:gridCol w:w="736"/>
        <w:gridCol w:w="166"/>
        <w:gridCol w:w="146"/>
        <w:gridCol w:w="211"/>
        <w:gridCol w:w="676"/>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cash used in operating activities was $38.8 million due to a net loss of $15.3 million and changes in our operating assets and liabilities of $38.5 million, partially offset by non-cash charges of $15.1 million. Non-cash charges consisted of the impairment loss of $5.8 million, stock-based compensation expense of $3.5 million, $4.1 million related to the amortization of right-of-use assets, $1.5 million of depreciation and amortization, and $0.1 million loss on disposal of fixed assets. Changes in our operating assets and liabilities during the six months ended June 30, 2026 consisted of an increase in accounts receivable due from SPN of $24.6 million related to the APA Amendment, a decrease in operating lease liabilities of $14.8 million, primarily related to $10.8 million of termination payments related to the Lease Amendment, a decrease in accounts payable of $0.5 million, a decrease in accrued expenses and other current and long-term liabilities of $0.1 million, and an increase in accounts receivable relating to the CARB-X program of $0.1 million, partially offset by a decrease in prepaid expenses and other current and other non-current assets of $1.6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cash provided by operating activities was $13.6 million due to net income of $12.8 million and non-cash charges of $11.4 million, partially offset by changes in our operating assets and liabilities of $10.6 million. Non-cash charges consisted of stock-based compensation expense of $5.2 million, $4.1 million related to the amortization of right-of-use assets, and $2.1 million of depreciation and amortization. Changes in our operating assets and liabilities during the six months ended June 30, 2025 consisted of a decrease in accrued liabilities due to SPN of $4.3 million, a decrease in operating lease liabilities of $4.2 million, a decrease in accrued expenses and other current and long-term liabilities of $4.8 million, and a decrease in accounts payable of $1.9 million, partially offset by a decrease in prepaid expenses and other current and other non-current assets of $3.4 million and a decrease in accounts receivable due from SPN of $1.2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investing activities was less than $0.1 million, consisting entirely of proceeds received from sales of property and equipment to unrelated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used in investing activities was $0.2 million, consisting entirely of purchases of property and equipment.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was $2.1 million, consisting of $2.1 million from the issuance of common stock under our at the market equity program, net of issuance costs and less than $0.1 million from the issuance of common stock under our 2015 Employee Stock Purchase Plan, or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financing activities was $1.2 million, consisting of $1.0 million from the issuance of common stock under our at the market equity program, net of issuance costs and $0.2 million from the issuance of common stock under our 2015 Employee Stock Purchase Plan, or ESPP.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may increase in connection with our ongoing clinical development activities and research and development activities. In addition, we expect to continue to incur additional costs associated with operating as a public company. We anticipate that our future expenses will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our early-stage pipeline product candidates, including SER-603 in IBD and SER-155 in irEC;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clinical trials for SER-155 in allo-HCT and other medically vulnerable populations, including potentially SER-428 in ICU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strategic investments in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and distribution infrastructure and scale-up manufacturing capabilities to commercialize any other products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 our obligations under any agreements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obtain regulatory approvals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the development of our product candidates, we are unable to estimate the amounts of increased capital outlays and operating expenses associated with completing the research and development of our product candidates. Our future capital requirements will depend on many factors,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conducting clinical trials for SER-155 in allo-HCT and other targeted indications, and other product candidates in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 and research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revenue, if any, of potential future commercialization activities, including manufacturing,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 including entering into licensing or collaboration arrangements for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marketing approval for our current or future product candidates and achieve product sales. In addition, our product candidates, if approved, may not achieve commercial success. Additionally, part of our commercial revenues, if any, will be derived from sales of product candidates that we do not expect to be commercially available for many years, if ever. Accordingly, we will need to obtain substantial additional funds to achieve our business objectives.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additional funds may not be available to us on acceptable terms, or at all. Additionally, market volatility resulting from macroeconomic conditions, or other factors could also adversely impact our ability to access capital as and when needed.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as common stockholders. Any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stockholders’ ownership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debt financings, or collaborations when needed, we may be required to delay, limit, reduce or terminate our product development programs or any potential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 of the condensed consolidated financial statements included elsewhere in this Quarterly Report on Form 10-Q, we have the responsibility to evaluate whether conditions or events raise substantial doubt about our ability to meet our future financial obligations as they become due within 12 months after the date the condensed consolidated financial statements are issued. The ability to obtain sufficient proceeds from additional equity offerings, collaborations or other financing with terms favorable or acceptable to us cannot be considered probable, as these events are outside of our control. Accordingly, management has concluded that these circumstances raise substantial doubt about our ability to continue as a going concern. Based on our currently available cash resources, the $12.5 million Milestone Termination Payment received from SPN in July 2026, and the expected receipt of the additional $12.5 million Milestone Termination Payment due from SPN in October 2026, and considering our future operating plans, we anticipate that we will require additional funding following the first quarter of 2027.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disclosure of our contractual obligations and commitments was included in our Annual Report. Except for the Lease Amendment described in Note 6, </w:t>
      </w:r>
      <w:r>
        <w:rPr>
          <w:rFonts w:ascii="Times New Roman" w:hAnsi="Times New Roman"/>
          <w:i/>
          <w:color w:val="000000"/>
          <w:sz w:val="20"/>
        </w:rPr>
        <w:t>Leases,</w:t>
      </w:r>
      <w:r>
        <w:rPr>
          <w:rFonts w:ascii="Times New Roman" w:hAnsi="Times New Roman"/>
          <w:color w:val="000000"/>
          <w:sz w:val="20"/>
        </w:rPr>
        <w:t xml:space="preserve"> to our condensed consolidated financial statements included elsewhere in this Quarterly Report on Form 10-Q there have been no material changes from the contractual commitments and obligations previously disclosed in our Annual Report.</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part_1_item_3_market_risk"/>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from changes in interest rates and inflation. These market risks arise in the normal course of business. As of June 30, 2026, there have been no material changes to the information included under Part II, Item 7A, Quantitative and Qualitative Disclosures About Market Risk, in our Annual Report on Form 10-K for the year ended December 31, 2025.</w:t>
      </w:r>
    </w:p>
    <w:p>
      <w:pPr>
        <w:pStyle w:val="TextBody"/>
        <w:bidi w:val="0"/>
        <w:spacing w:before="160" w:after="283"/>
        <w:jc w:val="left"/>
        <w:rPr>
          <w:rFonts w:ascii="Times New Roman" w:hAnsi="Times New Roman"/>
          <w:b/>
          <w:color w:val="000000"/>
          <w:sz w:val="20"/>
        </w:rPr>
      </w:pPr>
      <w:bookmarkStart w:id="11" w:name="part_1_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as of the end of the period covered by this Quarterly Report. Based on such evaluation, our principal executive officer and principal financial officer concluded that as of June 30, 2026, our disclosure controls and procedures were effective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faces significant risks and uncertainties. Accordingly, in evaluating our business, you should carefully consider the risk factors discussed below, as well as the other information included or incorporated by reference in this Quarterly Report, including our condensed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We have identified conditions and events that raise substantial doubt regarding our ability to continue as a going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currently available cash resources, the $12.5 million Milestone Termination Payment received from SPN in July 2026, and the expected receipt of the additional $12.5 million Milestone Termination Payment due from SPN in October 2026, and considering our future operating plans, we anticipate that we will require additional funding following the first quarter of 2027. The ability to obtain additional equity or other financing, including through partnerships, with terms favorable or acceptable to us cannot be considered probable according to the applicable accounting standards because they are outside our control. Therefore, there is substantial doubt about our ability to continue as a going concern for at least 12 months from the date that our condensed consolidated financial statements for the six months ended June 30, 2026 were issued. Substantial doubt about our ability to continue as a going concern may materially and adversely affect the price per share of our common stock, and it may be more difficult for us to obtain financing or enter into a partnership. If potential collaborators or partners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We have prepared our consolidated financial statements on a going concern basis, which contemplates the realization of assets and the satisfaction of liabilities and commitments in the normal course of business. Our unaudited consolidated financial statements included in this Quarterly Report on Form 10-Q do not include any adjustments to reflect the possible inability of the Company to continue as a going concern within 12 months after the issuance of such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additional funding in order to advance development of our product candidates (including to conduct the Phase 2 study of SER-155 in allo-HCT and to advance our earlier stage programs) and commercialize our product candidates, if approved. If we are unable to raise capital or secure a partnership or other business development transaction, we could be required to implement further cost-reduction measures, reduce or delay our product development programs or any potential future commercialization efforts, or pursue other alternatives which could include seeking relief under the U.S. Bankruptcy Code or winding down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may increase in connection with our ongoing activities, particularly if we further SER-155 clinical studies, and research, develop and initiate clinical trials of our product candidates. In addition, if we obtain marketing approval for any of our product candidates, we expect to incur costs related to product manufacturing and commercialization, including marketing, sales and distribution, and may not generate meaningful product revenues or collaboration profit in the near future. Furthermore, we have incurred and expect to continue to incur additional costs associated with operating as a public company. Accordingly, we will need to obtain substantial additional funding in connection with our continuing operations. If we are unable to raise capital or secure a partnership when needed or on attractive terms, we could be forced to reduce or delay our product development programs or potential future commercialization efforts, or pursue other alternatives, which could include seeking relief under the U.S. Bankruptcy Code or winding down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actively seeking a business development transaction, which may include a partnership, to provide financial support and share in our vision to realize the clinical and commercial value of SER-155. Our strategic discussions are focused on supporting SER-155 clinical advancement to reduce the risk of bloodstream infections, including life-threatening and AMR infections, in medically vulnerable patient populations. We believe that SER-155 and other cultivated live biotherapeutic candidates could be developed in additional patient populations beyond allo-HCT, including autologous-HCT patients, cancer patients with neutropenia, CAR-T recipients, individuals with chronic liver disease, solid organ transplant recipients, as well as patients in the intensive care unit and long-term acute care facilities. We are also exploring collaborations to advance the development of our investigational biotherapeutics in inflammatory and immune diseases, including ulcerative colitis and Crohn’s disease.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conditions and events that raise substantial doubt about our ability to continue as a going concern.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developing our pipeline product candidates, including SER-603 in IBD and SER-155 in irEC;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conducting clinical trials for SER-155 in allo-HCT and other targeted indications, and other product candidates in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 and research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revenue, if any, of potential future commercialization activities, including manufacturing,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 including entering into licensing or collaboration arrangements for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current macroeconomic conditions, such as the conflicts involving Ukraine and Russia and Israel and its surrounding regions, trade wars or related uncertainty between the U.S. and other nations, including China, or other governmental action related to tariffs or international trade agreements or policies, and related impacts,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funding on a timely basis, we may be required to significantly curtail, delay, or discontinue one or more of our research or development programs or any product candidates, or be unable to expand our operations or otherwise capitalize on our business opportunities, as desired, which could materially adversely affect our business, financial condition and results of operations. We may pursue strategic partnerships or collaborations or other alternatives with one or more parties. We can provide no assurance that we will be successful in securing any strategic partnership, collaboration, or alternative, or that any such partnership, collaboration or alternative that we secure will achieve its intended benefits or have a positive impact on our financial condition or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company and have incurred significant losses since our inception. We expect to incur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Since inception, we have incurred significant operating losses. As of June 30, 2026, we had cash and cash equivalents totaling $15.6 million and an accumulated deficit of $987.7 million. For the six months ended June 30, 2026, we incurred a net loss from operations of $42.2 million</w:t>
      </w:r>
      <w:r>
        <w:rPr>
          <w:rFonts w:ascii="Times New Roman" w:hAnsi="Times New Roman"/>
          <w:color w:val="222222"/>
          <w:sz w:val="20"/>
        </w:rPr>
        <w:t xml:space="preserve">. </w:t>
      </w:r>
      <w:r>
        <w:rPr>
          <w:rFonts w:ascii="Times New Roman" w:hAnsi="Times New Roman"/>
          <w:color w:val="000000"/>
          <w:sz w:val="20"/>
        </w:rPr>
        <w:t xml:space="preserve">As noted elsewhere in this Quarterly Report on Form 10-Q, we have identified conditions and events that raise substantial doubt about our ability to continue as a going concern. To date, we have financed our operations through the public offerings of our common stock, private placements of our common stock and preferred stock, payments under our prior collaboration agreements and loan facility, and payments from government entities for research grants. We have devoted substantially all of our financial resources and efforts to developing our live biotherapeutics platform, identifying potential product candidates and conducting preclinical studies and clinical trials. We have only developed one FDA-approved product, VOWST, which was sold to SPN in September 2024. We have not completed development of any of our other product candidates, which we call live biotherapeutic candidates, or other drugs or biologics. We expect to continue to incur significant expenses and operating losses for the foreseeable future. Our expenses may increase substantially in connection with our ongoing and future activities, particularly if and as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our early-stage pipeline product candidates, including SER-603 in IBD and SER-155 in irEC;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clinical trials for SER-155 in allo-HCT and for other medically vulnerable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research and development activities supported by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strategic investments in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and distribution infrastructure and scale-up manufacturing capabilities to commercialize any products for which we have obtained and in the future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 our obligations under any agreements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obtain regulatory approvals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or encounter any issues with any of the above, including but not limited to failed studies, complex results, safety issues or other regulatory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become and remain profitable, we must succeed in developing and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have already obtained and may in the future obtain regulatory approval. We are in the preliminary stages of many of these activities. We may never succeed in these activities and, even if we do, may never generate revenue that is significant enough to achieve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pharmaceutical product and biological development, we are unable to accurately predict the timing or amount of increased expenses or when, or if, we will be able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depress our value and could impair our ability to raise capital, secure a partnership, expand our business, maintain our research and development and any potential future commercialization efforts, diversify our product offerings or even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to evaluate the success of our business to date and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Other than with respect to VOWST, which was sold to SPN in September 2024, we have not yet demonstrated our ability to obtain regulatory approvals, and we have limited experience in demonstrating our ability to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made about our future success or viability may not be as accurate as they could be if we had a longer operating history.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realize the anticipated benefits of the Transaction, and we may face new challenges as a smaller, less diversified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realize the anticipated benefits from the Transaction, including deploying the proceeds from the Transaction to advance SER-155 and support our pipeline of wholly-owned cultivated live biotherapeutic candidates. Our ability to realize the anticipated benefits of the Transaction and the success of the remaining company is subject to various risks and uncertainties, including the possibility that we may not be able to successfully use our live biotherapeutics platform to build a pipeline of product candidates and develop additional marketable drugs, and the possibility that we will not be able to obtain, or experience delays in obtaining, required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resulted in the Company being a smaller, less diversified company with a more limited remaining business concentrated on SER-155, which recently completed a Phase 1b study in patients undergoing allogeneic hematopoietic stem cell transplantation, and our other wholly-owned cultivated live biotherapeutic candidates. As a result, we may be more susceptible to changing market conditions, including fluctuations and risks particular to preclinical and clinical-stage companies, than a more diversified company, which could adversely affect our remaining business, financial condition and results of operations. In addition, the diversification of our costs and cash flows diminished following the Transaction, such that our results of operations, cash flows, working capital and financing requirements may be subject to increased volatility and our ability to fund capital expenditures and investments or satisfy other financial commitments may be diminished.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secure additional funding to maintain operations beyond our current cash runway. Based on our currently available cash resources, the $12.5 million Milestone Termination Payment received from SPN in July 2026, and the expected receipt of the additional $12.5 million Milestone Termination Payment due from SPN in October 2026, and considering our future operating plans, we anticipate that we will require additional funding following the first quarter of 2027. However, due to our smaller business size and the early stage of development of our remaining assets, there can be no assurance that we will be able to raise the required capital on favorable terms, or at all. This potential inability to obtain necessary funding could have a material adverse effect on our growth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face new challenges with maintaining employee morale and retaining key management and other employees and retaining existing business and operational relationships, including with third parties, employees and other counterparties that otherwise prefer to transact with larger companies (or will only transact with smaller companies on less favorable terms).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the Discovery, Development and Regulatory Approval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early in our development efforts of our product candidates and may not be successful in our efforts to use our reverse translational platform to build a pipeline of product candidates and develop additional marketable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using our reverse translational platform to develop live biotherapeutic candidates. We are at an early stage of development of our product candidates and our platform may never lead to approvable or marketable drugs. We are developing product candidates that are designed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if approved, achieve market acceptance.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preclinical studies and clinical trials with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manufacturers for, or establishing our own,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our product candidates,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collaborations throughout the development process as appropriate, from preclinical studies through to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coverage and adequate reimbursement by third-party payors, including government payors, for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our rights in our intellectual property portfolio;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without infringing or violating the valid and enforceable patents or other intellectual property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our product candidates, if approved,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scientists and business people who can develop and commercialize our product candidates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collaborators do not successfully develop and commercialize our product candidates we will not be able to obtain product revenue or collaboration profit in future periods, which likely would result in significant harm to our financial position and adversely affect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are based on live biotherapeutics, which is a novel approach to therapeutic intervention.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are based on live biotherapeutics, a novel class of biological drugs, which are designed to treat disease by modulating the microbiome to restore health by repairing the function of a disrupted microbiome to a non-disease state. To our knowledge, VOWST is the first oral product based on this approach to receive FDA approval. We cannot be certain that our approach will lead to the development of additional approvable or marketable products or that we will be able to manufacture at commercial scale. Finally, the FDA or other regulatory authorities may lack experience in evaluating the safety and efficacy of novel product candidates based on live biotherapeutics, which could result in a longer than expected regulatory review process, increase our expected development costs and delay or prevent any potential future commercialization of our product candidates.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drug development involves a risky, lengthy and expensive process, with an uncertain outcome. We may incur additional costs or experience delays in completing, or ultimately be unable to complete, the development and potential future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cannot be certain as to what type and how many clinical trials the FDA, or other regulatory authorities, will require us to conduct before we may successfully gain approval to market any of our product candidates. Prior to approving a new therapeutic product, the FDA (or other regulatory authorities) generally requires that safety and efficacy, or with respect to biological products such as our live biotherapeutic candidates, safety, purity and potency,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our ability to receive marketing approval or commercialize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 xml:space="preserve">in vivo </w:t>
      </w:r>
      <w:r>
        <w:rPr>
          <w:rFonts w:ascii="Times New Roman" w:hAnsi="Times New Roman"/>
          <w:color w:val="000000"/>
          <w:sz w:val="20"/>
        </w:rPr>
        <w:t xml:space="preserve">or </w:t>
      </w:r>
      <w:r>
        <w:rPr>
          <w:rFonts w:ascii="Times New Roman" w:hAnsi="Times New Roman"/>
          <w:i/>
          <w:color w:val="000000"/>
          <w:sz w:val="20"/>
        </w:rPr>
        <w:t xml:space="preserve">in vitro </w:t>
      </w:r>
      <w:r>
        <w:rPr>
          <w:rFonts w:ascii="Times New Roman" w:hAnsi="Times New Roman"/>
          <w:color w:val="000000"/>
          <w:sz w:val="20"/>
        </w:rPr>
        <w:t>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or institutional review boards or ethics committees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or delays in reaching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demonstrate undesirable side effects or produce negative or inconclusive results, and we may decide, or regulators may require us, to conduct additional clinical trials or abandon product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suspend or terminate clinical trials of our product candidates for various reasons, including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revise the requirements for approving our product candidates, or such requirements may not be as we anticipate;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regarding trials managed by any current or future collaborators, our collaborators may face any of the above issues, and may conduct clinical trials in ways they view as advantageous to them but potentially suboptimal for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lose the support of current or any future collaborators, requiring us to bear more of the burden of development of certain compounds;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we intend or desire;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increased pricing pressure;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These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IRBs or ethics committees for reexamination, which may impact the costs, timing or successful completion of a clinical trial. Additional clinical trials or changes in our development plans could cause us to incur significant development costs, delay or prevent the potential future commercialization of our product candidates or otherwise adversely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many of the factors that cause, or lead to, the termination or suspension of, or a delay in the commencement or completion of, clinical trials may also ultimately lead to the denial of regulatory approval of a product candidate.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UK regulatory framework in relation to clinical trials is derived from the now-repealed EU Clinical Trials Directive (as implemented into UK law, through the Medicines for Human Use (Clinical Trials) Regulations 2004, as amended). In April 2025, the UK government adopted the Medicines for Human Use (Clinical Trials) Amendment Regulations. The amendment, which will take full effect in April 2026, aims to provide a more flexible regime to make it easier to conduct clinical trials in the UK, increase the transparency of clinical trials conducted in the UK and make clinical trials more patient centered.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slow or unable to adapt to changes in existing requirements or the adoption of new requirements or policies governing clinical trials, our business may be impacted.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Delays or difficulties in the enrollment of patients in clinical trials, could result in our receipt of necessary regulatory approvals being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is also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for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other treatments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payments for conducting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or perceived burden, of the clinical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or a delayed rate of enrollment would result in significant delays and could require us to abandon one or more clinical trials altogether.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the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and the activities associated with their development and potential future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any collaborators from commercializing the product candidate in that jurisdiction and may affect our plans for potential future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or with respect to biologics such as our live biotherapeutic candidates, safety, purity and potency.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live biotherapeutic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and may however have a significant impact on the biopharmaceutical industry in the long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regulatory authorities have substantial discretion in the approval process and may refuse to accept or file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product candidates may not receive marketing approval even if they achieve their specified endpoints in clinical trials. Clinical data are often susceptible to varying interpretations and many companies that have believed that their products 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submitting a marketing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potential future commercialization of our product candidates. Any delay in obtaining, or inability to obtain, applicable regulatory approval would delay or prevent potential commercialization of our product candidates and would materially adversely impact our business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therapeutic products targeting the underlying biology of the human microbiome is an emerging field, and it is possible that the FDA and other regulatory authorities could issue regulations or new policies in the future that could adversely affect our live biotherapeutic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our product candidates, the commercial prospects for our product candidates may be harmed and our ability to generate revenues will be materially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A Fast Track designation by the FDA may not actually lead to a faster development or regulatory review or approval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and may in the future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We received Fast Track designation for SER-155 to reduce the risk of infection and GvHD in patients undergoing allo-HCT. Fast Track designation applies to the combination of the product candidate and the specific indication for which it is being studied. Once granted, Fast Track designation provides increased opportunities for sponsor meetings with the FDA during preclinical and clinical development, and a BLA submitted for a Fast Track product candidate may also be eligible for rolling review, where the FDA may consider for review sections of the BLA on a rolling basis before the complete application is submitted, if the sponsor provides a schedule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the sections of the BLA, the FDA agrees to accept sections of the BLA and determines that the schedule is acceptable, and the sponsor pays any required user fees upon submission of the first section of the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Breakthrough Therapy, or other similar designations by the FDA for our product candidates may not lead to a faster development, regulatory review or approval process, and it does not increase the likelihood that our product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received Breakthrough Therapy designation for SER-155 for the reduction of BSIs in patients 18 years and older undergoing allo-HCT. We may seek these or other designations for future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also receive all of the Fast Track program features, including eligibility for rolling review of the associated marketing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a Breakthrough Therapy designation for any future designation we receive is no longer supported by subsequent data, the FDA may rescind the designation.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 candidates, if approved. Such an occurrence could materially impact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orphan drug designation for some of our product candidates but may not be able to obtain 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orphan drug designation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a product with an orphan drug designation subsequently receives the first marketing approval for the disease or condition for which it has such designation, the product is entitled to a period of marketing exclusivity, which precludes the FDA or other regulatory authorities from approving another marketing application for the same drug and same disease or condition during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the EU. The European exclusivity period can be reduced to six years if, at the end of the fifth year, it is established that a product no longer meets the criteria for orphan designation, if the product is sufficiently profitable so that market exclusivity is no longer justified, or the prevalence of the condition has increased above the orphan designation threshold.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disease or condition. Even after an orphan drug or biologic is approved, the FDA or other regulatory authorities can subsequently approve the same drug or biologic for the same disease or condition if the FDA or other regulatory authorities conclude that the later drug is clinically superior in that it is shown to be safer, more effective or makes a major contribution to patient care. Orphan drug designation neither shortens the development time or regulatory review time nor gives the drug any advantage in the regulatory review or approval process.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other regulatory authorities to review and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may also slow the time necessary for new drugs and biologics to be reviewed and/or approved by necessary regulatory authorities,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funding shortages, staffing limitations, or changes in administrative policy delay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It could also impact our ability to access the public markets and obtain necessary capital in order to fund our operations.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Dependence on Third Parties and Manufacturing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to conduct our clinical trials, and those third parties may not perform satisfactorily, including failing to meet deadlines for the completion of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rely on third parties, such as CROs, clinical data management organizations, medical institutions and clinical investigators, to conduct and manage our clinical trials.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data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Times New Roman" w:hAnsi="Times New Roman"/>
          <w:i/>
          <w:color w:val="000000"/>
          <w:sz w:val="20"/>
        </w:rPr>
        <w:t>ClinicalTrials.gov</w:t>
      </w:r>
      <w:r>
        <w:rPr>
          <w:rFonts w:ascii="Times New Roman" w:hAnsi="Times New Roman"/>
          <w:color w:val="000000"/>
          <w:sz w:val="20"/>
        </w:rPr>
        <w:t>, within specified timeframes.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to rely on other third parties to store and distribute drug supplies for our clinical trials. Any performance failure on the part of our distributors could delay clinical development or marketing approval of our product candidates or potential commercialization of our products, if and when approved, producing additional losses and depriving us of potential product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third parties for certain aspects of the manufacture of our product candidates, and we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potential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potential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manufacturers, which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third-party manufacturers to comply with regulatory requirements and maintain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third-party manufacturers to perform the manufacturing process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of supply agreements by the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supply components, intermediates, services, or product according to our specifications;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supply components, intermediates, services, or product according to our schedule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misappropriation or disclosure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agreements by third-party manufacturers at times that are costly or inconvenient for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and when approved.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if and when approved.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potential future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Furthermore, if we breach or are perceived to breach our contractual obligations or otherwise default under our agreements with third parties, or if we otherwise have contractual disputes with such third parties, it may lead to adverse outcomes, including potential delays, unforeseen expenses, or the termination of those contracts.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potential future commercialization efforts.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our product candidates in investigator-sponsored clinical trials (ISTs) may expose us to additional risks that could impair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supporting an IST with Memorial Sloan Kettering Cancer Center to evaluate SER-155 in patients with immune checkpoint related enterocolitis, and may in the future support other ISTs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ISTs may be subject to significant delays, fail to comply with GCPs or other regulatory requirements, be terminated prematurely by the investigator or applicable IRBs or ethics committees, or produce data that is not useful for, or acceptable to, regulatory authorities for purposes of obtaining regulatory approval. ISTs may also identify safety or tolerability concerns that could adversely affect the development of our product candidates, including through the imposition of clinical holds, or otherwise subject us to liability. Moreover, if the data from any ISTs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development and commercialization efforts.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limited experience manufacturing our product candidates commercially, and we cannot assure you that we can manufacture our product candidates in compliance with regulations at a cost or in quantities necessary to make them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manufacturing facilities at our Cambridge, Massachusetts locations where we conduct process development, scale-up activities, the manufacture of active components for our biotherapeutic candidates, and quality control testing. We additionally utilize third-party contract manufacturers and test labs to perform product packaging and additional quality control testing. We may or may not utilize existing facilities and third-party vendors for future production, including to support commercial scale supply. We have no experience in manufacturing our product candidates to meet potential market demands and we may not be able to develop commercial-scale manufacturing facilities that are adequate to produce materials for commercial use.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We have not yet had our manufacturing facilities inspected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Product Candidates and Other Legal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may fail to achieve the degree of market acceptance by physicians, patients, hospitals, third-party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 marketing approval, our product candidates may nonetheless fail to gain sufficient market acceptance by physicians, patients, third-party payors and others in the medical community. If our product candidates (if and when they are approved) do not achieve an adequate level of acceptance, we may not become profitable. The degree of market acceptance of any of our product candidates,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their efficacy, safety and other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them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their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and adequate reimbursement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their side effects and their overall safety profiles;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products, if and when approved, together with other medications;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interactions of our products, if and when approved, with other medicines patients are taking;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patients to take our products, if and when approved.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effective sales, marketing and distribution capabilities or enter into agreements with third parties with such capabilities, we may not be successful in commercializing any of our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employees with experience in sales and marketing, but we have limited sales or marketing infrastructure and, as a company, have little experience in the sale, marketing, and distribution of pharmaceutical products. To achieve commercial success for any other product for which we obtain marketing approval, we will need to establish a sales and marketing organization and we may not be successful in doing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expect to build a focused sales and marketing infrastructure, or certain components of such infrastructure, if we were to market our product candidates, if and when they are approved in the United States and potentially elsewhere. There are risks involved with establishing our own sales, marketing and distribution capabilities. For example, recruiting and training a sales force is expensive and time-consuming and could delay the launch of any approved product.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any collaborators cannot retain or reposition sales and marketing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inhibit efforts to commercialize our product candidates, if and when approved,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or educate physicians on the benefits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sufficient coverage and reimbursement from third-party payors and governmental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we intend to rely and may increasingly rely on third parties to sell, market and distribute our product candidates, if and when approved. We may not be successful in entering into arrangements with such third parties or may be unable to do so on terms that are favorable to us. In addition,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 candidates, if and when they are approved, effectively. If we do not establish sales, marketing and distribution capabilities successfully, either on our own or in collaboration with third parties, we will not be successful in commercializing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competing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or commercialization of products, including live biotherapeutics, for disease indications we are targeting. Some of these competitive products and therapies are based on scientific approaches that are the same as or similar to our approach, and others may be based on entirely different approaches.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more effective, have fewer or less severe side effects, are more convenient or are less expensive than any products that we have or may in the future develop. Our competitors also may obtain FDA or other regulatory approval for their product candidates more rapidly than we may obtain approval for ours, which could result in our competitors establishing a strong market position before we are able to enter the market, especially for any competitor developing a live biotherapeutic which will likely share our same regulatory approval requirements. In addition, our ability to compete may be affected in many cases by insurers or other third-party payors seeking to encourage the use of generic or biosimilar products.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are able to commercialize any of our product candidates, if approved, the products may become subject to unfavorable pricing regulations or third-party coverage and reimbursement policies, any of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any of our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adequate reimbursement for our product candidates may be difficult. We cannot be certain if and when we will obtain an adequate level of reimbursement for our product candidates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potential royalties resulting from the sales of those products may also be adversely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limit commercialization of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candidates in clinical trials and an even greater risk with the commercial sale of any products that we may develop.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investigations, product recalls or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product candidates or products,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products that we develop,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hold $10.0 million in product liability insurance coverage in the aggregate, with a per occurrence limit of $10.0 million, which may not be adequate to cover all liabilities that we may incur. We may need to increase our insurance coverage as we expand our clinical trials, or if we commence commercialization of our product candidates, if and when approved. Insurance coverage is increasingly expensive. We may not be able to maintain insurance coverage at a reasonable cost or in an amount adequate to satisfy any liability that may arise.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competition from biosimilars, which may have a material adverse impact on the future commercial prospects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approval of any of our product candidates,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four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though the FDA may not approve an application relying on such data for a further eight years.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also qualify for the 12-year period of reference product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 candidates. If competitors are able to obtain marketing approval for biosimilars referencing our product candidates, our product candidates may become subject to competition from such biosimilars, with the attendant competitive pressure and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obtain marketing approval in international jurisdictions would prevent our product candidates from being marketed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 candidates in the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candidate for which we obtain marketing approval will remain subject to significant post-marketing regulatory requirements and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any collaborator and others with whom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 must continue to expend time, money and effort in all areas of regulatory compliance, including manufacturing, production and quality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any collaborators may also lead to investigations alleging violations of federal and state health care fraud and abuse laws, as well as state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 regulatory authority, we or any collaborators later discover previously unknown problems with our product candidates, such as adverse events of unanticipated severity or frequency, problems with manufacturers or manufacturing processes, or failure to comply with regulatory requirements, the regulatory authority may impose restrictions on the products or us and any collaborators, including requiring withdrawal of the product from the market. Any failure by us or any collaborators to comply with applicable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patients taking our products,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products,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products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termination of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relationships with potential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press coverage and damage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our products,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and other regulatory authorities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collaborators are found to have improperly promoted off-label uses of approved products, including any of our product candidates that may be approved in the future,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Physicians may nevertheless prescribe a product candidate that is approved in future, if any, to their patients in a manner that is inconsistent with the approved label. If we or any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and any collaborators' relationships with customers, physicians and third-party payors are and will be subject to applicable anti-kickback, fraud and abuse and other healthcare laws and regulations, which could expose us or any collaborators to criminal sanctions, civil penalties, exclusion from governmental healthcare programs,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 candidates for which we obtain marketing approval. Our and any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other products for which we may in the future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False Claims Act, imposes, among other things,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To the extent our patient assistance programs are found to be inconsistent with applicable laws, we may be required to restructure or discontinue such programs, or be subject to other significant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us or any collaborators being found in violation of these laws is increased by the fact that many of them have not been fully interpreted by the regulatory authorities or the courts, and their provisions are open to a variety of interpretations. Any action against us or any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or regulation may increase the difficulty and cost for us to obtain marketing approval of and commercialize our product candidates and may adversely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including executive orders, may result in more rigorous coverage criteria and in additional downward pressure on the price that we may receive for any product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Affordable Care Act, or ACA, was signed into law in 2010. The ACA substantially changed the way healthcare is financed by both governmental and private insurers, and significantly affects the U.S.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the provisions of the ACA of importance to our business, including without limitation, our ability to commercialize and the prices we may obtain for any product candidates that are approved for sale are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new pathway for approval of lower-cost biosimilars to compete with biologic products, such as those we are developing or commercializing;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payable by any entity that manufactures or imports specified branded prescription drugs and biologic agents;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of manufacturers’ Medicaid rebate liability to apply to Medicaid managed care utilization;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entity types eligible for participation in the 340B drug pricing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requirement to annually report drug samples that manufacturers and distributors provide to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Patient-Centered Outcomes Research Institute to oversee, identify priorities in and conduct comparative clinical effectiveness research, along with funding for such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For example, the Budget Control Act of 2011, enacted in August 2011, required sequestration that included aggregate reductions of Medicare payments to providers, which went into effect on April 1, 2013 and, due to subsequent legislative amendments, will remain in effect through 2032, unless additional Congressional action is taken. Under current legislation, the actual reduction in Medicare payments will increase in future years of the sequester. In January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in March 2021, the American Rescue Plan Act of 2021 was signed into law,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recently been heightened governmental scrutiny over the manner in which manufacturers set prices for their marketed products. The Inflation Reduction Act, or 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(which began in 2024); and replaces the Part D coverage gap discount program with a new manufacturer discounting program (which began in 2025). CMS has published the negotiated prices for the initial ten drugs, which went into effect in January 2026, and the subsequent 15 drugs, which will be first effective in 2027. CMS has published the next set of 15 drugs that will be subject to negotiation. The IRA permits the Secretary of the Department of Health and Human Services, or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is pursuing a two-fold strategy to reduce drug costs in the U.S. While it is unclear whether and how these proposals will be implemented, these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states in the United States have become increasingly active in enacting laws or implementing regulations designed to contain pharmaceutical and biological product pricing, including price or patient reimbursement constraints, discounts, restrictions on certain product access and marketing cost disclosure and transparency measures. Some measures are designed to encourage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Legally mandated price controls on payment amounts by third-party payors or other restrictions could harm our ability to price our product candidates, if and when they are approved, appropriately, which could negatively impact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price our product candidates, if and when they are approved, at what we consider to be a fair or competitive price,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 candidates, if and when they are approved, are unavailable or limited in scope or amount, or if pricing is set at unsatisfactory levels that impacts our ability to compete with other products or our ability to recoup our costs of developing our product candidates, our business could be harmed, possibly materially.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and other intellectual property protection in the United States and other countries with respect to our proprietary technology and product candidates.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expensive and time-consuming, and we may not be able to file and prosecute all necessary or desirable patent applications at a reasonable cost, in a timely manner, or in all jurisdictions. Prosecution of our patent portfolio is at various stages. We have successfully obtained multiple patents (both U.S. and foreign) in some patent families. In others, prosecution is at an early stage (e.g., provisional or PCT stage). For many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portfolio currently includes 20 active patent application families (which includes an exclusive license to certain IP from Memorial Sloan Kettering Cancer Center). Of these, 16 applications have been nationalized, three are at the PCT stage, and one is at the provisional stage. To date, we have obtained issuance of 33 U.S. patents (which includes three as licensee). Of the issued U.S. patents, 13 U.S. patents (including one as licensee) have been assigned to Nestlé Health Science as part of its purchase of VOWST.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there can be no assurance that an alternative composition that may fall outside the scope of such claims will not be equally effective. Further, while our product candidates are made up of specific cultivated bacteria, third-party compositions may have greater complexity and variability (e.g., lot to lot variations), and it is possible that a patent claim may provide coverage for some but not all third-party compositions. These and other factors may provide opportunities for our competitors to design around our patents, should they issue.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 candidates. In addition, given the on-going prosecution of our portfolio, we continue development of our understanding of how patent offices react to our patent claims and whether they identify prior art of relevance that we have not already considered.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The University of Tokyo. See “—</w:t>
      </w:r>
      <w:r>
        <w:rPr>
          <w:rFonts w:ascii="Times New Roman" w:hAnsi="Times New Roman"/>
          <w:i/>
          <w:color w:val="000000"/>
          <w:sz w:val="20"/>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The oral proceedings were held at the European Patent Office on February 18, 2019 and the Opposition Division required The University of 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and we cannot ensure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pending patent applications, if issued, will include claims having a scope sufficient to protect any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pending patent applications will issue as patents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able to successfully commercialize any of our product candidates, if approved, before our relevant patents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the first to make the inventions covered by any existing patent and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develop similar or alternative technologies that do not infringe or design around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use pre-existing technology to effectively compete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patents, if issued, will be found to ultimately be valid and enforceable;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will not compete with us in jurisdictions where we do not pursue and obtain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able to obtain and/or maintain necessary or useful licenses on reasonable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develop additional proprietary technologies or product candidates that are separately patentable;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activities or products will not infringe upon the patents or proprietary rights of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know-how, our business and competitive position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 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Leahy-Smith Act limits where a patentee may file a patent infringement suit and provides opportunities for third parties to challenge any issued patent in the USPTO. These provisions apply to all of our U.S. patents, even those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Times New Roman" w:hAnsi="Times New Roman"/>
          <w:i/>
          <w:color w:val="000000"/>
          <w:sz w:val="20"/>
        </w:rPr>
        <w:t>Association for Molecular Pathology v. Myriad Genetics, Inc.</w:t>
      </w:r>
      <w:r>
        <w:rPr>
          <w:rFonts w:ascii="Times New Roman" w:hAnsi="Times New Roman"/>
          <w:color w:val="000000"/>
          <w:sz w:val="20"/>
        </w:rPr>
        <w:t xml:space="preserve">, 569 U.S. 12-398 (2013); </w:t>
      </w:r>
      <w:r>
        <w:rPr>
          <w:rFonts w:ascii="Times New Roman" w:hAnsi="Times New Roman"/>
          <w:i/>
          <w:color w:val="000000"/>
          <w:sz w:val="20"/>
        </w:rPr>
        <w:t>Alice Corp. v. CLS Bank International</w:t>
      </w:r>
      <w:r>
        <w:rPr>
          <w:rFonts w:ascii="Times New Roman" w:hAnsi="Times New Roman"/>
          <w:color w:val="000000"/>
          <w:sz w:val="20"/>
        </w:rPr>
        <w:t xml:space="preserve">, 573 U.S. 13-298 (2014); and </w:t>
      </w:r>
      <w:r>
        <w:rPr>
          <w:rFonts w:ascii="Times New Roman" w:hAnsi="Times New Roman"/>
          <w:i/>
          <w:color w:val="000000"/>
          <w:sz w:val="20"/>
        </w:rPr>
        <w:t>Mayo Collaborative Services v. Prometheus Laboratories, Inc.</w:t>
      </w:r>
      <w:r>
        <w:rPr>
          <w:rFonts w:ascii="Times New Roman" w:hAnsi="Times New Roman"/>
          <w:color w:val="000000"/>
          <w:sz w:val="20"/>
        </w:rPr>
        <w:t>, 566 U.S. 10-1150 (2012). In response to these cases, the USPTO has issued guidance to the examining corps.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first issued a memorandum reflecting the USPTO’s interpretation of the cases related to patent eligibility of natural products on March 4, 2014, which it subsequently revised and expanded upon in several additional updates now incorporated into its Manual of Patent Examination Procedure. The USPTO’s interpretation of the case law and new guidelines for examination may influence, possibly adversely, prosecution and defense of certain types of claims in our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and the ability of any collaborators, to develop, manufacture, market and sell our product candidates, if approved, and use our proprietary technologies without infringing the proprietary rights of third parties. There is considerable intellectual property litigation in the biotechnology and pharmaceutical industries. For example, on August 20, 2024, Vedanta Biosciences, Inc. and The University of Tokyo filed a complaint against us and Nestlé S.A., Nestlé Health Science S.A., Nestlé Health Science US Holdings, Inc. and SPN in the United States District Court for the District of Delaware alleging that the making, sale and use of VOWST infringes on U.S. Patent Nos. 9,433,652, 9,662,381, 9,808,519, 10,555,978, and 11,090,343. The complaint seeks unspecified damages, fees, expenses and injunctive relief. We believe the complaint is without merit and intend to defend ourself vigorously against the claims. While we have not been held by any court to have infringed a third party’s intellectual property rights, we cannot guarantee that our technology or our product candidates, or use of our product candidates do not infringe third-party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or our product candidates. In addition, we may be unaware of one or more issued patents that would be infringed by the manufacture, sale or use of our product candidates,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or our product candidates or the use of our product candidates.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Oppositions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In addition, intellectual property litigation or claims could force us to do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developing, selling or otherwise commercializing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substantial damages for past use of the asserted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from the holder of the asserted intellectual property, which license may not be available on reasonable terms,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risks coming to fruition could have a material adverse effect on our business, results of operations, financial condition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or could be interpreted narrowly if challenged in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construed narrowly or in a manner that does not cover the allegedly infringing technology in question. Such a loss of patent protection would have a material adverse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Europe's Unified Patent Court, or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time-consuming process with uncertain outcomes. Accordingly, we may choose not to seek patent protection in certain countries, and we will not have the benefit of patent protection in such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key executives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2026, the board of directors appointed Richard N. Kender, a current member of the board of directors, to serve as Executive Chair of the Board and as Interim Chief Executive Officer of the Company, Matthew Henn, Ph.D., the Company’s Chief Scientific Officer, to the additional role of President, and Kelly Brady, M.S., the Company’s Senior Vice President, Clinical Development, to the role of Executive Vice President, Chief Operating Officer, each effective March 2, 2026 (the “Effective Date”). As a result of the appointment of Mr. Kender as Interim Chief Executive Officer, Thomas J. DesRosier and Marella Thorell ceased serving as Co-Presidents and Co-Chief Executive Officers of the Company as of the Effective Date. Mr. DesRosier continues to serve as the Company’s Executive Vice President, Chief Legal Officer, and Ms. Thorell continues to serve as the Company’s Executive Vice President,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 and result in a material adverse impact on our business, financial condition, results of operations or cash flows. If we are unable to execute an orderly transition, our business may be adversely affected. Furthermore, the success of our business is dependent on the continuation of an experienced and talented management team. If we were to lose the benefit of the experience, efforts, and abilities of any of our key executives or members of senior management,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Interim CEO,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clinical, manufacturing and sales and marketing personnel will also be critical to our success. The loss of the services of our executive officers or other key employees could impede the achievement of our research, development and potential future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hiring of scientific and clinical personnel from universities and research institutions.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consultants and advisors, including scientific and clinical advisors, to assist us in formulating our research and development and commercialization strategy and execution. Our consultants and advisors may be employed by employers other than us and may have commitments under consulting or advisory contracts with other entities that may limit their availability to us.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September 23, 2025, we announced that we implemented cost reduction actions, including decreasing our workforce by approximately 25%. We decreased the workforce by an additional 30% in February 2026 as part of additional cost reduction measures taken to extend our cash runway. These measures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continue to attract and retain high quality personnel, our ability to pursue our growth strategy will be limited.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operating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limited international operations, but our business strategy incorporates potentially expanding internationally if any of our product candidates receive regulatory approval. We have conducted clinical studies internationally in the past, and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likely in the future conduct clinical studies in other countries as well. Doing business internationally involves a number of risks,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conflicting and changing laws and regulations, such as privacy regulations, tax laws, export and import restrictions, including tariffs, employment laws, regulatory requirements and other governmental approvals, permits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to obtain and maintain regulatory approvals for the use of our product candidates in various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potentially relevant third-party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complexities and difficulties in obtaining protection and enforcing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complexities associated with managing multiple payor reimbursement regimes, government payors or patient self-pay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limits in our ability to penetrate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conditions, including a continued increase in inflation rates or interest rates, labor shortages, supply chain shortages, disruptions and instability in the banking industry and other parts of the financial services sector, or other economic, political or legal uncertainties or adverse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risks, such as longer payment cycles, difficulty collecting accounts receivable, the impact of local and regional financial crises on demand and payment for our product candidates and exposure to foreign currency exchange rate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(including as a result of severe weather events, climate change, or otherwise), which could cause significant damage to the infrastructure upon which our business operations rely, and the timing, nature or severity of which we may be unable to prepare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instability, outbreak of disease or epidemics, boycotts, curtailment of trade and other business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expenses including, among others, expenses for travel, translation and insurance;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compliance risks that relate to maintaining accurate information and control over sales and activities that may fall within the purview of the U.S. Foreign Corrupt Practices Act, its books and records provisions, or its anti-bribery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factors could significantly harm our future international expansion and operations and, consequently,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excess leased space that may adversely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sale of our VOWST Business, the completion of the TSA, and our cost reduction actions, we have significantly reduced our workforce and manufacturing footprint. In June 2026, we entered into the First Amendment to Lease with respect to our space at 101 Cambridge Park Drive, Cambridge, Massachusetts, which reduced our leased space from approximately 82,714 to 36,882 rentable square feet. In July 2026, we entered into the Third Amendment to Lease and Termination Agreement with respect to our space at 200 Sidney Street, Cambridge, Massachusetts, which provided for the surrender of approximately 21,295 rentable square feet and the revision of the lease expiration date for the remaining approximately 47,341 rentable square feet from January 2031 to December 31, 2026. We continue to have excess capacity under our remaining lease obligations that exceeds our current and anticipated operational needs. We remain obligated to make rental and other payments under these leases regardless of whether we utilize the leased space. Our near-term lease obligations, including under these lease amendments require us to make substantial cash payments that reduce the cash available to fund our research and development programs, clinical trials, and other operational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commercial real estate market conditions, including elevated vacancy rates and declining demand for certain types of office and laboratory space, may further limit any sublease opportunities that remain available to us. Even if we are able to sublease any excess space, we would remain primarily liable to the landlord under the underlying leases, and any default by a subtenant could result in additional costs and liabilities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been required to, and may in the future be required to recognize impairment charges with respect to right-of-use assets associated with leased properties that are no longer being fully utilized. Any such impairment charges could have a material adverse effect on our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our remaining lease obligations, termination payments, and impairment charges, combined with any inability to sublease such space or potential impairment charges, could materially and adversely affect our liquidity, cash flows, financial condition, and results of operations, and could limit our ability to invest in the advancement of SER-155 and our other pipeline programs.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cyberattacks or deficiencies in our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collect and store sensitive data, including personally identifiable information, intellectual property and proprietary business information owned or controlled by ourselves or our employees and other third parties. We manage and maintain our applications and data utilizing a combination of on-site systems and cloud-based data centers. We utilize external security and infrastructure vendors to manage parts of our data centers, and as a result a number of third-party vendors may or could have access to our confidential information.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or unauthorized access, use, modification or disclosure, and the risk of our being unable to adequately monitor and audit and modify our controls over our confidential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("AI") that are designed to circumvent controls, to avoid detection, and to remove or obfuscate forensic evidence. Additionally, any integration of artificial intelligence in our or any third party's operations, products or services is expected to pose new or unknown cybersecurity risks and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certain of our service providers are from time to time subject to cyberattacks and security attempts or incidents that threaten the confidentiality, integrity, and availability of our information technology systems and confidential information.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If we or our third-party vendors were to experience a significant cybersecurity breach of our or their information technology systems or data, the costs associated with the investigation and remediation could be material. Any such real or perceived unauthorized access or use, breach, or other loss of confidential information could also result in regulatory scrutiny, reputational harm, legal claims or proceedings (including class actions), and liability under federal or state laws that protect the privacy of personal information, and regulatory enforcement, including penalties or fines. Notice of breaches may be required to affected individuals or state, federal or foreign regulators, and for extensive breaches, notice may need to be made to the media or State Attorneys General. Such notifications could be costly, harm our reputation and our ability to compete. Although we have implemented security measures to prevent unauthorized access, such data is currently accessible through multiple channels, and there is no guarantee that our cybersecurity risk management program and processes, including our policies, controls or procedures, will be fully implemented, complied with or effective in protecting our systems and data from breach.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results of operations, financial performance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or collectively,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Additional compliance investment and potential business process changes may also be required. Similar laws have been enacted in other states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abroad may also be subject to increased scrutiny or attention from data protection authorities.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European Economic Area, or EEA or UK, or in the context of our activities within the EEA and the UK.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undertaking,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 existing legal complexity and uncertainty regarding international personal data transfers to continue and international transfers to the United States and to other jurisdictions more generally to continue to be subject to enhanced scrutiny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AI and machine learning (collectively, “AI Technologies”) throughout our business, and are making modest investments in this area.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Acquisitions, dispositions, joint ventures, or other strategic alternatives could disrupt our business, cause dilution to our stockholders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acquire other businesses, products or technologies as well as pursue strategic alliances, joint ventures, technology licenses, investments in complementary businesses, dispose of assets, or pursue other strategic alternatives. We have not made any acquisitions to date, and our ability to do so successfully is unproven. On September 30, 2024, we completed the sale of our VOWST Business to SPN, which included all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Any of these transactions could be material to our financial condition and operating results and expose us to many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in our relationships with future customers or with current or future distributors or suppliers as a result of such a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liabilities related to acquired companies or disposed assets or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exposure to cybersecurity risks and vulnerabilities from any newly acquired information technology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retaining or integrating acquired personnel, technologies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transaction, acquisition integration, or disposition-related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write-offs or impairment charges relating to acquired or disposed businesses;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develop a sales force for any additional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acquisition, disposition, or any other transaction or strategic alternative may not materialize. Future acquisitions, dispositions, or alternatives could result in potentially dilutive issuances of our equity securities, the incurrence of debt, contingent liabilities, amortization expenses, or write-offs of goodwill, and may not achieve their intended benefits, any of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harm our financial condition and our business. We cannot predict the number, timing or size of any transactions, or the effect that any such transactions might have on our operating results, our business, or our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 the past been subject to securities class action litigation and may be subject to similar or other litigation in the future, which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then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complex and changing laws and regulations, which exposes us to potential liabilities, increased costs and other adverse effects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complex and changing laws, regulations, and executive orders, and compliance with these laws and regulations and executive orders is onerous and expensive. New and changing laws, regulations, and executive orders can adversely affect our business by increasing our costs, limiting the Company’s ability to pursue or offer a product candidate or product, and requiring changes to our business. New and changing laws, regulations, and executive orders can also create uncertainty about how such laws and regulations will be interpreted and applied. Regulatory changes and other actions that materially adversely affect our business may be announced with little or no advance notice and we may not be 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research and development credits to offset future taxable income or income tax liabilities, respectively, may be subject to certain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net operating loss carryforwards, or NOLs, of $616.4 million for federal income tax purposes and $597.8 million for state income tax purposes, which may be available to offset our future taxable income, if any. Our federal NOLs subject to expiration begin to expire in various amounts in 2035. Our federal NOLs generated in taxable years beginning after December 31, 2017 are not subject to expiration, but may generally only be used to offset 80% of taxable income in years beginning after December 31, 2020. Our state NOLs also begin to expire in various amounts in 2035. As of December 31, 2025, we also had federal and state research and development and other tax credit carryforwards of approximately $46.2 million and $10.0 million, respectively, net of uncertain tax position reserves, available to reduce future income tax liabilities, if any. Our federal and state tax credit carryforwards begin to expire in various amounts in 2031 and 2028, respectively. The federal research and development tax credit carryforwards include an orphan drug credit carryforward of $25.9 million. These NOLs and tax credit carryforwards could expire unused, to the extent subject to expiration, and be unavailable to offset future taxable income or income tax liabilities,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over a rolling three-year period. Similar rules may apply under state tax laws. We have experienced ownership changes in the past, per a Section 382 study performed through December 31, 2024. We believe that none of our existing tax assets will expire unused as a result of the calculated limitations resulting from such ownership changes. However, we may have experienced additional ownership changes since December 31, 2024, and we may experience ownership changes in the future as a result of future transactions in our stock, some of which may be outside our control. If we have undergone additional ownership changes, or if we undergo ownership changes in the future,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 the past and may again in the future receive a notice of the failure to satisfy a continued listing rule from Nasdaq.</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we received written notice from Nasdaq notifying us that the bid price for our common stock had closed below the $1.00 Bid Price Requirement for continued inclusion on The Nasdaq Global Select Market. Though we regained compliance</w:t>
      </w:r>
      <w:r>
        <w:rPr>
          <w:rFonts w:ascii="Times New Roman" w:hAnsi="Times New Roman"/>
          <w:color w:val="212529"/>
          <w:sz w:val="20"/>
        </w:rPr>
        <w:t xml:space="preserve"> with the Bid Price Requirement in a timely manner, if in the future our common stock again closes below the $1.00 per share minimum bid price required by Nasdaq for 30 consecutive business days,</w:t>
      </w:r>
      <w:r>
        <w:rPr>
          <w:rFonts w:ascii="Times New Roman" w:hAnsi="Times New Roman"/>
          <w:color w:val="000000"/>
          <w:sz w:val="20"/>
        </w:rPr>
        <w:t xml:space="preserve"> we would again receive another notice of non-compliance with Nasdaq's listing standards and face the risk of delisting.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in the future, our common stock fails to meet the Bid Price Requirement and we have effected a reverse stock split within the prior one-year period, we will not be eligible for any compliance period to address the bid price deficiency and would be issued a delisting determination rather than be granted a compliance period. Under these circumstances, we could appeal the delisting determination to a Nasdaq hearing panel, during which time any suspension or delisting action will ordinarily be stayed. If we were eligible for a compliance period, there can also be no assurance that we would regain compliance with the Bid Price Requirement during the 180-day compliance period, secure a second 180-day period to regain compliance, maintain compliance with the other Nasdaq listing requirements, or be successful in appealing any delisting determination.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common stock is delisted in the future, it is unlikely that we will be able to list our common stock on another national securities exchange on a timely basis or at all, and, as a result, we expect our securities would be quoted on an OTC market. If this were to occur, we and our stockholders could face significant material adverse consequences, including limited availability of market quotations and analyst coverage for our common stock, and reduced liquidity for the trading of our securities.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executive officers, directors and principal stockholders, if they choose to act together, have the ability to significantly influence all matters submitted to stockholders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and stockholders who owned more than 5% of our outstanding common stock and their respective affiliates, in the aggregate, hold shares representing approximately 29% of our outstanding voting stock as of December 31, 2025.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defer or prevent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entrench our management and the board of directors;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a merger, consolidation, takeover or other business combination involving us that other stockholders may desire.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“smaller reporting company,” and the reduced disclosure requirements applicable to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under the rules promulgated under the Exchange Act. We will remain a smaller reporting company until the fiscal year following the determination that both (i) the value of our voting and non-voting common shares held by non-affiliates is more than $250.0 million measured on the last business day of our second fiscal quarter and (ii) our annual revenues are more than $100.0 million during the most recently completed fiscal year and the value of our voting and non voting common shares held by non-affiliates is $700.0 million or more as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to take advantage of certain of the reduced reporting obligations, and may in the future take advantage of these or others.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the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with three-year staggered terms, which may delay the ability of stockholders to change the membership of a majority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exclusive right of our Board to elect a director to fill a vacancy created by the expansion of the Board or the resignation, death or removal of a director, which prevents stockholders from filling vacancies on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to alter our bylaws without obtaining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special meeting of stockholders may be called only by the chairman of the Board, the chief executive officer, the president or the Board, which may delay the ability of our stockholders to force consideration of a proposal or to take action, including the removal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as amended,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the sole source of gain for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In addition, any future debt agreements may preclude us from paying dividends. As a result, capital appreciation, if any, of our common stock will be our stockholders’ sole source of gain for the foreseeable future.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common stock may be volatile and fluctuate substantially, which could result in substantial losses for purchasers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execute and realize the benefits of strategic plans including accessing capital through potential business development and/or achieving overall financing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requirement for additional capital to fund our operations following the first quarter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realize the benefits of the Transaction with SPN;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compliance with stock exchange listing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any potential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any future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new product candidates that may address our markets and may make our product candidates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physician, hospital or healthcare provider practices that may make our product candidates less useful;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collaborators or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meet or exceed financial estimates and projections of the investment community or that we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discover, develop, acquire or in-license additional product candidates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issue an adverse or misleading opinion regarding our business, our common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continue to incur costs as a result of being a public company, and our management will continue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we are required to furnish a report by our management on our internal control over financial reporting. However, while we remain a non-accelerated filer,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keep up with evolving and conflicting laws, regulations, trends and stakeholder expectations relating to environmental, social and governance, or ESG, practices or reporting could adversely impact our reputation, share price and access to and cost of capital or otherwise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institutional investors, investor advocacy groups, investment funds, creditors and other influential financial market participants, as well as governments, regulators, customers, patients, employees and other stakeholders or third parties, have become increasingly focused on companies’ ESG practices, including the impact of business on the environment.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could be damaged if we do not, or are perceived not to, meet evolving stakeholder demand with respect to ESG matters, which could adversely affect our business, financial condition, profitability and cash flows. We may be criticized for our lack of ESG initiatives or goals or perceived as not taking sufficient action or for taking too much action in connection with any of these matters. In turn, we may take certain or terminate other actions to respond to evolving demand by regulators, governmental officials, investors, employees and other stakeholder; however, such actions may be costly or be subject to numerous conditions that are outside our control, and we cannot guarantee that we will meet these goals or targets or that such actions will have the desired effect even if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an increase in litigation related to corporate diversity, equity and inclusion programs. Relatedly, both advocates and opponents to certain environmental and social matters are increasingly resorting to a range of activism forms, including media campaigns, shareholder proposals, and litigation, to advance their perspectives. To the extent we are subject to such litigation, activism or pressure, we may be required to incur costs or it may otherwise adversely impact our business or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our compliance costs with these laws, regulations, and reporting requirements to increase in the future, and any failure, or perceived failure, by us to adhere to such laws, regulations, and reporting requirements, or meet evolving and varied stakeholder expectations and standards, could harm our business, reputation, financial condition, and operating results.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Disclosure in lieu of reporting on a Current Report on Form 8-K.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Material changes to the procedures by which security holders may recommend nominees to the board of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Insider trading arrangements and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9" w:name="item_6_exhibits"/>
      <w:bookmarkEnd w:id="19"/>
      <w:r>
        <w:rPr>
          <w:rFonts w:ascii="Times New Roman" w:hAnsi="Times New Roman"/>
          <w:color w:val="000000"/>
          <w:sz w:val="20"/>
        </w:rPr>
        <w:br/>
      </w:r>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146"/>
        <w:gridCol w:w="5125"/>
        <w:gridCol w:w="146"/>
        <w:gridCol w:w="511"/>
        <w:gridCol w:w="146"/>
        <w:gridCol w:w="847"/>
        <w:gridCol w:w="146"/>
        <w:gridCol w:w="631"/>
        <w:gridCol w:w="146"/>
        <w:gridCol w:w="592"/>
        <w:gridCol w:w="146"/>
        <w:gridCol w:w="873"/>
      </w:tblGrid>
      <w:tr>
        <w:trPr/>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r>
      <w:tr>
        <w:trPr/>
        <w:tc>
          <w:tcPr>
            <w:tcW w:w="750"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filed on July 1, 2015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Restated Certificate of Incorporation of Seres Therapeutics, Inc., dated June 27,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Restated Certificate of Incorporation of Seres Therapeutics, Inc., dated April 5,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Restated Certificate of Incorporation of Seres Therapeutics, Inc., dated April 21,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w:anchor="mcrb-ex10_1.htm">
              <w:r>
                <w:rPr>
                  <w:rStyle w:val="InternetLink"/>
                  <w:rFonts w:ascii="Times New Roman" w:hAnsi="Times New Roman"/>
                  <w:color w:val="0000FF"/>
                  <w:sz w:val="20"/>
                  <w:u w:val="single"/>
                </w:rPr>
                <w:t>Non-Employee Director Compensation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Seres Therapeutics, Inc. 2025 Incentive Plan, as amended and restated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333-297341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No. 1 to Asset Purchase Agreement, dated June 2, 2026, by and between Seres Therapeutics, Inc. and Société des Produits Nestlé S.A.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First Amendment to Lease, dated June 4, 2026, by and between Seres Therapeutics, Inc. and 101 CPD,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Third Amendment to Lease and Termination Agreement, dated July 31, 2026, by and between Seres Therapeutics, Inc. and BMR-Sidney Research Campus,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Stock Issuance Agreement, dated July 31, 2026, by and between Seres Therapeutics, Inc. and BMR-Sidney Research Campus,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001-37465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tcBorders/>
            <w:tcMar>
              <w:top w:w="0" w:type="dxa"/>
              <w:left w:w="0" w:type="dxa"/>
              <w:bottom w:w="0" w:type="dxa"/>
              <w:right w:w="0" w:type="dxa"/>
            </w:tcMar>
            <w:vAlign w:val="center"/>
          </w:tcPr>
          <w:p>
            <w:pPr>
              <w:pStyle w:val="TableContents"/>
              <w:bidi w:val="0"/>
              <w:spacing w:before="0" w:after="283"/>
              <w:jc w:val="left"/>
              <w:rPr/>
            </w:pPr>
            <w:hyperlink w:anchor="mcrb-ex31_1.htm">
              <w:r>
                <w:rPr>
                  <w:rStyle w:val="InternetLink"/>
                  <w:rFonts w:ascii="Times New Roman" w:hAnsi="Times New Roman"/>
                  <w:color w:val="0000FF"/>
                  <w:sz w:val="20"/>
                  <w:u w:val="single"/>
                </w:rPr>
                <w:t>Rule 13a-14(a)/15d-14(a) Certification of Interim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tcBorders/>
            <w:tcMar>
              <w:top w:w="0" w:type="dxa"/>
              <w:left w:w="0" w:type="dxa"/>
              <w:bottom w:w="0" w:type="dxa"/>
              <w:right w:w="0" w:type="dxa"/>
            </w:tcMar>
            <w:vAlign w:val="center"/>
          </w:tcPr>
          <w:p>
            <w:pPr>
              <w:pStyle w:val="TableContents"/>
              <w:bidi w:val="0"/>
              <w:spacing w:before="0" w:after="283"/>
              <w:jc w:val="left"/>
              <w:rPr/>
            </w:pPr>
            <w:hyperlink w:anchor="mcrb-ex31_2.htm">
              <w:r>
                <w:rPr>
                  <w:rStyle w:val="InternetLink"/>
                  <w:rFonts w:ascii="Times New Roman" w:hAnsi="Times New Roman"/>
                  <w:color w:val="0000FF"/>
                  <w:sz w:val="20"/>
                  <w:u w:val="single"/>
                </w:rPr>
                <w:t>Rule 13a-14(a)/15d-14(a) Certification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tcBorders/>
            <w:tcMar>
              <w:top w:w="0" w:type="dxa"/>
              <w:left w:w="0" w:type="dxa"/>
              <w:bottom w:w="0" w:type="dxa"/>
              <w:right w:w="0" w:type="dxa"/>
            </w:tcMar>
            <w:vAlign w:val="center"/>
          </w:tcPr>
          <w:p>
            <w:pPr>
              <w:pStyle w:val="TableContents"/>
              <w:bidi w:val="0"/>
              <w:spacing w:before="0" w:after="283"/>
              <w:jc w:val="left"/>
              <w:rPr/>
            </w:pPr>
            <w:hyperlink w:anchor="mcrb-ex32_1.htm">
              <w:r>
                <w:rPr>
                  <w:rStyle w:val="InternetLink"/>
                  <w:rFonts w:ascii="Times New Roman" w:hAnsi="Times New Roman"/>
                  <w:color w:val="0000FF"/>
                  <w:sz w:val="20"/>
                  <w:u w:val="single"/>
                </w:rPr>
                <w:t>Section 1350 Certification of Interim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hyperlink w:anchor="mcrb-ex32_2.htm">
              <w:r>
                <w:rPr>
                  <w:rStyle w:val="InternetLink"/>
                  <w:rFonts w:ascii="Times New Roman" w:hAnsi="Times New Roman"/>
                  <w:color w:val="0000FF"/>
                  <w:sz w:val="20"/>
                  <w:u w:val="single"/>
                </w:rPr>
                <w:t>Section 1350 Certification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Schedules and similar attachments have been omitted pursuant to Item 601(a)(5) of Regulation S-K. The Company undertakes to furnish supplemental copies of any of the omitted schedules upon request by the U.S. Securities and Exchange Commission.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911" w:type="dxa"/>
        <w:jc w:val="left"/>
        <w:tblInd w:w="0" w:type="dxa"/>
        <w:tblLayout w:type="fixed"/>
        <w:tblCellMar>
          <w:top w:w="28" w:type="dxa"/>
          <w:left w:w="28" w:type="dxa"/>
          <w:bottom w:w="28" w:type="dxa"/>
          <w:right w:w="28" w:type="dxa"/>
        </w:tblCellMar>
      </w:tblPr>
      <w:tblGrid>
        <w:gridCol w:w="1846"/>
        <w:gridCol w:w="109"/>
        <w:gridCol w:w="406"/>
        <w:gridCol w:w="109"/>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SERES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Marella Thorell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Marella Thorell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crb-ex10_1.htm"/>
      <w:bookmarkStart w:id="22" w:name="ksmcrbex10_1"/>
      <w:bookmarkEnd w:id="21"/>
      <w:bookmarkEnd w:id="22"/>
      <w:r>
        <w:rPr>
          <w:rFonts w:ascii="Times New Roman" w:hAnsi="Times New Roman"/>
          <w:b/>
          <w:color w:val="000000"/>
          <w:sz w:val="20"/>
        </w:rPr>
        <w:t>Exhibit 10.1</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Seres Therapeutics, Inc.</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Program</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(as amended effective June 17, 2026)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Non-employee members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Seres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shall receive cash and equity compensation as set forth in this Non-Employee Director Compensation Program (this “</w:t>
      </w:r>
      <w:r>
        <w:rPr>
          <w:rFonts w:ascii="Times New Roman" w:hAnsi="Times New Roman"/>
          <w:b/>
          <w:i/>
          <w:color w:val="000000"/>
          <w:sz w:val="24"/>
        </w:rPr>
        <w:t>Program</w:t>
      </w:r>
      <w:r>
        <w:rPr>
          <w:rFonts w:ascii="Times New Roman" w:hAnsi="Times New Roman"/>
          <w:color w:val="000000"/>
          <w:sz w:val="20"/>
        </w:rPr>
        <w:t>”</w:t>
      </w:r>
      <w:r>
        <w:rPr>
          <w:rFonts w:ascii="Times New Roman" w:hAnsi="Times New Roman"/>
          <w:color w:val="000000"/>
          <w:sz w:val="24"/>
        </w:rPr>
        <w:t>). The cash and equity compensation described in this Program shall be paid or be made, as applicable, automatically and without further action of the Board (other than the determination by the Compensation and Talent Committee of the number of Shares subject to an Initial Award as set forth in Section II(A)), to each member of the Board who is not an employee of the Company or any parent or subsidiary of the Company (each, a “</w:t>
      </w:r>
      <w:r>
        <w:rPr>
          <w:rFonts w:ascii="Times New Roman" w:hAnsi="Times New Roman"/>
          <w:b/>
          <w:i/>
          <w:color w:val="000000"/>
          <w:sz w:val="24"/>
        </w:rPr>
        <w:t>Non-Employee Director</w:t>
      </w:r>
      <w:r>
        <w:rPr>
          <w:rFonts w:ascii="Times New Roman" w:hAnsi="Times New Roman"/>
          <w:color w:val="000000"/>
          <w:sz w:val="20"/>
        </w:rPr>
        <w:t>”</w:t>
      </w:r>
      <w:r>
        <w:rPr>
          <w:rFonts w:ascii="Times New Roman" w:hAnsi="Times New Roman"/>
          <w:color w:val="000000"/>
          <w:sz w:val="24"/>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w:t>
      </w:r>
      <w:r>
        <w:rPr>
          <w:rFonts w:ascii="Times New Roman" w:hAnsi="Times New Roman"/>
          <w:color w:val="000000"/>
          <w:sz w:val="20"/>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I. Cash Compensation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Annual Retainers</w:t>
      </w:r>
      <w:r>
        <w:rPr>
          <w:rFonts w:ascii="Times New Roman" w:hAnsi="Times New Roman"/>
          <w:color w:val="000000"/>
          <w:sz w:val="24"/>
        </w:rPr>
        <w:t>. Each Non-Employee Director shall receive an annual retainer of $45,000 for service on the Board.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Additional Annual Retainers</w:t>
      </w:r>
      <w:r>
        <w:rPr>
          <w:rFonts w:ascii="Times New Roman" w:hAnsi="Times New Roman"/>
          <w:color w:val="000000"/>
          <w:sz w:val="24"/>
        </w:rPr>
        <w:t>. In addition, each Non-Employee Director shall receive the following annual retainers: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i/>
          <w:color w:val="000000"/>
          <w:sz w:val="24"/>
        </w:rPr>
        <w:t>Chairman of the Board or Lead Independent Director</w:t>
      </w:r>
      <w:r>
        <w:rPr>
          <w:rFonts w:ascii="Times New Roman" w:hAnsi="Times New Roman"/>
          <w:color w:val="000000"/>
          <w:sz w:val="24"/>
        </w:rPr>
        <w:t>. A Non-Employee Director serving as Chairman of the Board or Lead Independent Director shall receive an additional annual retainer of $35,000 for such service.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i/>
          <w:color w:val="000000"/>
          <w:sz w:val="24"/>
        </w:rPr>
        <w:t>Audit Committee</w:t>
      </w:r>
      <w:r>
        <w:rPr>
          <w:rFonts w:ascii="Times New Roman" w:hAnsi="Times New Roman"/>
          <w:color w:val="000000"/>
          <w:sz w:val="24"/>
        </w:rPr>
        <w:t>. A Non-Employee Director serving as Chairperson of the Audit Committee shall receive an additional annual retainer of $20,000 for such service. A Non-Employee Director serving as a member other than the Chairperson of the Audit Committee shall receive an additional annual retainer of $10,000 for such service.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i/>
          <w:color w:val="000000"/>
          <w:sz w:val="24"/>
        </w:rPr>
        <w:t>Compensation and Talent Committee</w:t>
      </w:r>
      <w:r>
        <w:rPr>
          <w:rFonts w:ascii="Times New Roman" w:hAnsi="Times New Roman"/>
          <w:color w:val="000000"/>
          <w:sz w:val="24"/>
        </w:rPr>
        <w:t>. A Non-Employee Director serving as Chairperson of the Compensation and Talent Committee shall receive an additional annual retainer of $15,000 for such service. A Non-Employee Director serving as a member other than the Chairperson of the Compensation and Talent Committee shall receive an additional annual retainer of $7,500 for such service.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i/>
          <w:color w:val="000000"/>
          <w:sz w:val="24"/>
        </w:rPr>
        <w:t>Nominating and Corporate Governance Committee</w:t>
      </w:r>
      <w:r>
        <w:rPr>
          <w:rFonts w:ascii="Times New Roman" w:hAnsi="Times New Roman"/>
          <w:color w:val="000000"/>
          <w:sz w:val="24"/>
        </w:rPr>
        <w:t>. A Non-Employee Director serving as Chairperson of the Nominating and Corporate 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|US-DOCS\149241863.3||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Committee shall receive an additional annual retainer of $10,000 for such service. A Non-Employee Director serving as a member other than the Chairperson of the Nominating and Corporate Governance Committee shall receive an additional annual retainer of $5,000 for such service.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i/>
          <w:color w:val="000000"/>
          <w:sz w:val="24"/>
        </w:rPr>
        <w:t>Research and Clinical Development Committee</w:t>
      </w:r>
      <w:r>
        <w:rPr>
          <w:rFonts w:ascii="Times New Roman" w:hAnsi="Times New Roman"/>
          <w:color w:val="000000"/>
          <w:sz w:val="24"/>
        </w:rPr>
        <w:t>. A Non-Employee Director serving as Chairperson of the Research and Clinical Development Committee shall receive an additional annual retainer of $15,000 for such service. A Non-Employee Director serving as a member other than the Chairperson of the Research and Clinical Development Committee shall receive an additional annual retainer of $7,500 for such service.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Payment of Retainers</w:t>
      </w:r>
      <w:r>
        <w:rPr>
          <w:rFonts w:ascii="Times New Roman" w:hAnsi="Times New Roman"/>
          <w:color w:val="000000"/>
          <w:sz w:val="24"/>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Annual Retainer Election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i/>
          <w:color w:val="000000"/>
          <w:sz w:val="24"/>
        </w:rPr>
        <w:t>Election</w:t>
      </w:r>
      <w:r>
        <w:rPr>
          <w:rFonts w:ascii="Times New Roman" w:hAnsi="Times New Roman"/>
          <w:color w:val="000000"/>
          <w:sz w:val="24"/>
        </w:rPr>
        <w:t>. Prior to 5:00 p.m. Eastern time on (a) April 30, 2024 for the first Service Year (as defined below) commencing after the Effective Date (the “</w:t>
      </w:r>
      <w:r>
        <w:rPr>
          <w:rFonts w:ascii="Times New Roman" w:hAnsi="Times New Roman"/>
          <w:b/>
          <w:i/>
          <w:color w:val="000000"/>
          <w:sz w:val="24"/>
        </w:rPr>
        <w:t>Initial Service Year</w:t>
      </w:r>
      <w:r>
        <w:rPr>
          <w:rFonts w:ascii="Times New Roman" w:hAnsi="Times New Roman"/>
          <w:color w:val="000000"/>
          <w:sz w:val="20"/>
        </w:rPr>
        <w:t>”</w:t>
      </w:r>
      <w:r>
        <w:rPr>
          <w:rFonts w:ascii="Times New Roman" w:hAnsi="Times New Roman"/>
          <w:color w:val="000000"/>
          <w:sz w:val="24"/>
        </w:rPr>
        <w:t>) and (b) for each Service Year after the Initial Service Year, December 31 of the immediately preceding Service Year (in each case, the “</w:t>
      </w:r>
      <w:r>
        <w:rPr>
          <w:rFonts w:ascii="Times New Roman" w:hAnsi="Times New Roman"/>
          <w:b/>
          <w:i/>
          <w:color w:val="000000"/>
          <w:sz w:val="24"/>
        </w:rPr>
        <w:t>Election Deadline</w:t>
      </w:r>
      <w:r>
        <w:rPr>
          <w:rFonts w:ascii="Times New Roman" w:hAnsi="Times New Roman"/>
          <w:color w:val="000000"/>
          <w:sz w:val="20"/>
        </w:rPr>
        <w:t>”</w:t>
      </w:r>
      <w:r>
        <w:rPr>
          <w:rFonts w:ascii="Times New Roman" w:hAnsi="Times New Roman"/>
          <w:color w:val="000000"/>
          <w:sz w:val="24"/>
        </w:rPr>
        <w:t>), by delivery to the Company of a written election in a form provided by the Company (an “</w:t>
      </w:r>
      <w:r>
        <w:rPr>
          <w:rFonts w:ascii="Times New Roman" w:hAnsi="Times New Roman"/>
          <w:b/>
          <w:i/>
          <w:color w:val="000000"/>
          <w:sz w:val="24"/>
        </w:rPr>
        <w:t>Election</w:t>
      </w:r>
      <w:r>
        <w:rPr>
          <w:rFonts w:ascii="Times New Roman" w:hAnsi="Times New Roman"/>
          <w:color w:val="000000"/>
          <w:sz w:val="20"/>
        </w:rPr>
        <w:t>”</w:t>
      </w:r>
      <w:r>
        <w:rPr>
          <w:rFonts w:ascii="Times New Roman" w:hAnsi="Times New Roman"/>
          <w:color w:val="000000"/>
          <w:sz w:val="24"/>
        </w:rPr>
        <w:t>), a Non-Employee Director may elect to receive payment of the entire annual retainer payable to the Non-Employee Director pursuant to Sections I(A) and, if applicable, I(B)(1) for services performed during the period beginning on July 1 occurring after the Election Deadline and ending on June 30 of the following calendar year (each such period, a “</w:t>
      </w:r>
      <w:r>
        <w:rPr>
          <w:rFonts w:ascii="Times New Roman" w:hAnsi="Times New Roman"/>
          <w:b/>
          <w:i/>
          <w:color w:val="000000"/>
          <w:sz w:val="24"/>
        </w:rPr>
        <w:t>Service Year</w:t>
      </w:r>
      <w:r>
        <w:rPr>
          <w:rFonts w:ascii="Times New Roman" w:hAnsi="Times New Roman"/>
          <w:color w:val="000000"/>
          <w:sz w:val="20"/>
        </w:rPr>
        <w:t>”</w:t>
      </w:r>
      <w:r>
        <w:rPr>
          <w:rFonts w:ascii="Times New Roman" w:hAnsi="Times New Roman"/>
          <w:color w:val="000000"/>
          <w:sz w:val="24"/>
        </w:rPr>
        <w:t>) in the form of one or more options (each, an “</w:t>
      </w:r>
      <w:r>
        <w:rPr>
          <w:rFonts w:ascii="Times New Roman" w:hAnsi="Times New Roman"/>
          <w:b/>
          <w:i/>
          <w:color w:val="000000"/>
          <w:sz w:val="24"/>
        </w:rPr>
        <w:t>Elective Option</w:t>
      </w:r>
      <w:r>
        <w:rPr>
          <w:rFonts w:ascii="Times New Roman" w:hAnsi="Times New Roman"/>
          <w:color w:val="000000"/>
          <w:sz w:val="20"/>
        </w:rPr>
        <w:t>”</w:t>
      </w:r>
      <w:r>
        <w:rPr>
          <w:rFonts w:ascii="Times New Roman" w:hAnsi="Times New Roman"/>
          <w:color w:val="000000"/>
          <w:sz w:val="24"/>
        </w:rPr>
        <w:t>) to purchase shares of the Company’s common stock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as set forth in this Section I(D) and Section II(D) rather than in cash in accordance with Section I(A) and I(B)(1). A Non-Employee Director who makes an Election will be granted a separate Elective Option for the annual retainer in Section I(A) and for the annual retainer in Section I(B)(I) that such Non-Employee Director would, as of the applicable Issue Date (defined below), otherwise have been entitled to receive under this Program in cash for service on the Board during the applicable Service Year.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i/>
          <w:color w:val="000000"/>
          <w:sz w:val="24"/>
        </w:rPr>
        <w:t>Terms of Elective Option</w:t>
      </w:r>
      <w:r>
        <w:rPr>
          <w:rFonts w:ascii="Times New Roman" w:hAnsi="Times New Roman"/>
          <w:color w:val="000000"/>
          <w:sz w:val="24"/>
        </w:rPr>
        <w:t>. Each Elective Option will be granted automatically, without further action of the Board, on July 1 occurring after the Election Deadline (such date, the “</w:t>
      </w:r>
      <w:r>
        <w:rPr>
          <w:rFonts w:ascii="Times New Roman" w:hAnsi="Times New Roman"/>
          <w:b/>
          <w:i/>
          <w:color w:val="000000"/>
          <w:sz w:val="24"/>
        </w:rPr>
        <w:t>Issue Date</w:t>
      </w:r>
      <w:r>
        <w:rPr>
          <w:rFonts w:ascii="Times New Roman" w:hAnsi="Times New Roman"/>
          <w:color w:val="000000"/>
          <w:sz w:val="20"/>
        </w:rPr>
        <w:t>”</w:t>
      </w:r>
      <w:r>
        <w:rPr>
          <w:rFonts w:ascii="Times New Roman" w:hAnsi="Times New Roman"/>
          <w:color w:val="000000"/>
          <w:sz w:val="24"/>
        </w:rPr>
        <w:t>), under and subject to the terms of the Company’s 2025 Incentive Award Plan or any other applicable Company equity incentive plan then maintained by the Company (the “</w:t>
      </w:r>
      <w:r>
        <w:rPr>
          <w:rFonts w:ascii="Times New Roman" w:hAnsi="Times New Roman"/>
          <w:b/>
          <w:i/>
          <w:color w:val="000000"/>
          <w:sz w:val="24"/>
        </w:rPr>
        <w:t>Equity Plan</w:t>
      </w:r>
      <w:r>
        <w:rPr>
          <w:rFonts w:ascii="Times New Roman" w:hAnsi="Times New Roman"/>
          <w:color w:val="000000"/>
          <w:sz w:val="20"/>
        </w:rPr>
        <w:t>”</w:t>
      </w:r>
      <w:r>
        <w:rPr>
          <w:rFonts w:ascii="Times New Roman" w:hAnsi="Times New Roman"/>
          <w:color w:val="000000"/>
          <w:sz w:val="24"/>
        </w:rPr>
        <w:t>) and an award agreement, including attached exhibits, in substantially the form previously approved by the Board. The number of Shares subject to an Elective Option granted to a Non-Employee Director on the Issue Date will be determined by dividing (i) the cash amount of the annual retainer in Section I(A) or I(B)(1), as applicable that, absent the Non-Employee Director’s Election, would have otherwise been payable under this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|US-DOCS\149241863.3||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Program (as in effect on the Issue Date) to the Non-Employee Director for the applicable Service Year by (ii) the Elective Option’s Black-Scholes Value (as defined below) on the Issue Date, rounded to the nearest whole Share.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i/>
          <w:color w:val="000000"/>
          <w:sz w:val="24"/>
        </w:rPr>
        <w:t>Withdrawal and Service</w:t>
      </w:r>
      <w:r>
        <w:rPr>
          <w:rFonts w:ascii="Times New Roman" w:hAnsi="Times New Roman"/>
          <w:color w:val="000000"/>
          <w:sz w:val="24"/>
        </w:rPr>
        <w:t>. A Non-Employee Director may withdraw his or her Election at any time prior to the Election Deadline for a given Service Year, and thereafter, any Elections delivered to the Company and not previously withdrawn will become irrevocable with respect to the Service Year. Notwithstanding anything in this Section I(D) or any Election to the contrary, if a Non-Employee Director is not serving as a Non-Employee Director on the Issue Date or if the grant of an Elective Option described in this Section I(D) is otherwise prohibited under applicable laws, exchange listing rules or the terms of the Equity Plan, the Non-Employee Director’s annual retainer, to the extent earned, shall be paid in cash under and subject to the terms of Section I(A) or I(B)(II), as applicable. A Non-Employee Director whose service as a Non-Employee Director on the Board commences during a given Service Year shall not be eligible to make an Election under this Program until the first Election Deadline that occurs following the date such Non-Employee Director commences service as a Non-Employee Director on the Board.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i/>
          <w:color w:val="000000"/>
          <w:sz w:val="24"/>
        </w:rPr>
        <w:t>Black-Scholes Value</w:t>
      </w:r>
      <w:r>
        <w:rPr>
          <w:rFonts w:ascii="Times New Roman" w:hAnsi="Times New Roman"/>
          <w:color w:val="000000"/>
          <w:sz w:val="24"/>
        </w:rPr>
        <w:t>. For purposes of this Section I(D), “</w:t>
      </w:r>
      <w:r>
        <w:rPr>
          <w:rFonts w:ascii="Times New Roman" w:hAnsi="Times New Roman"/>
          <w:b/>
          <w:i/>
          <w:color w:val="000000"/>
          <w:sz w:val="24"/>
        </w:rPr>
        <w:t>Black-Scholes Value</w:t>
      </w:r>
      <w:r>
        <w:rPr>
          <w:rFonts w:ascii="Times New Roman" w:hAnsi="Times New Roman"/>
          <w:color w:val="000000"/>
          <w:sz w:val="20"/>
        </w:rPr>
        <w:t xml:space="preserve">” </w:t>
      </w:r>
      <w:r>
        <w:rPr>
          <w:rFonts w:ascii="Times New Roman" w:hAnsi="Times New Roman"/>
          <w:color w:val="000000"/>
          <w:sz w:val="24"/>
        </w:rPr>
        <w:t>means, with respect to an Elective Option, the per share fair value of the Elective Option determined as of the applicable Issue Date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Exchange Commission and using as inputs to such model (i) the simple average of the closing trading prices of a Share on each trading day occurring during the month of June that immediately precedes the Issue Date and (ii) such other assumptions as shall be determined by the Company’s Chief Accounting Officer on or before the Issue Date.</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II. Equity Compensation</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Non-Employee Directors shall be granted the equity awards described below. The awards described below shall be granted under and shall be subject to the terms and provisions of the Equity Plan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Initial Awards</w:t>
      </w:r>
      <w:r>
        <w:rPr>
          <w:rFonts w:ascii="Times New Roman" w:hAnsi="Times New Roman"/>
          <w:color w:val="000000"/>
          <w:sz w:val="24"/>
        </w:rPr>
        <w:t>. Each Non-Employee Director who is initially elected or appointed to the Board after the Effective Date shall receive an option to purchase 13,000 shares of the Company’s common stock on the date of such initial election or appointment. The awards described in this Section II(A) shall be referred to as “</w:t>
      </w:r>
      <w:r>
        <w:rPr>
          <w:rFonts w:ascii="Times New Roman" w:hAnsi="Times New Roman"/>
          <w:b/>
          <w:i/>
          <w:color w:val="000000"/>
          <w:sz w:val="24"/>
        </w:rPr>
        <w:t>Initial Awards</w:t>
      </w:r>
      <w:r>
        <w:rPr>
          <w:rFonts w:ascii="Times New Roman" w:hAnsi="Times New Roman"/>
          <w:color w:val="000000"/>
          <w:sz w:val="24"/>
        </w:rPr>
        <w:t>.” No Non-Employee Director shall be granted more than one Initial Award.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|US-DOCS\149241863.3||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3" w:name="ole_link2"/>
      <w:bookmarkEnd w:id="23"/>
      <w:r>
        <w:rPr>
          <w:rFonts w:ascii="Times New Roman" w:hAnsi="Times New Roman"/>
          <w:color w:val="000000"/>
          <w:sz w:val="24"/>
        </w:rPr>
        <w:t xml:space="preserve">B. </w:t>
      </w:r>
      <w:r>
        <w:rPr>
          <w:rFonts w:ascii="Times New Roman" w:hAnsi="Times New Roman"/>
          <w:color w:val="000000"/>
          <w:sz w:val="24"/>
          <w:u w:val="single"/>
        </w:rPr>
        <w:t>Subsequent Awards</w:t>
      </w:r>
      <w:r>
        <w:rPr>
          <w:rFonts w:ascii="Times New Roman" w:hAnsi="Times New Roman"/>
          <w:color w:val="000000"/>
          <w:sz w:val="24"/>
        </w:rPr>
        <w:t xml:space="preserve">.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w:t>
      </w:r>
      <w:bookmarkStart w:id="24" w:name="ole_link1"/>
      <w:bookmarkEnd w:id="24"/>
      <w:r>
        <w:rPr>
          <w:rFonts w:ascii="Times New Roman" w:hAnsi="Times New Roman"/>
          <w:color w:val="000000"/>
          <w:sz w:val="24"/>
        </w:rPr>
        <w:t>6,500 Shares on the date of such annual meeting. The awards described in this Section II(B) shall be referred to as “</w:t>
      </w:r>
      <w:r>
        <w:rPr>
          <w:rFonts w:ascii="Times New Roman" w:hAnsi="Times New Roman"/>
          <w:b/>
          <w:i/>
          <w:color w:val="000000"/>
          <w:sz w:val="24"/>
        </w:rPr>
        <w:t>Subsequent Awards</w:t>
      </w:r>
      <w:r>
        <w:rPr>
          <w:rFonts w:ascii="Times New Roman" w:hAnsi="Times New Roman"/>
          <w:color w:val="000000"/>
          <w:sz w:val="24"/>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5" w:name="ole_link8"/>
      <w:bookmarkEnd w:id="25"/>
      <w:r>
        <w:rPr>
          <w:rFonts w:ascii="Times New Roman" w:hAnsi="Times New Roman"/>
          <w:color w:val="000000"/>
          <w:sz w:val="24"/>
        </w:rPr>
        <w:t xml:space="preserve">C. </w:t>
      </w:r>
      <w:r>
        <w:rPr>
          <w:rFonts w:ascii="Times New Roman" w:hAnsi="Times New Roman"/>
          <w:color w:val="000000"/>
          <w:sz w:val="24"/>
          <w:u w:val="single"/>
        </w:rPr>
        <w:t>Termination of Service of Employee Directors</w:t>
      </w:r>
      <w:r>
        <w:rPr>
          <w:rFonts w:ascii="Times New Roman" w:hAnsi="Times New Roman"/>
          <w:color w:val="000000"/>
          <w:sz w:val="24"/>
        </w:rPr>
        <w:t xml:space="preserve">. Members of the Board who are employees of the Company or any </w:t>
      </w:r>
      <w:bookmarkStart w:id="26" w:name="ole_link7"/>
      <w:bookmarkEnd w:id="26"/>
      <w:r>
        <w:rPr>
          <w:rFonts w:ascii="Times New Roman" w:hAnsi="Times New Roman"/>
          <w:color w:val="000000"/>
          <w:sz w:val="24"/>
        </w:rPr>
        <w:t>parent or subsidiary of the Company who subsequently terminate their service with the Company and any parent or subsidiary of the Company and remain on the Board will not receive an Initial Award pursuant to Section II(A) above, but to the extent that they are otherwise entitled, will receive, after termination from service with the Company and any parent or subsidiary of the Company, Subsequent Awards as described in Section II(B)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Terms of Awards Granted to Non-Employee Directors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i/>
          <w:color w:val="000000"/>
          <w:sz w:val="24"/>
        </w:rPr>
        <w:t>Exercise Price</w:t>
      </w:r>
      <w:r>
        <w:rPr>
          <w:rFonts w:ascii="Times New Roman" w:hAnsi="Times New Roman"/>
          <w:color w:val="000000"/>
          <w:sz w:val="24"/>
        </w:rPr>
        <w:t>. The per share exercise price of each option granted to a Non-Employee Director shall equal the Fair Market Value (as defined in the Equity Plan) of a Share on the date the option is granted.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i/>
          <w:color w:val="000000"/>
          <w:sz w:val="24"/>
        </w:rPr>
        <w:t>Vesting</w:t>
      </w:r>
      <w:r>
        <w:rPr>
          <w:rFonts w:ascii="Times New Roman" w:hAnsi="Times New Roman"/>
          <w:color w:val="000000"/>
          <w:sz w:val="24"/>
        </w:rPr>
        <w:t>. Each Initial Award shall vest and become exercisable in three substantially equal annual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the applicable vesting date. Each Elective Option shall vest and become exercisable in four equal quarterly installments occurring on each October 1, January 1, April 1 and July 1 following the Issue Date, provided that if the next annual meeting of the Company’s stockholders after the Issue Date occurs before the first anniversary of the Issue Date, the final quarterly vesting installment will vest on the day immediately prior to the date of such annual meeting, in each case, subject to the Non-Employee Director continuing in service on the Board as a Non-Employee Director through the applicable vesting date. Unless the Board otherwise determines, any portion of an Elective Option,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Elective Options, Initial Awards and Subsequent Awards shall vest in full immediately prior to the occurrence of a Change in Control (as defined in the Equity Plan), to the extent outstanding at such time.</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|US-DOCS\149241863.3||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 </w:t>
      </w:r>
      <w:r>
        <w:rPr>
          <w:rFonts w:ascii="Times New Roman" w:hAnsi="Times New Roman"/>
          <w:b w:val="false"/>
          <w:i/>
          <w:color w:val="000000"/>
          <w:sz w:val="24"/>
        </w:rPr>
        <w:t>Term</w:t>
      </w:r>
      <w:r>
        <w:rPr>
          <w:rFonts w:ascii="Times New Roman" w:hAnsi="Times New Roman"/>
          <w:b w:val="false"/>
          <w:color w:val="000000"/>
          <w:sz w:val="24"/>
        </w:rPr>
        <w:t>. The maximum term of each stock option granted to a Non-Employee Director hereunder shall be ten (10) years from the date the option is granted.</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|US-DOCS\149241863.3||</w:t>
      </w:r>
    </w:p>
    <w:p>
      <w:pPr>
        <w:pStyle w:val="HorizontalLine"/>
        <w:pBdr>
          <w:bottom w:val="double" w:sz="2" w:space="0" w:color="808080"/>
        </w:pBdr>
        <w:bidi w:val="0"/>
        <w:spacing w:before="0" w:after="283"/>
        <w:jc w:val="left"/>
        <w:rPr/>
      </w:pPr>
      <w:r>
        <w:rPr/>
      </w:r>
    </w:p>
    <w:p>
      <w:pPr>
        <w:pStyle w:val="TextBody"/>
        <w:bidi w:val="0"/>
        <w:jc w:val="left"/>
        <w:rPr/>
      </w:pPr>
      <w:bookmarkStart w:id="27" w:name="mcrb-ex31_1.htm"/>
      <w:bookmarkStart w:id="28" w:name="ksmcrb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N. Kender,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Seres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809" w:type="dxa"/>
        <w:jc w:val="left"/>
        <w:tblInd w:w="0" w:type="dxa"/>
        <w:tblLayout w:type="fixed"/>
        <w:tblCellMar>
          <w:top w:w="28" w:type="dxa"/>
          <w:left w:w="28" w:type="dxa"/>
          <w:bottom w:w="28" w:type="dxa"/>
          <w:right w:w="28" w:type="dxa"/>
        </w:tblCellMar>
      </w:tblPr>
      <w:tblGrid>
        <w:gridCol w:w="1846"/>
        <w:gridCol w:w="406"/>
        <w:gridCol w:w="146"/>
        <w:gridCol w:w="44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N. Kender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N. Kender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 and Interim Chief Executive Officer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mcrb-ex31_2.htm"/>
      <w:bookmarkStart w:id="30" w:name="ksmcrb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Marella Thorell,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Seres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39" w:type="dxa"/>
        <w:jc w:val="left"/>
        <w:tblInd w:w="0" w:type="dxa"/>
        <w:tblLayout w:type="fixed"/>
        <w:tblCellMar>
          <w:top w:w="28" w:type="dxa"/>
          <w:left w:w="28" w:type="dxa"/>
          <w:bottom w:w="28" w:type="dxa"/>
          <w:right w:w="28" w:type="dxa"/>
        </w:tblCellMar>
      </w:tblPr>
      <w:tblGrid>
        <w:gridCol w:w="1846"/>
        <w:gridCol w:w="406"/>
        <w:gridCol w:w="146"/>
        <w:gridCol w:w="414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Marella Thorell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Marella Thorell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mcrb-ex32_1.htm"/>
      <w:bookmarkStart w:id="32" w:name="ksmcrb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N. Kender, Executive Chair and Interim Chief Executive Officer of Seres Therapeutics, Inc. (the “Company”), hereby certify, pursuant to 18 U.S.C. §1350, as adopted pursuant to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Quarterly Report on Form 10-Q of the Company for the period ended June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886" w:type="dxa"/>
        <w:jc w:val="left"/>
        <w:tblInd w:w="0" w:type="dxa"/>
        <w:tblLayout w:type="fixed"/>
        <w:tblCellMar>
          <w:top w:w="28" w:type="dxa"/>
          <w:left w:w="28" w:type="dxa"/>
          <w:bottom w:w="28" w:type="dxa"/>
          <w:right w:w="28" w:type="dxa"/>
        </w:tblCellMar>
      </w:tblPr>
      <w:tblGrid>
        <w:gridCol w:w="1366"/>
        <w:gridCol w:w="109"/>
        <w:gridCol w:w="441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N. Kender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N. Kender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 and Interim Chief Executive Officer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mcrb-ex32_2.htm"/>
      <w:bookmarkStart w:id="34" w:name="ksmcrbex32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Marella Thorell, Executive Vice President, Chief Financial Officer of Seres Therapeutics, Inc. (the “Company”), hereby certify, pursuant to 18 U.S.C. §1350, as adopted pursuant to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Quarterly Report on Form 10-Q of the Company for the period ended June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616" w:type="dxa"/>
        <w:jc w:val="left"/>
        <w:tblInd w:w="0" w:type="dxa"/>
        <w:tblLayout w:type="fixed"/>
        <w:tblCellMar>
          <w:top w:w="28" w:type="dxa"/>
          <w:left w:w="28" w:type="dxa"/>
          <w:bottom w:w="28" w:type="dxa"/>
          <w:right w:w="28" w:type="dxa"/>
        </w:tblCellMar>
      </w:tblPr>
      <w:tblGrid>
        <w:gridCol w:w="1366"/>
        <w:gridCol w:w="109"/>
        <w:gridCol w:w="414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Marella Thorell</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Marella Thorell</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809/000119312515242845/d48188dex31.htm" TargetMode="External"/><Relationship Id="rId3" Type="http://schemas.openxmlformats.org/officeDocument/2006/relationships/hyperlink" Target="https://www.sec.gov/Archives/edgar/data/1609809/000119312523176795/d506361dex31.htm" TargetMode="External"/><Relationship Id="rId4" Type="http://schemas.openxmlformats.org/officeDocument/2006/relationships/hyperlink" Target="https://www.sec.gov/ix?doc=/Archives/edgar/data/1609809/000119312524089654/d798362d8k.htm" TargetMode="External"/><Relationship Id="rId5" Type="http://schemas.openxmlformats.org/officeDocument/2006/relationships/hyperlink" Target="https://www.sec.gov/Archives/edgar/data/1609809/000119312525089189/d97309dex31.htm" TargetMode="External"/><Relationship Id="rId6" Type="http://schemas.openxmlformats.org/officeDocument/2006/relationships/hyperlink" Target="https://www.sec.gov/ix?doc=/Archives/edgar/data/1609809/000119312524000683/d582286d8k.htm" TargetMode="External"/><Relationship Id="rId7" Type="http://schemas.openxmlformats.org/officeDocument/2006/relationships/hyperlink" Target="https://www.sec.gov/Archives/edgar/data/1609809/000119312526299675/d10605dex991.htm" TargetMode="External"/><Relationship Id="rId8" Type="http://schemas.openxmlformats.org/officeDocument/2006/relationships/hyperlink" Target="https://www.sec.gov/Archives/edgar/data/1609809/000119312526258366/d156701dex101.htm" TargetMode="External"/><Relationship Id="rId9" Type="http://schemas.openxmlformats.org/officeDocument/2006/relationships/hyperlink" Target="https://www.sec.gov/Archives/edgar/data/1609809/000119312526258366/d156701dex102.htm" TargetMode="External"/><Relationship Id="rId10" Type="http://schemas.openxmlformats.org/officeDocument/2006/relationships/hyperlink" Target="https://www.sec.gov/Archives/edgar/data/1609809/000119312526332742/d133274dex101.htm" TargetMode="External"/><Relationship Id="rId11" Type="http://schemas.openxmlformats.org/officeDocument/2006/relationships/hyperlink" Target="https://www.sec.gov/Archives/edgar/data/1609809/000119312526332742/d133274dex10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64073</Words>
  <Characters>360010</Characters>
  <CharactersWithSpaces>424491</CharactersWithSpaces>
  <Paragraphs>5781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