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-207010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5"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7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324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2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3900" w:type="dxa"/>
            <w:vAlign w:val="bottom"/>
            <w:gridSpan w:val="7"/>
          </w:tcPr>
          <w:p>
            <w:pPr>
              <w:jc w:val="center"/>
              <w:ind w:left="247"/>
              <w:spacing w:after="0"/>
              <w:rPr>
                <w:sz w:val="20"/>
                <w:szCs w:val="20"/>
                <w:color w:val="auto"/>
              </w:rPr>
            </w:pPr>
            <w:r>
              <w:rPr>
                <w:rFonts w:ascii="Times New Roman" w:cs="Times New Roman" w:eastAsia="Times New Roman" w:hAnsi="Times New Roman"/>
                <w:sz w:val="16"/>
                <w:szCs w:val="16"/>
                <w:b w:val="1"/>
                <w:bCs w:val="1"/>
                <w:color w:val="auto"/>
              </w:rPr>
              <w:t>Commission File Number: 001-37465</w:t>
            </w:r>
          </w:p>
        </w:tc>
        <w:tc>
          <w:tcPr>
            <w:tcW w:w="5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3500" w:type="dxa"/>
            <w:vAlign w:val="bottom"/>
          </w:tcPr>
          <w:p>
            <w:pPr>
              <w:spacing w:after="0"/>
              <w:rPr>
                <w:sz w:val="7"/>
                <w:szCs w:val="7"/>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41"/>
                <w:szCs w:val="41"/>
                <w:b w:val="1"/>
                <w:bCs w:val="1"/>
                <w:color w:val="auto"/>
              </w:rPr>
              <w:t>Seres</w:t>
            </w:r>
          </w:p>
        </w:tc>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5"/>
                <w:szCs w:val="5"/>
                <w:color w:val="auto"/>
              </w:rPr>
              <w:t>le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41"/>
                <w:szCs w:val="41"/>
                <w:b w:val="1"/>
                <w:bCs w:val="1"/>
                <w:color w:val="auto"/>
              </w:rPr>
              <w:t>Inc.</w:t>
            </w: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1"/>
        </w:trPr>
        <w:tc>
          <w:tcPr>
            <w:tcW w:w="350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41"/>
                <w:szCs w:val="41"/>
                <w:b w:val="1"/>
                <w:bCs w:val="1"/>
                <w:color w:val="auto"/>
                <w:w w:val="91"/>
              </w:rPr>
              <w:t>Therapeutics,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4460" w:type="dxa"/>
            <w:vAlign w:val="bottom"/>
            <w:gridSpan w:val="8"/>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80" w:type="dxa"/>
            <w:vAlign w:val="bottom"/>
          </w:tcPr>
          <w:p>
            <w:pPr>
              <w:jc w:val="right"/>
              <w:ind w:right="1766"/>
              <w:spacing w:after="0"/>
              <w:rPr>
                <w:sz w:val="20"/>
                <w:szCs w:val="20"/>
                <w:color w:val="auto"/>
              </w:rPr>
            </w:pPr>
            <w:r>
              <w:rPr>
                <w:rFonts w:ascii="Times New Roman" w:cs="Times New Roman" w:eastAsia="Times New Roman" w:hAnsi="Times New Roman"/>
                <w:sz w:val="16"/>
                <w:szCs w:val="16"/>
                <w:b w:val="1"/>
                <w:bCs w:val="1"/>
                <w:color w:val="231F20"/>
              </w:rPr>
              <w:t>27-4326290</w:t>
            </w:r>
          </w:p>
        </w:tc>
        <w:tc>
          <w:tcPr>
            <w:tcW w:w="0" w:type="dxa"/>
            <w:vAlign w:val="bottom"/>
          </w:tcPr>
          <w:p>
            <w:pPr>
              <w:spacing w:after="0"/>
              <w:rPr>
                <w:sz w:val="1"/>
                <w:szCs w:val="1"/>
                <w:color w:val="auto"/>
              </w:rPr>
            </w:pPr>
          </w:p>
        </w:tc>
      </w:tr>
      <w:tr>
        <w:trPr>
          <w:trHeight w:val="157"/>
        </w:trPr>
        <w:tc>
          <w:tcPr>
            <w:tcW w:w="3500" w:type="dxa"/>
            <w:vAlign w:val="bottom"/>
          </w:tcPr>
          <w:p>
            <w:pPr>
              <w:jc w:val="center"/>
              <w:ind w:left="925"/>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80" w:type="dxa"/>
            <w:vAlign w:val="bottom"/>
          </w:tcPr>
          <w:p>
            <w:pPr>
              <w:jc w:val="center"/>
              <w:ind w:right="1126"/>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80" w:type="dxa"/>
            <w:vAlign w:val="bottom"/>
          </w:tcPr>
          <w:p>
            <w:pPr>
              <w:jc w:val="center"/>
              <w:ind w:right="112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78"/>
        </w:trPr>
        <w:tc>
          <w:tcPr>
            <w:tcW w:w="3500" w:type="dxa"/>
            <w:vAlign w:val="bottom"/>
          </w:tcPr>
          <w:p>
            <w:pPr>
              <w:jc w:val="center"/>
              <w:ind w:left="945"/>
              <w:spacing w:after="0"/>
              <w:rPr>
                <w:sz w:val="20"/>
                <w:szCs w:val="20"/>
                <w:color w:val="auto"/>
              </w:rPr>
            </w:pPr>
            <w:r>
              <w:rPr>
                <w:rFonts w:ascii="Times New Roman" w:cs="Times New Roman" w:eastAsia="Times New Roman" w:hAnsi="Times New Roman"/>
                <w:sz w:val="16"/>
                <w:szCs w:val="16"/>
                <w:b w:val="1"/>
                <w:bCs w:val="1"/>
                <w:color w:val="auto"/>
                <w:w w:val="99"/>
              </w:rPr>
              <w:t>200 Sidney Street – 4</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6"/>
                <w:szCs w:val="16"/>
                <w:b w:val="1"/>
                <w:bCs w:val="1"/>
                <w:color w:val="auto"/>
                <w:w w:val="99"/>
              </w:rPr>
              <w:t xml:space="preserve"> Floor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Cambridge, Massachusetts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80" w:type="dxa"/>
            <w:vAlign w:val="bottom"/>
          </w:tcPr>
          <w:p>
            <w:pPr>
              <w:jc w:val="right"/>
              <w:ind w:right="1966"/>
              <w:spacing w:after="0"/>
              <w:rPr>
                <w:sz w:val="20"/>
                <w:szCs w:val="20"/>
                <w:color w:val="auto"/>
              </w:rPr>
            </w:pPr>
            <w:r>
              <w:rPr>
                <w:rFonts w:ascii="Times New Roman" w:cs="Times New Roman" w:eastAsia="Times New Roman" w:hAnsi="Times New Roman"/>
                <w:sz w:val="16"/>
                <w:szCs w:val="16"/>
                <w:b w:val="1"/>
                <w:bCs w:val="1"/>
                <w:color w:val="auto"/>
              </w:rPr>
              <w:t>02139</w:t>
            </w:r>
          </w:p>
        </w:tc>
        <w:tc>
          <w:tcPr>
            <w:tcW w:w="0" w:type="dxa"/>
            <w:vAlign w:val="bottom"/>
          </w:tcPr>
          <w:p>
            <w:pPr>
              <w:spacing w:after="0"/>
              <w:rPr>
                <w:sz w:val="1"/>
                <w:szCs w:val="1"/>
                <w:color w:val="auto"/>
              </w:rPr>
            </w:pPr>
          </w:p>
        </w:tc>
      </w:tr>
      <w:tr>
        <w:trPr>
          <w:trHeight w:val="198"/>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tcPr>
          <w:p>
            <w:pPr>
              <w:jc w:val="center"/>
              <w:ind w:right="112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7"/>
        </w:trPr>
        <w:tc>
          <w:tcPr>
            <w:tcW w:w="3500" w:type="dxa"/>
            <w:vAlign w:val="bottom"/>
          </w:tcPr>
          <w:p>
            <w:pPr>
              <w:spacing w:after="0"/>
              <w:rPr>
                <w:sz w:val="21"/>
                <w:szCs w:val="21"/>
                <w:color w:val="auto"/>
              </w:rPr>
            </w:pPr>
          </w:p>
        </w:tc>
        <w:tc>
          <w:tcPr>
            <w:tcW w:w="3240" w:type="dxa"/>
            <w:vAlign w:val="bottom"/>
            <w:gridSpan w:val="4"/>
          </w:tcPr>
          <w:p>
            <w:pPr>
              <w:jc w:val="center"/>
              <w:ind w:left="927"/>
              <w:spacing w:after="0"/>
              <w:rPr>
                <w:sz w:val="20"/>
                <w:szCs w:val="20"/>
                <w:color w:val="auto"/>
              </w:rPr>
            </w:pPr>
            <w:r>
              <w:rPr>
                <w:rFonts w:ascii="Times New Roman" w:cs="Times New Roman" w:eastAsia="Times New Roman" w:hAnsi="Times New Roman"/>
                <w:sz w:val="16"/>
                <w:szCs w:val="16"/>
                <w:b w:val="1"/>
                <w:bCs w:val="1"/>
                <w:color w:val="auto"/>
              </w:rPr>
              <w:t>(617) 945-9626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19"/>
                <w:szCs w:val="19"/>
                <w:color w:val="auto"/>
              </w:rPr>
            </w:pPr>
          </w:p>
        </w:tc>
        <w:tc>
          <w:tcPr>
            <w:tcW w:w="3900" w:type="dxa"/>
            <w:vAlign w:val="bottom"/>
            <w:gridSpan w:val="7"/>
          </w:tcPr>
          <w:p>
            <w:pPr>
              <w:jc w:val="center"/>
              <w:ind w:left="24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3900" w:type="dxa"/>
            <w:vAlign w:val="bottom"/>
            <w:gridSpan w:val="7"/>
          </w:tcPr>
          <w:p>
            <w:pPr>
              <w:jc w:val="center"/>
              <w:ind w:left="247"/>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00" w:type="dxa"/>
            <w:vAlign w:val="bottom"/>
            <w:tcBorders>
              <w:bottom w:val="single" w:sz="8" w:color="auto"/>
            </w:tcBorders>
          </w:tcPr>
          <w:p>
            <w:pPr>
              <w:jc w:val="center"/>
              <w:ind w:left="82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500" w:type="dxa"/>
            <w:vAlign w:val="bottom"/>
          </w:tcPr>
          <w:p>
            <w:pPr>
              <w:jc w:val="center"/>
              <w:ind w:left="825"/>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MCRB</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288"/>
        </w:trPr>
        <w:tc>
          <w:tcPr>
            <w:tcW w:w="3500" w:type="dxa"/>
            <w:vAlign w:val="bottom"/>
          </w:tcPr>
          <w:p>
            <w:pPr>
              <w:spacing w:after="0"/>
              <w:rPr>
                <w:sz w:val="24"/>
                <w:szCs w:val="24"/>
                <w:color w:val="auto"/>
              </w:rPr>
            </w:pPr>
          </w:p>
        </w:tc>
        <w:tc>
          <w:tcPr>
            <w:tcW w:w="4460" w:type="dxa"/>
            <w:vAlign w:val="bottom"/>
            <w:gridSpan w:val="8"/>
          </w:tcPr>
          <w:p>
            <w:pPr>
              <w:jc w:val="center"/>
              <w:ind w:right="14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4500" w:type="dxa"/>
            <w:vAlign w:val="bottom"/>
            <w:gridSpan w:val="3"/>
          </w:tcPr>
          <w:p>
            <w:pPr>
              <w:spacing w:after="0"/>
              <w:rPr>
                <w:sz w:val="6"/>
                <w:szCs w:val="6"/>
                <w:color w:val="auto"/>
              </w:rPr>
            </w:pPr>
          </w:p>
        </w:tc>
        <w:tc>
          <w:tcPr>
            <w:tcW w:w="2240" w:type="dxa"/>
            <w:vAlign w:val="bottom"/>
            <w:tcBorders>
              <w:bottom w:val="single" w:sz="8" w:color="auto"/>
            </w:tcBorders>
            <w:gridSpan w:val="2"/>
          </w:tcPr>
          <w:p>
            <w:pPr>
              <w:spacing w:after="0"/>
              <w:rPr>
                <w:sz w:val="6"/>
                <w:szCs w:val="6"/>
                <w:color w:val="auto"/>
              </w:rPr>
            </w:pPr>
          </w:p>
        </w:tc>
        <w:tc>
          <w:tcPr>
            <w:tcW w:w="660" w:type="dxa"/>
            <w:vAlign w:val="bottom"/>
            <w:gridSpan w:val="3"/>
          </w:tcPr>
          <w:p>
            <w:pPr>
              <w:spacing w:after="0"/>
              <w:rPr>
                <w:sz w:val="6"/>
                <w:szCs w:val="6"/>
                <w:color w:val="auto"/>
              </w:rPr>
            </w:pPr>
          </w:p>
        </w:tc>
        <w:tc>
          <w:tcPr>
            <w:tcW w:w="56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p>
        </w:tc>
        <w:tc>
          <w:tcPr>
            <w:tcW w:w="328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6"/>
        </w:trPr>
        <w:tc>
          <w:tcPr>
            <w:tcW w:w="740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16"/>
                <w:szCs w:val="16"/>
                <w:color w:val="auto"/>
              </w:rPr>
            </w:pP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0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p>
        </w:tc>
        <w:tc>
          <w:tcPr>
            <w:tcW w:w="328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4" w:lineRule="exact"/>
        <w:rPr>
          <w:sz w:val="24"/>
          <w:szCs w:val="24"/>
          <w:color w:val="auto"/>
        </w:rPr>
      </w:pPr>
    </w:p>
    <w:p>
      <w:pPr>
        <w:ind w:right="6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4" w:lineRule="exact"/>
        <w:rPr>
          <w:sz w:val="24"/>
          <w:szCs w:val="24"/>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the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95" w:lineRule="exact"/>
        <w:rPr>
          <w:sz w:val="24"/>
          <w:szCs w:val="24"/>
          <w:color w:val="auto"/>
        </w:rPr>
      </w:pPr>
    </w:p>
    <w:p>
      <w:pPr>
        <w:ind w:right="6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w:t>
      </w:r>
    </w:p>
    <w:p>
      <w:pPr>
        <w:sectPr>
          <w:pgSz w:w="11900" w:h="16838" w:orient="portrait"/>
          <w:cols w:equalWidth="0" w:num="1">
            <w:col w:w="11240"/>
          </w:cols>
          <w:pgMar w:left="320" w:top="326" w:right="339" w:bottom="1440" w:gutter="0" w:footer="0" w:header="0"/>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9" w:lineRule="exact"/>
        <w:rPr>
          <w:sz w:val="24"/>
          <w:szCs w:val="24"/>
          <w:color w:val="auto"/>
        </w:rPr>
      </w:pPr>
    </w:p>
    <w:p>
      <w:pPr>
        <w:sectPr>
          <w:pgSz w:w="11900" w:h="16838" w:orient="portrait"/>
          <w:cols w:equalWidth="0" w:num="2">
            <w:col w:w="8200" w:space="300"/>
            <w:col w:w="2740"/>
          </w:cols>
          <w:pgMar w:left="320" w:top="326" w:right="339" w:bottom="1440" w:gutter="0" w:footer="0" w:header="0"/>
          <w:type w:val="continuous"/>
        </w:sectPr>
      </w:pPr>
    </w:p>
    <w:p>
      <w:pPr>
        <w:spacing w:after="0" w:line="2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sectPr>
          <w:pgSz w:w="11900" w:h="16838" w:orient="portrait"/>
          <w:cols w:equalWidth="0" w:num="3">
            <w:col w:w="6440" w:space="160"/>
            <w:col w:w="400" w:space="160"/>
            <w:col w:w="4080"/>
          </w:cols>
          <w:pgMar w:left="320" w:top="326" w:right="339" w:bottom="1440" w:gutter="0" w:footer="0" w:header="0"/>
          <w:type w:val="continuous"/>
        </w:sectPr>
      </w:pPr>
    </w:p>
    <w:p>
      <w:pPr>
        <w:ind w:right="40" w:firstLine="509"/>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based on the closing price of the registrant’s common stock as reported on the Nasdaq Global Select Market on June 30, 2022, was $239,918,450. Solely for purposes of this disclosure, shares of common stock held by executive officers, directors and certain stockholders of the registrant as of such date have been excluded because such holders may be deemed to be affiliates.</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3, 2023 there were 126,076,391 shares of the registrant’s common stock, par value $0.001 per share, outstanding.</w:t>
      </w:r>
    </w:p>
    <w:p>
      <w:pPr>
        <w:spacing w:after="0" w:line="4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2023 Annual Meeting of Stockholders to be filed with the SEC within 120 days after the end of the fiscal year ended December 31, 2022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60" w:type="dxa"/>
            <w:vAlign w:val="bottom"/>
            <w:gridSpan w:val="10"/>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78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0000EE"/>
            </w:tcBorders>
          </w:tcPr>
          <w:p>
            <w:pPr>
              <w:spacing w:after="0"/>
              <w:rPr>
                <w:sz w:val="19"/>
                <w:szCs w:val="19"/>
                <w:color w:val="auto"/>
              </w:rPr>
            </w:pPr>
          </w:p>
        </w:tc>
        <w:tc>
          <w:tcPr>
            <w:tcW w:w="700" w:type="dxa"/>
            <w:vAlign w:val="bottom"/>
            <w:tcBorders>
              <w:top w:val="single" w:sz="8" w:color="0000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Item 5.</w:t>
            </w:r>
          </w:p>
        </w:tc>
        <w:tc>
          <w:tcPr>
            <w:tcW w:w="720" w:type="dxa"/>
            <w:vAlign w:val="bottom"/>
            <w:gridSpan w:val="4"/>
            <w:vMerge w:val="restart"/>
          </w:tcPr>
          <w:p>
            <w:pPr>
              <w:spacing w:after="0"/>
              <w:rPr>
                <w:sz w:val="19"/>
                <w:szCs w:val="19"/>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140" w:type="dxa"/>
            <w:vAlign w:val="bottom"/>
            <w:vMerge w:val="restart"/>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top w:val="single" w:sz="8" w:color="0000FF"/>
            </w:tcBorders>
            <w:gridSpan w:val="2"/>
            <w:vMerge w:val="continue"/>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800" w:type="dxa"/>
            <w:vAlign w:val="bottom"/>
            <w:tcBorders>
              <w:top w:val="single" w:sz="8" w:color="0000FF"/>
            </w:tcBorders>
            <w:gridSpan w:val="3"/>
          </w:tcPr>
          <w:p>
            <w:pPr>
              <w:spacing w:after="0"/>
              <w:rPr>
                <w:sz w:val="5"/>
                <w:szCs w:val="5"/>
                <w:color w:val="auto"/>
              </w:rPr>
            </w:pPr>
          </w:p>
        </w:tc>
        <w:tc>
          <w:tcPr>
            <w:tcW w:w="520" w:type="dxa"/>
            <w:vAlign w:val="bottom"/>
            <w:tcBorders>
              <w:top w:val="single" w:sz="8" w:color="0000FF"/>
            </w:tcBorders>
            <w:gridSpan w:val="2"/>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gridSpan w:val="2"/>
          </w:tcPr>
          <w:p>
            <w:pPr>
              <w:spacing w:after="0"/>
              <w:rPr>
                <w:sz w:val="5"/>
                <w:szCs w:val="5"/>
                <w:color w:val="auto"/>
              </w:rPr>
            </w:pPr>
          </w:p>
        </w:tc>
        <w:tc>
          <w:tcPr>
            <w:tcW w:w="1040" w:type="dxa"/>
            <w:vAlign w:val="bottom"/>
            <w:tcBorders>
              <w:top w:val="single" w:sz="8" w:color="0000FF"/>
            </w:tcBorders>
            <w:gridSpan w:val="2"/>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7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10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820" w:type="dxa"/>
            <w:vAlign w:val="bottom"/>
            <w:tcBorders>
              <w:top w:val="single" w:sz="8" w:color="0000FF"/>
            </w:tcBorders>
          </w:tcPr>
          <w:p>
            <w:pPr>
              <w:spacing w:after="0"/>
              <w:rPr>
                <w:sz w:val="5"/>
                <w:szCs w:val="5"/>
                <w:color w:val="auto"/>
              </w:rPr>
            </w:pPr>
          </w:p>
        </w:tc>
        <w:tc>
          <w:tcPr>
            <w:tcW w:w="780" w:type="dxa"/>
            <w:vAlign w:val="bottom"/>
            <w:tcBorders>
              <w:top w:val="single" w:sz="8" w:color="0000FF"/>
            </w:tcBorders>
          </w:tcPr>
          <w:p>
            <w:pPr>
              <w:spacing w:after="0"/>
              <w:rPr>
                <w:sz w:val="5"/>
                <w:szCs w:val="5"/>
                <w:color w:val="auto"/>
              </w:rPr>
            </w:pPr>
          </w:p>
        </w:tc>
        <w:tc>
          <w:tcPr>
            <w:tcW w:w="11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2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[Reserved]</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398"/>
        </w:trPr>
        <w:tc>
          <w:tcPr>
            <w:tcW w:w="20" w:type="dxa"/>
            <w:vAlign w:val="bottom"/>
            <w:tcBorders>
              <w:bottom w:val="single" w:sz="8" w:color="0000EE"/>
            </w:tcBorders>
          </w:tcPr>
          <w:p>
            <w:pPr>
              <w:spacing w:after="0"/>
              <w:rPr>
                <w:sz w:val="24"/>
                <w:szCs w:val="24"/>
                <w:color w:val="auto"/>
              </w:rPr>
            </w:pP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4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98"/>
        </w:trPr>
        <w:tc>
          <w:tcPr>
            <w:tcW w:w="20" w:type="dxa"/>
            <w:vAlign w:val="bottom"/>
            <w:tcBorders>
              <w:bottom w:val="single" w:sz="8" w:color="0000EE"/>
            </w:tcBorders>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68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92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gridSpan w:val="14"/>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FORWARD-LOOKING STATEMENTS</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without limitation statements regarding our future results of operations and financial position, business strategy, prospective products, product approvals, research and development costs, timing and likelihood of success, including the anticipated PDUFA target action date and potential FDA approval of SER-109, manufacturing activities and related timing, commercialization efforts and related timing, our ability to continue as a going concern,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“Summary Risk Factors,” “Risk Factors” and “Management’s Discussion and Analysis of Financial Condition and Results of Operations” and elsewhere in this Annual Report on Form 10-K.</w:t>
      </w:r>
    </w:p>
    <w:p>
      <w:pPr>
        <w:spacing w:after="0" w:line="8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SERVICE MARKS AND TRADENAMES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proprietary rights to trademarks used in this Annual Report on Form 10-K, which are important to our business and many of which are registered under applicable intellectual property laws. Solely for convenience, the trademarks, service marks, logos and trade names referred to in this Annual Report on Form 10-K are without the ® and ™ symbols, but such references are not intended to indicate, in any way, that we will not assert, to the fullest extent under applicable law, our rights to these trademarks, service marks and trade names. This Annual Report on Form 10-K contains additional trademarks, service marks and trade names of others, which are the property of their respective owners. All trademarks, service marks and trade names appearing in this Annual Report on Form 10-K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68" w:lineRule="exact"/>
        <w:rPr>
          <w:sz w:val="20"/>
          <w:szCs w:val="20"/>
          <w:color w:val="auto"/>
        </w:rPr>
      </w:pPr>
    </w:p>
    <w:p>
      <w:pPr>
        <w:ind w:left="760" w:right="4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development-stage company and have incurred significant losses since our inception. We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regarding our ability to continue as a going concern.</w:t>
      </w:r>
    </w:p>
    <w:p>
      <w:pPr>
        <w:spacing w:after="0" w:line="117"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SER-109, we are early in our development efforts and may not be successful in our efforts to use our reverse translational microbiome therapeutics platform to build a pipeline of product candidates and develop marketable drugs.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based on microbiome therapeutics, which is an unproven approach to therapeutic intervention.</w:t>
      </w:r>
    </w:p>
    <w:p>
      <w:pPr>
        <w:spacing w:after="0" w:line="117" w:lineRule="exact"/>
        <w:rPr>
          <w:rFonts w:ascii="Times New Roman" w:cs="Times New Roman" w:eastAsia="Times New Roman" w:hAnsi="Times New Roman"/>
          <w:sz w:val="18"/>
          <w:szCs w:val="18"/>
          <w:color w:val="auto"/>
        </w:rPr>
      </w:pPr>
    </w:p>
    <w:p>
      <w:pPr>
        <w:jc w:val="both"/>
        <w:ind w:left="380" w:right="620" w:hanging="378"/>
        <w:spacing w:after="0" w:line="312" w:lineRule="auto"/>
        <w:tabs>
          <w:tab w:leader="none" w:pos="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31" w:lineRule="exact"/>
        <w:rPr>
          <w:rFonts w:ascii="Times New Roman" w:cs="Times New Roman" w:eastAsia="Times New Roman" w:hAnsi="Times New Roman"/>
          <w:sz w:val="17"/>
          <w:szCs w:val="17"/>
          <w:color w:val="auto"/>
        </w:rPr>
      </w:pPr>
    </w:p>
    <w:p>
      <w:pPr>
        <w:ind w:left="380" w:right="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enrollment of patients in clinical trials, could result in our receipt of necessary regulatory approvals being delayed or prevented.</w:t>
      </w:r>
    </w:p>
    <w:p>
      <w:pPr>
        <w:spacing w:after="0" w:line="53" w:lineRule="exact"/>
        <w:rPr>
          <w:rFonts w:ascii="Times New Roman" w:cs="Times New Roman" w:eastAsia="Times New Roman" w:hAnsi="Times New Roman"/>
          <w:sz w:val="18"/>
          <w:szCs w:val="18"/>
          <w:color w:val="auto"/>
        </w:rPr>
      </w:pPr>
    </w:p>
    <w:p>
      <w:pPr>
        <w:ind w:left="380" w:right="260" w:hanging="378"/>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we or our collaborators will not be able to commercialize our product candidates or will not be able to do so as soon as anticipated, and our ability to generate revenue will be materially impaired. Additionally, failure to obtain marketing approval in international jurisdictions would prevent our product candidates from being marketed abroad.</w:t>
      </w:r>
    </w:p>
    <w:p>
      <w:pPr>
        <w:spacing w:after="0" w:line="71" w:lineRule="exact"/>
        <w:rPr>
          <w:rFonts w:ascii="Times New Roman" w:cs="Times New Roman" w:eastAsia="Times New Roman" w:hAnsi="Times New Roman"/>
          <w:sz w:val="18"/>
          <w:szCs w:val="18"/>
          <w:color w:val="auto"/>
        </w:rPr>
      </w:pPr>
    </w:p>
    <w:p>
      <w:pPr>
        <w:ind w:left="380" w:right="100" w:hanging="378"/>
        <w:spacing w:after="0" w:line="25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and license agreements with Société des Produits Nestlé S.A., successor in interest to Nestec Ltd.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NHSc Rx License GmbH, successor in interest to NHSc Pharma Partners (collectively, and together with their affiliates and subsidiaries, Nestlé) are important to our business. If we or Nestlé fail to adequately perform under these agreements, or if we or Nestlé terminate the agreements, the development and commercialization of our CDI and IBD product candidates, including SER-109, SER-287 and SER-301, could be delayed or terminated and our business would be adversely affected.</w:t>
      </w:r>
    </w:p>
    <w:p>
      <w:pPr>
        <w:spacing w:after="0" w:line="75" w:lineRule="exact"/>
        <w:rPr>
          <w:rFonts w:ascii="Times New Roman" w:cs="Times New Roman" w:eastAsia="Times New Roman" w:hAnsi="Times New Roman"/>
          <w:sz w:val="18"/>
          <w:szCs w:val="18"/>
          <w:color w:val="auto"/>
        </w:rPr>
      </w:pPr>
    </w:p>
    <w:p>
      <w:pPr>
        <w:ind w:left="380" w:right="5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w:t>
      </w:r>
    </w:p>
    <w:p>
      <w:pPr>
        <w:spacing w:after="0" w:line="53" w:lineRule="exact"/>
        <w:rPr>
          <w:rFonts w:ascii="Times New Roman" w:cs="Times New Roman" w:eastAsia="Times New Roman" w:hAnsi="Times New Roman"/>
          <w:sz w:val="18"/>
          <w:szCs w:val="18"/>
          <w:color w:val="auto"/>
        </w:rPr>
      </w:pPr>
    </w:p>
    <w:p>
      <w:pPr>
        <w:ind w:left="380" w:right="20" w:hanging="378"/>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for certain aspects of the manufacture of our product candidates for preclinical and clinical testing and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380" w:right="6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 marketing approval, it may fail to achieve the degree of market acceptance by physicians, patients, hospitals, third-party payors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380" w:righ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competing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380" w:right="16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117" w:lineRule="exact"/>
        <w:rPr>
          <w:rFonts w:ascii="Times New Roman" w:cs="Times New Roman" w:eastAsia="Times New Roman" w:hAnsi="Times New Roman"/>
          <w:sz w:val="18"/>
          <w:szCs w:val="18"/>
          <w:color w:val="auto"/>
        </w:rPr>
      </w:pPr>
    </w:p>
    <w:p>
      <w:pPr>
        <w:ind w:left="380" w:right="40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expand our operational capabilities, and as a result, we may encounter difficulties in managing our growth, which could disrupt our operations.</w:t>
      </w:r>
    </w:p>
    <w:p>
      <w:pPr>
        <w:spacing w:after="0" w:line="53"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costs as a result of being a public company, and our management will continue to devote substantial time to compliance initiatives and corporate governance practices.</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29"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are a microbiome therapeutics company developing a novel class of biological drugs, which are designed to treat disease by modulating the microbiome to restore health by repairing the function of a disrupted microbiome to a non-disease state. We have an advanced drug pipeline with clinical assets that are formulated for oral delivery and a differentiated microbiome therapeutics drug discovery and development platform including good manufacturing practices, or GMP, manufacturing capabilities for this novel drug modality.</w:t>
      </w:r>
    </w:p>
    <w:p>
      <w:pPr>
        <w:spacing w:after="0" w:line="72"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 xml:space="preserve">Our highest priority is preparing for potential commercialization of SER-109, an investigational oral microbiome therapeutic in development for recurrent </w:t>
      </w:r>
      <w:r>
        <w:rPr>
          <w:rFonts w:ascii="Times New Roman" w:cs="Times New Roman" w:eastAsia="Times New Roman" w:hAnsi="Times New Roman"/>
          <w:sz w:val="17"/>
          <w:szCs w:val="17"/>
          <w:i w:val="1"/>
          <w:iCs w:val="1"/>
          <w:color w:val="auto"/>
        </w:rPr>
        <w:t>Clostridioides difficile</w:t>
      </w:r>
      <w:r>
        <w:rPr>
          <w:rFonts w:ascii="Times New Roman" w:cs="Times New Roman" w:eastAsia="Times New Roman" w:hAnsi="Times New Roman"/>
          <w:sz w:val="17"/>
          <w:szCs w:val="17"/>
          <w:color w:val="auto"/>
        </w:rPr>
        <w:t xml:space="preserve"> infection, or CDI. In October 2022, the U.S. Food and Drug Administration, or FDA, accepted for review our biologics license application, or BLA, for SER-109. The BLA has been granted Priority Review designation with a Prescription Drug User Fee Act, or PDUFA, target action date of April 26, 2023. If approved by the FDA, we plan to launch SER-109 with our collaborator, Nestlé Health Science, soon after approval.</w:t>
      </w:r>
    </w:p>
    <w:p>
      <w:pPr>
        <w:spacing w:after="0" w:line="5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also designing microbiome therapeutics to decolonize pathogens and modulate host function to reduce and prevent infections. We believe that the scientific and clinical data from our SER-109 program validate this novel approach, which we refer to as Infection Protection. We believe the Infection Protection approach may be replicable across different bacterial pathogens to develop microbiome therapeutics with the potential to protect a range of medically compromised patients from infections. We are evaluating SER-155 in a Phase 1b study in patients receiving allogeneic hematopoietic stem cell transplantation, or allo-HSCT, to reduce incidences of gastrointestinal infections, bloodstream infections and graft-versus-host disease, or GvHD. In December 2022, the study’s Data and Safety Monitoring Board reviewed available clinical data for cohort 1 and cleared advancement to cohort 2. In February 2023, we announced the initiation of enrollment in cohort 2. We plan to announce initial safety and pharmacological data, including drug bacterial species engraftment from cohort 1, in May 2023. We are also progressing additional preclinical stage programs to evaluate how microbiome therapeutics may reduce incidence of infections in indications such as cancer neutropenia, chronic liver disease, solid organ transplant, and antimicrobial resistant infections more broadly in settings of high-risk such as intensive care units, or ICUs.</w:t>
      </w:r>
    </w:p>
    <w:p>
      <w:pPr>
        <w:spacing w:after="0" w:line="8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continue our research activities in ulcerative colitis, or UC, including evaluating the potential to utilize biomarker-based patient selection and stratification for future studies. In addition, we continue to leverage microbiome pharmacokinetic and pharmacodynamic data from across our clinical and preclinical portfolios, using our reverse translational microbiome therapeutic development platform to conduct research on various indications, including inflammatory and immune diseases, cancer, and metabolic diseases.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built and deploy a reverse translational platform for the discovery and development of microbiome therapeutics. This platform incorporates high-resolution analysis of human clinical data to identify microbiome biomarkers associated with disease and non-disease states; preclinical screening using human cell-based assays and in vitro/ex vivo and in vivo disease models customized for microbiome therapeutics; and microbiological capabilities and a strain library that spans broad biological and functional breadth to both identify specific microbes and microbial metabolites that are associated with disease and to design consortia of bacteria with specific pharmacological properties.</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assembled a world class group of scientists, clinicians, directors and investors, who have established our leadership in the field of microbiome therapeutics. We were co-founded by Drs. Noubar Afeyan, David Berry and Geoffrey von Maltzahn of Flagship Pioneering. Through Flagship Pioneering’s contribution of foundational scientific concepts and intellectual property, assembly of our management team and critical early-stage support, we launched as the first company focused on the ecological nature of the microbiome. Led by Eric Shaff, our President and Chief Executive Officer, our experienced management team possesses core capabilities and know-how in microbiome therapeutics, drug development, commercialization, chemistry, manufacturing and controls, or CMC, public company management and finance.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Our goal is to remain the leading biopharmaceutical company developing and commercializing microbiome therapeutics to address significant unmet medical needs. We intend to focus in the near term on gaining FDA approval for SER-109 for recurrent CDI and continuing development of our highest priority clinical programs. Additionally, we continue to advance our differentiated microbiome drug discovery, development and manufacturing platforms and capabilities.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Advancing our Programs</w:t>
      </w:r>
    </w:p>
    <w:p>
      <w:pPr>
        <w:spacing w:after="0" w:line="115" w:lineRule="exact"/>
        <w:rPr>
          <w:sz w:val="20"/>
          <w:szCs w:val="20"/>
          <w:color w:val="auto"/>
        </w:rPr>
      </w:pPr>
    </w:p>
    <w:p>
      <w:pPr>
        <w:ind w:left="1020" w:right="40" w:hanging="503"/>
        <w:spacing w:after="0" w:line="259"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the BLA submission for our lead product candidate, SER-109, for patients with recurrent CDI, and advancing preparations for potential commercialization. </w:t>
      </w:r>
      <w:r>
        <w:rPr>
          <w:rFonts w:ascii="Times New Roman" w:cs="Times New Roman" w:eastAsia="Times New Roman" w:hAnsi="Times New Roman"/>
          <w:sz w:val="18"/>
          <w:szCs w:val="18"/>
          <w:color w:val="auto"/>
        </w:rPr>
        <w:t>In October 2022, our BLA for SER-109 was accepted for Priority Review by the FDA. A PDUFA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 date has been set for April 26, 2023. We continue to execute pre-commercialization activities with our commercialization collaborator, Nestlé Health Science, including appropriate market education and data dissemination to the medical community. In addition, activities are ongoing to engage payers.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1020" w:right="180"/>
        <w:spacing w:after="0" w:line="254" w:lineRule="auto"/>
        <w:rPr>
          <w:sz w:val="20"/>
          <w:szCs w:val="20"/>
          <w:color w:val="auto"/>
        </w:rPr>
      </w:pPr>
      <w:r>
        <w:rPr>
          <w:rFonts w:ascii="Times New Roman" w:cs="Times New Roman" w:eastAsia="Times New Roman" w:hAnsi="Times New Roman"/>
          <w:sz w:val="18"/>
          <w:szCs w:val="18"/>
          <w:color w:val="auto"/>
        </w:rPr>
        <w:t>We launched a disease education campaign in the fourth quarter of 2021 with an increasingly robust media plan as we approach potential commercial launch. In the second quarter of 2022, we deployed an experienced Nestlé payer team to conduct preapproval information exchange activities. To date, this team has engaged payers covering more than 150 million lives. In order to complement the current gastroenterology sales force of Nestlé Health Science, in the fourth quarter of 2022, a hospital selling team of twenty employees were hired to profile the top volume hospitals across the U.S. during the remainder of our prelaunch phase. In addition, we have SER-109 drug supply ready in anticipation of product approval and continue to make progress expanding commercial-scale production of SER-109 to prepare for anticipated future market demand. Our Long-Term Manufacturing Agreement with BacThera AG, or Bacthera, a global leader in biopharmaceutical product manufacturing, is designed to increase longer-term SER-109 product supply and adds to existing manufacturing capabilities.</w:t>
      </w:r>
    </w:p>
    <w:p>
      <w:pPr>
        <w:spacing w:after="0" w:line="76" w:lineRule="exact"/>
        <w:rPr>
          <w:sz w:val="20"/>
          <w:szCs w:val="20"/>
          <w:color w:val="auto"/>
        </w:rPr>
      </w:pPr>
    </w:p>
    <w:p>
      <w:pPr>
        <w:ind w:left="1020" w:right="8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Maximizing the opportunity in Infection Protection. </w:t>
      </w:r>
      <w:r>
        <w:rPr>
          <w:rFonts w:ascii="Times New Roman" w:cs="Times New Roman" w:eastAsia="Times New Roman" w:hAnsi="Times New Roman"/>
          <w:sz w:val="18"/>
          <w:szCs w:val="18"/>
          <w:color w:val="auto"/>
        </w:rPr>
        <w:t>We believe that the scientific and clinical data from our SER-109 program validate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Infection Protection approach of using microbiome therapeutics to decolonize pathogens and modulate host function to reduce and prevent infections. Infection Protection may be replicable across different bacterial pathogens to develop microbiome therapeutics with the potential to protect a range of medically compromised patients from infections. We are evaluating SER-155 in a Phase 1b study in patients receiving allo-HSCT to reduce incidences of gastrointestinal infections, bloodstream infections and GvHD. We are also progressing additional preclinical stage programs to evaluate how microbiome therapeutics may reduce incidence of infection in indications such as cancer neutropenia, chronic liver disease, solid organ transplant, and antimicrobial resistant infections more broadly in settings of high-risk such as ICUs.</w:t>
      </w:r>
    </w:p>
    <w:p>
      <w:pPr>
        <w:spacing w:after="0" w:line="76" w:lineRule="exact"/>
        <w:rPr>
          <w:rFonts w:ascii="Times New Roman" w:cs="Times New Roman" w:eastAsia="Times New Roman" w:hAnsi="Times New Roman"/>
          <w:sz w:val="18"/>
          <w:szCs w:val="18"/>
          <w:color w:val="auto"/>
        </w:rPr>
      </w:pPr>
    </w:p>
    <w:p>
      <w:pPr>
        <w:ind w:left="1020" w:right="24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Continuing research to inform further development in UC and immune modulation. </w:t>
      </w:r>
      <w:r>
        <w:rPr>
          <w:rFonts w:ascii="Times New Roman" w:cs="Times New Roman" w:eastAsia="Times New Roman" w:hAnsi="Times New Roman"/>
          <w:sz w:val="18"/>
          <w:szCs w:val="18"/>
          <w:color w:val="auto"/>
        </w:rPr>
        <w:t>We previously announced clinical, microbiome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metabolomic data from our SER-287 Phase 2b study and the first cohort of our SER-301 Phase 1b study. Available data for these investigational microbiome therapeutics suggest that there may be an opportunity to utilize biomarker-based patient selection and stratification for future studies. Research activities remain ongoing to inform potential further development activities that include patient population and disease severity selection and dose optimization in these populations.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Advancing Our Capabilities</w:t>
      </w:r>
    </w:p>
    <w:p>
      <w:pPr>
        <w:spacing w:after="0" w:line="115" w:lineRule="exact"/>
        <w:rPr>
          <w:sz w:val="20"/>
          <w:szCs w:val="20"/>
          <w:color w:val="auto"/>
        </w:rPr>
      </w:pPr>
    </w:p>
    <w:p>
      <w:pPr>
        <w:ind w:left="1020" w:hanging="503"/>
        <w:spacing w:after="0" w:line="25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leading reverse translational microbiome therapeutics platform to develop additional innovative and novel microbiome therapeutics across a range of serious medical conditions with high unmet need including infectious and inflammatory disease and disease associated with modulation of host immunity. </w:t>
      </w:r>
      <w:r>
        <w:rPr>
          <w:rFonts w:ascii="Times New Roman" w:cs="Times New Roman" w:eastAsia="Times New Roman" w:hAnsi="Times New Roman"/>
          <w:sz w:val="18"/>
          <w:szCs w:val="18"/>
          <w:color w:val="auto"/>
        </w:rPr>
        <w:t>We believe that the combination of experience, proprietary data and proprietary know-how related to the microbiome, the functional properties of microbial species and strains, microbe-host interactions, the cultivation of microbial strains, and microbiome-specific functional screens and analytics provides us a competitive advantage in the design and development of microbiome therapeutics. Our platform enables us to build upon our existing and growing clinical experience to rationally design treatments for acute and complex chronic diseases. We intend to leverage this advantage to develop additional innovative microbiome therapeutics.</w:t>
      </w:r>
    </w:p>
    <w:p>
      <w:pPr>
        <w:spacing w:after="0" w:line="76" w:lineRule="exact"/>
        <w:rPr>
          <w:rFonts w:ascii="Times New Roman" w:cs="Times New Roman" w:eastAsia="Times New Roman" w:hAnsi="Times New Roman"/>
          <w:sz w:val="18"/>
          <w:szCs w:val="18"/>
          <w:color w:val="auto"/>
        </w:rPr>
      </w:pPr>
    </w:p>
    <w:p>
      <w:pPr>
        <w:ind w:left="1020" w:right="80" w:hanging="503"/>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Developing manufacturing capabilities sufficient to support commercialization of any approved microbiome therapeutic candidates. </w:t>
      </w:r>
      <w:r>
        <w:rPr>
          <w:rFonts w:ascii="Times New Roman" w:cs="Times New Roman" w:eastAsia="Times New Roman" w:hAnsi="Times New Roman"/>
          <w:sz w:val="18"/>
          <w:szCs w:val="18"/>
          <w:color w:val="auto"/>
        </w:rPr>
        <w:t>Microbiome therapeutic manufacturing requires capabilities that are distinct from other biologic drugs. We have made strategic investments in manufacturing capabilities to help ensure that we maintain control of our know-how and also because we believe these capabilities will be necessary and highly advantageous for the development of future microbiome therapeutic candidates. Our bioprocess and manufacturing personnel are focused on creating a platform of manufacturing expertise that will set the stage for further advances in the emerging field of microbiome therapeutics.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Microbiome Therapeutics Platform</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have developed the leading reverse translational microbiome therapeutics platform which we believe enables us to apply our capabilities to efficiently identify, manufacture and develop novel microbiome therapeutics for serious human diseases. We use a reverse translational discovery platform that incorporates analysis of microbiome biomarkers from human clinical data and preclinical assessments using human cell-based assays and </w:t>
      </w:r>
      <w:r>
        <w:rPr>
          <w:rFonts w:ascii="Times New Roman" w:cs="Times New Roman" w:eastAsia="Times New Roman" w:hAnsi="Times New Roman"/>
          <w:sz w:val="18"/>
          <w:szCs w:val="18"/>
          <w:i w:val="1"/>
          <w:iCs w:val="1"/>
          <w:color w:val="auto"/>
        </w:rPr>
        <w:t>in vitro/ex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disease models. Specifically, we start with data sets from both healthy subjects and subjects with disease to delineate at high-resolution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composition of the microbiome and physiological state of subjects and to identify specific microbiome and host signatures that associate with disease or the onset of disease. These in-human insights on how different microbe species and strains and microbe-associated metabolites are associated with disease along with how these microbes and metabolites directly or indirectly modulate disease-relevant functional pathways in the host are leveraged in preclinical drug design and development.</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discovery process begins with human data derived from clinical trials and cohort studies, which we use as a basis for target identification and the design of our microbiome therapeutic candidates. We compare healthy, normal colonic microbiomes to those in an unhealthy disrupted or disease state, revealing the ecological, compositional and functional differences between various states of disease and during the transition from health to disease or vice versa. Specifically, we utilize clinical data sets combined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ind w:right="60"/>
        <w:spacing w:after="0" w:line="258" w:lineRule="auto"/>
        <w:rPr>
          <w:sz w:val="20"/>
          <w:szCs w:val="20"/>
          <w:color w:val="auto"/>
        </w:rPr>
      </w:pPr>
      <w:r>
        <w:rPr>
          <w:rFonts w:ascii="Times New Roman" w:cs="Times New Roman" w:eastAsia="Times New Roman" w:hAnsi="Times New Roman"/>
          <w:sz w:val="18"/>
          <w:szCs w:val="18"/>
          <w:color w:val="auto"/>
        </w:rPr>
        <w:t>advanced data sciences and microbiome analytics to identify microbiome signatures of disease at the resolution of specific species and strains, metabolites, and even genes that are associated with disease states. These microbiome biomarkers are associated with host signatures and biomarkers of disease to identify drug targets for our microbiome therapeutics. Our clinical data from the SER-109, SER-262, SER-401, SER-287 and SER-301 programs, and microbiome data generated with external collaborators, serve to instruct us on how the introduction of certain keystone microbes have the potential to restructure the microbiome and modulate the metabolic state of the gut to shift it to a non-disease state.</w:t>
      </w:r>
    </w:p>
    <w:p>
      <w:pPr>
        <w:spacing w:after="0" w:line="75" w:lineRule="exact"/>
        <w:rPr>
          <w:sz w:val="20"/>
          <w:szCs w:val="20"/>
          <w:color w:val="auto"/>
        </w:rPr>
      </w:pPr>
    </w:p>
    <w:p>
      <w:pPr>
        <w:jc w:val="both"/>
        <w:ind w:right="120" w:firstLine="509"/>
        <w:spacing w:after="0" w:line="276" w:lineRule="auto"/>
        <w:rPr>
          <w:sz w:val="20"/>
          <w:szCs w:val="20"/>
          <w:color w:val="auto"/>
        </w:rPr>
      </w:pPr>
      <w:r>
        <w:rPr>
          <w:rFonts w:ascii="Times New Roman" w:cs="Times New Roman" w:eastAsia="Times New Roman" w:hAnsi="Times New Roman"/>
          <w:sz w:val="17"/>
          <w:szCs w:val="17"/>
          <w:color w:val="auto"/>
        </w:rPr>
        <w:t>We have developed a proprietary functionally characterized strain library and a suite of assays and screens, bioinformatics and computational tools, and databases, which facilitate our insights into the human microbiome. We have established proprietary, curated, reference databases and algorithms that:</w:t>
      </w:r>
    </w:p>
    <w:p>
      <w:pPr>
        <w:spacing w:after="0" w:line="1" w:lineRule="exact"/>
        <w:rPr>
          <w:sz w:val="20"/>
          <w:szCs w:val="20"/>
          <w:color w:val="auto"/>
        </w:rPr>
      </w:pPr>
    </w:p>
    <w:p>
      <w:pPr>
        <w:ind w:right="80" w:firstLine="8"/>
        <w:spacing w:after="0" w:line="251"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integrate high-resolution genomic, metagenomic, metabolomic, and transcriptomic data sets, and data from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human cell-based assays,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vitro/ex vivo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disease models, and (ii) enable us to track changes in the microbiome at the level of microbial species and individual strains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 these changes with changes in the metabolic state of the gut and host physiology. Our analytics can integrate gene profiling and metabolomics data (the small molecules made by the microbiome) with genomic data (the collection of microbes defined by sequencing) to delineate microbiome biomarkers (the specific species or strains and functional pathways) that contribute to the state of disease or health. Further, we have established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analytics for pharmacokinetic and pharmacodynamic assessments of microbiome therapeutics. Additionally, leveraging all of these data we have curated and continue to build a database that links and associates: (i) functional properties of microbial species/strains, (ii) functional pathways in hosts that can be modulated by the microbiome, (iii) the association of functional pathways to disease, and (iv) the association of existing non-microbiome drugs to the functional pathways. This continually growing database can be mined to inform drug design and disease area and patient population prioritization.</w:t>
      </w:r>
    </w:p>
    <w:p>
      <w:pPr>
        <w:spacing w:after="0" w:line="8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proprietary strain library of bacterial isolates from healthy donors and patients enables us to translate microbiome biomarker insights into defined consortia of bacteria. The strain library contains bacterial species isolated from individuals that are either healthy or that have a disease. Seres has developed extensive isolation and cultivation know-how. The strain library contains a majority of the Human Microbiome Project’s “most wanted” and many novel species we do not believe are described in other databases or the scientific literature. The functional properties of strains are characterized using proprietary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human cell-based assays as well as full-genome sequences and genome functional annotation. Functional characterization of target strains includes properties such as how the bacteria interact with human colonic epithelial cells and human immune cells. We also seek to understand how these microbes improve the health of barrier cells in the gut and how they may impact immune responses.</w:t>
      </w:r>
    </w:p>
    <w:p>
      <w:pPr>
        <w:spacing w:after="0" w:line="79"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select bacteria from our library with specific predicted properties using novel algorithms for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functional design and optimization and grow the compositions in the lab to be tested both </w:t>
      </w:r>
      <w:r>
        <w:rPr>
          <w:rFonts w:ascii="Times New Roman" w:cs="Times New Roman" w:eastAsia="Times New Roman" w:hAnsi="Times New Roman"/>
          <w:sz w:val="18"/>
          <w:szCs w:val="18"/>
          <w:i w:val="1"/>
          <w:iCs w:val="1"/>
          <w:color w:val="auto"/>
        </w:rPr>
        <w:t>in vitro/ex vivo models</w:t>
      </w:r>
      <w:r>
        <w:rPr>
          <w:rFonts w:ascii="Times New Roman" w:cs="Times New Roman" w:eastAsia="Times New Roman" w:hAnsi="Times New Roman"/>
          <w:sz w:val="18"/>
          <w:szCs w:val="18"/>
          <w:color w:val="auto"/>
        </w:rPr>
        <w:t xml:space="preserve"> as delineated above and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models. Our animal models include conventional mice, germ-free mice, and “humanized avatar” mice that possess only bacteria derived from humans; these models were developed to minimize confounding variables presented by model organism microbes. Data from our </w:t>
      </w:r>
      <w:r>
        <w:rPr>
          <w:rFonts w:ascii="Times New Roman" w:cs="Times New Roman" w:eastAsia="Times New Roman" w:hAnsi="Times New Roman"/>
          <w:sz w:val="18"/>
          <w:szCs w:val="18"/>
          <w:i w:val="1"/>
          <w:iCs w:val="1"/>
          <w:color w:val="auto"/>
        </w:rPr>
        <w:t>in vitro/ex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screens are analyzed and used to optimize compositional designs; introducing new bacterial strains and optimizing existing strains until we identify a lead composition suitable for clinical testing.</w:t>
      </w:r>
    </w:p>
    <w:p>
      <w:pPr>
        <w:spacing w:after="0" w:line="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Finally, we manufacture the bacterial composition under current Good Manufacturing Practices, or cGMP, or similar foreign requirements, which are required by FDA and European regulators. We believe our unique manufacturing capacities position us to exploit the insights of our proprietary human data and the novel biology of species and strains that have not previously been used for therapeutics. We have optimized fermentation conditions to generate spores and enhance bacterial yields in anaerobic fermentation and have in-house capabilities to formulate both spores and live non-spore bacteria. Our manufacturing facility in Cambridge, Massachusetts was designed to be fit-for-purpose and is highly differentiated compared to the offerings of commercial contract research organizations. We have secured additional capacity, designed to our specifications, via contract manufacturing organizations, or CMOs, to ensure adequate supply for potential commercial products. We continue working to address quality control requirements for our microbiome therapeutic candidates using proprietary microbiological and sequence-based testing schemes, including high-throughput quantitative analytics to assess the identity, potency, and purity of the final product. We intend to continue to work with regulators to meet the requirements for product approval.</w:t>
      </w:r>
    </w:p>
    <w:p>
      <w:pPr>
        <w:spacing w:after="0" w:line="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Taken together, we believe our platform, spanning drug discovery, preclinical translation, and novel manufacturing and quality control approaches, has enabled a field leading pipeline across a range of therapeutics areas.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Disease Overview and Our Product Pipeline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believe our microbiome therapeutic candidates represent a novel approach with potential application across a broad range of human diseases. Our lead product candidate, SER-109, is designed to reduce further recurrence of CDI, a debilitating infection of the colon, in patients who have received antibiotic therapy for recurrent CDI by restructuring the gastrointestinal microbiome and modulating the metabolic landscape to address CDI. If approved by the FDA, we believe SER-109 will be a first-in-field oral microbiome drug. Building upon SER-109, we are developing novel microbiome therapeutics, such as SER-155, to specifically target infections and antimicrobial resistance. SER-155, a microbiome therapeutic candidate consisting of a consortium of cultivated bacteria, is designed to reduce incidences of gastrointestinal infections, bloodstream infections and GvHD in patients receiving allo-HSCT. We are progressing additional preclinical stage programs to evaluate how microbiome therapeutics may reduce incidence of infection in indications such as cancer neutropenia, chronic liver disease, solid organ transplant, and antimicrobial resistant infections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ind w:right="20"/>
        <w:spacing w:after="0" w:line="261" w:lineRule="auto"/>
        <w:rPr>
          <w:sz w:val="20"/>
          <w:szCs w:val="20"/>
          <w:color w:val="auto"/>
        </w:rPr>
      </w:pPr>
      <w:r>
        <w:rPr>
          <w:rFonts w:ascii="Times New Roman" w:cs="Times New Roman" w:eastAsia="Times New Roman" w:hAnsi="Times New Roman"/>
          <w:sz w:val="18"/>
          <w:szCs w:val="18"/>
          <w:color w:val="auto"/>
        </w:rPr>
        <w:t>more broadly in settings of high-risk such as ICUs. We are also continuing research activities in UC, including evaluating the potential to utilize biomarker-based patient selection and stratification for future studies. In addition, we continue to leverage microbiome pharmacokinetic and pharmacodynamic data from across our clinical and preclinical portfolios, using our reverse translational microbiome therapeutic development platform to conduct research on various indications, including inflammatory and immune diseases, cancer, and metabolic diseases.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CDI Overview and SER-109</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Clostridioides difficile Infection</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 difficile </w:t>
      </w:r>
      <w:r>
        <w:rPr>
          <w:rFonts w:ascii="Times New Roman" w:cs="Times New Roman" w:eastAsia="Times New Roman" w:hAnsi="Times New Roman"/>
          <w:sz w:val="18"/>
          <w:szCs w:val="18"/>
          <w:color w:val="auto"/>
        </w:rPr>
        <w:t>is a Gram-positive, toxin-producing, spore forming bacterium that may cause debilitating diarrhea in infected individuals, but can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lead to more severe outcomes, such as inflammation of the colon, or colitis, toxic megacolon and death.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bacteria express toxins that disrupt the structural architecture of cells causing leakage of fluids through the gastrointestinal, or GI, epithelium. The cells disrupted by these toxins eventually undergo apoptosis and die, disrupting the epithelial barrier and exposing the immune system to inflammatory stimuli, severe and persistent diarrhea and, in the most serious cases, death.</w:t>
      </w:r>
    </w:p>
    <w:p>
      <w:pPr>
        <w:spacing w:after="0" w:line="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CDI is most often associated with the prior use of antibiotics, although age and poor immune status are important risk factors as well. Antibiotics are thought to decrease colonization resistance to CDI by disrupting the microbiome. Since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spores are able to survive for long periods of time outside the body, and because healthcare settings are often sites of significant antibiotic use, CDI is a leading cause of healthcare-associated infections in the United States. CDI is also a cause of morbidity and mortality among hospitalized cancer patients and bone marrow transplant patients as their immune systems are suppressed by cytotoxic drugs, which inhibit or prevent the functioning of cells, and they may be heavily treated with antibiotics to prevent or treat infections. More recently, the rise of community-acquired CDI has been recognized as a growing problem.</w:t>
      </w:r>
    </w:p>
    <w:p>
      <w:pPr>
        <w:spacing w:after="0" w:line="7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Centers for Disease Control and Prevention, or CDC, has identified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as one of the top three most urgent antibiotic-resistant bacterial threats in the United States. It is the most common cause of hospital acquired infection in the United States, having overtaken MRSA. CDI is responsible for the deaths of over 20,000 Americans each year. During 2023, it is estimated that there will be approximately 459,000 cases of primary CDI and 156,000 incidences of recurrent CDI within the United States. CDI is also costly to the healthcare system. According to a study published in Clinical Infectious Diseases, the economic burden of CDI in 2008 in U.S. acute care facilities alone was estimated to be as much as $4.8 billion. In addition, the average recurrent CDI treatment cost in the U.S. is estimated to be $34 thousand per patient, comprising mostly (88%) hospital-related costs (</w:t>
      </w:r>
      <w:r>
        <w:rPr>
          <w:rFonts w:ascii="Times New Roman" w:cs="Times New Roman" w:eastAsia="Times New Roman" w:hAnsi="Times New Roman"/>
          <w:sz w:val="18"/>
          <w:szCs w:val="18"/>
          <w:i w:val="1"/>
          <w:iCs w:val="1"/>
          <w:color w:val="auto"/>
        </w:rPr>
        <w:t>Rodrigues Infect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Hosp Epidemiol 2017</w:t>
      </w:r>
      <w:r>
        <w:rPr>
          <w:rFonts w:ascii="Times New Roman" w:cs="Times New Roman" w:eastAsia="Times New Roman" w:hAnsi="Times New Roman"/>
          <w:sz w:val="18"/>
          <w:szCs w:val="18"/>
          <w:color w:val="auto"/>
        </w:rPr>
        <w:t>). The national incidence of CDI remains high despite declining from 476,000 in 2011 to 462,000 in 2017 (Guh,</w:t>
      </w:r>
      <w:r>
        <w:rPr>
          <w:rFonts w:ascii="Times New Roman" w:cs="Times New Roman" w:eastAsia="Times New Roman" w:hAnsi="Times New Roman"/>
          <w:sz w:val="18"/>
          <w:szCs w:val="18"/>
          <w:i w:val="1"/>
          <w:iCs w:val="1"/>
          <w:color w:val="auto"/>
        </w:rPr>
        <w:t xml:space="preserve"> New England Journal of Medicine 2020</w:t>
      </w:r>
      <w:r>
        <w:rPr>
          <w:rFonts w:ascii="Times New Roman" w:cs="Times New Roman" w:eastAsia="Times New Roman" w:hAnsi="Times New Roman"/>
          <w:sz w:val="18"/>
          <w:szCs w:val="18"/>
          <w:color w:val="auto"/>
        </w:rPr>
        <w:t>). Further, according to a 2014 article in the</w:t>
      </w:r>
      <w:r>
        <w:rPr>
          <w:rFonts w:ascii="Times New Roman" w:cs="Times New Roman" w:eastAsia="Times New Roman" w:hAnsi="Times New Roman"/>
          <w:sz w:val="18"/>
          <w:szCs w:val="18"/>
          <w:i w:val="1"/>
          <w:iCs w:val="1"/>
          <w:color w:val="auto"/>
        </w:rPr>
        <w:t xml:space="preserve"> American Journal of Infection Control</w:t>
      </w:r>
      <w:r>
        <w:rPr>
          <w:rFonts w:ascii="Times New Roman" w:cs="Times New Roman" w:eastAsia="Times New Roman" w:hAnsi="Times New Roman"/>
          <w:sz w:val="18"/>
          <w:szCs w:val="18"/>
          <w:color w:val="auto"/>
        </w:rPr>
        <w:t>, from 2001 to 2010, incidence of CDI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1,000 patients discharged increased from 4.5 to 8.2 with an average hospital stay of eight days. Due to suboptimal approaches to treatment, patients with primary CDI have an approximate 20% - 25% change of recurrent infection increasing to greater than 40% after the first recurrence (</w:t>
      </w:r>
      <w:r>
        <w:rPr>
          <w:rFonts w:ascii="Times New Roman" w:cs="Times New Roman" w:eastAsia="Times New Roman" w:hAnsi="Times New Roman"/>
          <w:sz w:val="18"/>
          <w:szCs w:val="18"/>
          <w:i w:val="1"/>
          <w:iCs w:val="1"/>
          <w:color w:val="auto"/>
        </w:rPr>
        <w:t>Gerding, CID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2018; Lashner ACG 2020; Dubberke CID 2018</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Current and developing treatment alternatives and their limitations</w:t>
      </w:r>
    </w:p>
    <w:p>
      <w:pPr>
        <w:spacing w:after="0" w:line="117"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Antibiotics</w:t>
      </w:r>
      <w:r>
        <w:rPr>
          <w:rFonts w:ascii="Times New Roman" w:cs="Times New Roman" w:eastAsia="Times New Roman" w:hAnsi="Times New Roman"/>
          <w:sz w:val="18"/>
          <w:szCs w:val="18"/>
          <w:color w:val="auto"/>
        </w:rPr>
        <w:t>. According to the Infectious Disease Society of America, or IDSA, guidelines, the current standard of care for primary CDI is to treat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antibiotics, such as fidaxomicin or vancomycin. Fidaxomicin is recommended to treat primary CDI, it does not have a label claim to reduce or prevent CDI recurrence. No antibiotic therapeutics are currently approved for treatment of recurrent CDI.</w:t>
      </w:r>
    </w:p>
    <w:p>
      <w:pPr>
        <w:spacing w:after="0" w:line="65" w:lineRule="exact"/>
        <w:rPr>
          <w:sz w:val="20"/>
          <w:szCs w:val="20"/>
          <w:color w:val="auto"/>
        </w:rPr>
      </w:pPr>
    </w:p>
    <w:p>
      <w:pPr>
        <w:jc w:val="both"/>
        <w:ind w:right="2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Recurrent CDI, defined as the presence of diarrhea and a positive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stool assay within two to eight weeks following the initial episode, is not well addressed by any of the available antibiotics. The risk of recurrent CDI increases to greater than 40% after the first recurrence. In extreme cases, patients may be treated continuously for years with vancomycin.</w:t>
      </w:r>
    </w:p>
    <w:p>
      <w:pPr>
        <w:spacing w:after="0" w:line="6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Antibiotics have two major limitations: they have no effect on the spores that germinate in a disrupted microbiome and their use appears to exacerbate microbiome disruption, resulting in increased risk of future CDI. Research in animal models has shown that antibiotic use not only eliminates many healthy bacteria in the GI tract, but also leads to the release of nutrients that facilitate the growth of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Antibiotics have also been shown to change the ratio of primary versus secondary bile acids in the colon by killing bacteria required to metabolize bile acids. This shift to a predominance of primary bile acids further facilitates the growth of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as it requires primary bile acids for germination of its spores. As a result, antibiotic use may induce a lasting microbiome disruption that makes it possible for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to colonize a person and then cause, or further perpetuate, disease.</w:t>
      </w:r>
    </w:p>
    <w:p>
      <w:pPr>
        <w:spacing w:after="0" w:line="7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Fecal microbiota transplantation. </w:t>
      </w:r>
      <w:r>
        <w:rPr>
          <w:rFonts w:ascii="Times New Roman" w:cs="Times New Roman" w:eastAsia="Times New Roman" w:hAnsi="Times New Roman"/>
          <w:sz w:val="18"/>
          <w:szCs w:val="18"/>
          <w:color w:val="auto"/>
        </w:rPr>
        <w:t>FMT, also known as a stool transplantation, is a procedure during which donated stool, including fecal microbes,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typically instilled via colonoscopy into a patient with recurrent CDI. FMT presents several challenges for effective treatment of the disease. FMT has the potential to transmit infectious or allergenic agents between hosts, involves the transmission of hundreds of unknown strains of bacteria, fungi, viruses and potentially parasites from donor to subject, and is difficult to perform on a mass scale. In November 2019 the FDA held a public hearing to obtain input on the use of FMT to treat Clostridioides difficile infection not responsive to standard therapies. Presentations were made by the academic community and development companies regarding the current and future use of FMT. In January, 2020, we submitted comments to the docket for the meeting that recommended: 1) increased scrutiny and regulation of unapproved, commercially available FMT that does not comply with IND requirements; 2) implementation of guidance for establishing safety of source materials for all microbiome products; and 3) safety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ind w:right="180"/>
        <w:spacing w:after="0" w:line="282" w:lineRule="auto"/>
        <w:rPr>
          <w:sz w:val="20"/>
          <w:szCs w:val="20"/>
          <w:color w:val="auto"/>
        </w:rPr>
      </w:pPr>
      <w:r>
        <w:rPr>
          <w:rFonts w:ascii="Times New Roman" w:cs="Times New Roman" w:eastAsia="Times New Roman" w:hAnsi="Times New Roman"/>
          <w:sz w:val="18"/>
          <w:szCs w:val="18"/>
          <w:color w:val="auto"/>
        </w:rPr>
        <w:t>efficacy of all microbiome products to reduce recurrent CDI must be based on adequate and well controlled clinical trials including accurate assurance of diagnosis of the disease state – specifically toxin testing.</w:t>
      </w:r>
    </w:p>
    <w:p>
      <w:pPr>
        <w:spacing w:after="0" w:line="5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Fecal microbiota therapy</w:t>
      </w:r>
      <w:r>
        <w:rPr>
          <w:rFonts w:ascii="Times New Roman" w:cs="Times New Roman" w:eastAsia="Times New Roman" w:hAnsi="Times New Roman"/>
          <w:sz w:val="18"/>
          <w:szCs w:val="18"/>
          <w:color w:val="auto"/>
        </w:rPr>
        <w:t>. In November 2022, the FDA approved Rebyota, the first fecal microbiota product approved by the FDA,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prevention of recurrence of CDI in individuals 18 years of age and older following antibiotic treatment for recurrent CDI. Rebyota is administered rectally and is prepared from stool sourced from qualified donors. The stool is tested for a panel of transmissible pathogens. We believe our CMC process is differentiated by additional processes to inactivate and clear potential adventitious agents to help ensure product safety.</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Antibodies. </w:t>
      </w:r>
      <w:r>
        <w:rPr>
          <w:rFonts w:ascii="Times New Roman" w:cs="Times New Roman" w:eastAsia="Times New Roman" w:hAnsi="Times New Roman"/>
          <w:sz w:val="18"/>
          <w:szCs w:val="18"/>
          <w:color w:val="auto"/>
        </w:rPr>
        <w:t>Bezlotoxumab a fully human monoclonal antibody directed against</w:t>
      </w:r>
      <w:r>
        <w:rPr>
          <w:rFonts w:ascii="Times New Roman" w:cs="Times New Roman" w:eastAsia="Times New Roman" w:hAnsi="Times New Roman"/>
          <w:sz w:val="18"/>
          <w:szCs w:val="18"/>
          <w:i w:val="1"/>
          <w:iCs w:val="1"/>
          <w:color w:val="auto"/>
        </w:rPr>
        <w:t xml:space="preserve"> C. difficile </w:t>
      </w:r>
      <w:r>
        <w:rPr>
          <w:rFonts w:ascii="Times New Roman" w:cs="Times New Roman" w:eastAsia="Times New Roman" w:hAnsi="Times New Roman"/>
          <w:sz w:val="18"/>
          <w:szCs w:val="18"/>
          <w:color w:val="auto"/>
        </w:rPr>
        <w:t>toxin B was approved in the United States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and in Europe in 2017 for the treatment of CDI. According to Phase 3 studies, the antibody demonstrated 10% absolute risk reduction in preventing recurrence of CDI. Antibodies bind toxins to alleviate the symptoms of CDI, but they do not address the underlying disruption of the microbiome, which we believe is the cause of recurrent CDI. Bezlotoxumab requires intravenous infusion.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SER-109</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SER-109 is an oral microbiome therapeutic candidate consisting of a consortium of purified Firmicutes spores. The SER-109 manufacturing purification process is designed to remove unwanted microbes in an effort to reduce the risk of pathogen transmission beyond donor screening alone. SER-109 is designed to reduce recurrent CDI in patients with a history of CDI by modulating the microbiome to a state that resists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germination and growth. SER-109, if approved, is intended to treat individuals with recurrent CDI, a patient population that is estimated to include approximately 156,000 cases in the United States during 2023.</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1b/2 clinical study</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Phase 1b/2 clinical study was an open-label, single arm, descending-dose study that enrolled 30 patients with recurrent CDI. All enrolled patients received standard-of-care antibiotic treatment, followed by oral administration of SER-109. Of the 30 study patients, 26 (87%) achieved the primary endpoint of absence of CDI (defined in this study as more than three unformed bowel movements in a 24-hour period with laboratory confirmation of a positive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stool test) up to eight weeks following dosing. Three of the four patients who did not meet the primary endpoint were determined by their primary investigator to be recovering from CDI, and all symptoms resolved without further therapeutic intervention or antibiotics. In total, 29 of 30 patients (97%) achieved the clinical cure rate, which we defined as the absence of CDI requiring antibiotic treatment during the eight-week period after SER-109 dosing. SER-109 was well tolerated in the study, with the most common adverse events being mild to moderate gastrointestinal symptoms. No drug related serious adverse events were observed.</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2 clinical study</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Phase 2 clinical study was a randomized, double-blinded, placebo-controlled, parallel-group two arm trial that enrolled a total of 89 patients with a history of multiply-recurrent CDI, defined as 3 or more CDI episodes within 9 months. SER-109 was administered orally following the completion of antibiotic treatment for CDI. The predefined study primary efficacy endpoint was the relative risk of CDI recurrence up to 8 weeks after treatment with SER-109 compared to treatment with placebo. CDI recurrence was defined as diarrhea for 2 or more consecutive days, a positive CDI test, and the requirement for antibiotic treatment. Based on 8-week data, CDI recurrence occurred in 44% of subjects (26 of 59) who received SER-109, compared to 53% of subjects (16 of 30) who received placebo. The relative risk of CDI recurrence for the placebo population compared to the SER-109 population was not statistically significant. The most commonly reported AEs in both the SER-109 and placebo arms were in the GI category, and were diarrhea, abdominal pain, flatulence, and nausea. No drug-related SAEs were observed.</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Analysis of Phase 1b/2 and Phase 2 clinical study results</w:t>
      </w:r>
    </w:p>
    <w:p>
      <w:pPr>
        <w:spacing w:after="0" w:line="119"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 xml:space="preserve">In our Phase 2 clinical study, the study’s primary endpoint of reducing the relative risk of CDI recurrence at up to 8 weeks after treatment was not achieved. In order to understand the difference in outcome between Phase 1b/2 and Phase 2 clinical studies, we conducted an analysis of the available clinical, microbiome and CMC data. We identified key factors that potentially explain the Phase 2 clinical study results, including issues related to both the accurate diagnosis of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recurrent infection, and potential suboptimal dosing of subjects in the trial.</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key factors include:</w:t>
      </w:r>
    </w:p>
    <w:p>
      <w:pPr>
        <w:spacing w:after="0" w:line="115" w:lineRule="exact"/>
        <w:rPr>
          <w:sz w:val="20"/>
          <w:szCs w:val="20"/>
          <w:color w:val="auto"/>
        </w:rPr>
      </w:pPr>
    </w:p>
    <w:p>
      <w:pPr>
        <w:ind w:left="1020" w:right="44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diagnostic test for entry may not have differentiated subjects with active CDI disease from those with other disease but who had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difficile </w:t>
      </w:r>
      <w:r>
        <w:rPr>
          <w:rFonts w:ascii="Times New Roman" w:cs="Times New Roman" w:eastAsia="Times New Roman" w:hAnsi="Times New Roman"/>
          <w:sz w:val="18"/>
          <w:szCs w:val="18"/>
          <w:color w:val="auto"/>
        </w:rPr>
        <w:t>carriage (e.g., irritable bowel syndrome);</w:t>
      </w:r>
    </w:p>
    <w:p>
      <w:pPr>
        <w:spacing w:after="0" w:line="52"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diagnostic test for CDI recurrence during the study (the primary endpoint) overestimated recurrences, as PCR was the most common test performed;</w:t>
      </w:r>
    </w:p>
    <w:p>
      <w:pPr>
        <w:spacing w:after="0" w:line="53"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safety profile of SER-109, which may include diarrhea in the first week following dosing, led to SER-109 subjects presenting for evaluation of recurrence at a time when they were likely to be colonized with </w:t>
      </w:r>
      <w:r>
        <w:rPr>
          <w:rFonts w:ascii="Times New Roman" w:cs="Times New Roman" w:eastAsia="Times New Roman" w:hAnsi="Times New Roman"/>
          <w:sz w:val="17"/>
          <w:szCs w:val="17"/>
          <w:i w:val="1"/>
          <w:iCs w:val="1"/>
          <w:color w:val="auto"/>
        </w:rPr>
        <w:t>C. difficile</w:t>
      </w:r>
      <w:r>
        <w:rPr>
          <w:rFonts w:ascii="Times New Roman" w:cs="Times New Roman" w:eastAsia="Times New Roman" w:hAnsi="Times New Roman"/>
          <w:sz w:val="17"/>
          <w:szCs w:val="17"/>
          <w:color w:val="auto"/>
        </w:rPr>
        <w:t xml:space="preserve"> leading to mistaken diagnosis of recurrent CDI; and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 w:name="page10"/>
    <w:bookmarkEnd w:id="9"/>
    <w:p>
      <w:pPr>
        <w:ind w:left="1020" w:right="4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dose and dosing regimen used in the study may not have been optimal in the Phase 2 clinical study based upon an assessment of the microbiome response using whole metagenomics shotgun sequencing.</w:t>
      </w:r>
    </w:p>
    <w:p>
      <w:pPr>
        <w:spacing w:after="0" w:line="5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From our reanalysis of the phase 1b/2 and 2 trials, we learned that there is a dose-dependent response governing early SER-109 pharmacokinetics, with increased engraftment associated with successful CDI resolution through 8 weeks. In the Phase 2 trial, SER-109 was dosed at 1 × 10</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 xml:space="preserve"> spores based on equivalent clinical outcomes and week 8 engraftment measures observed between the phase 1 dosing cohorts. However, our integrated analysis of both trials revealed that (1) engraftment kinetics at week 1 were of greater importance for reducing rCDI than later time points, (2) week 1 engraftment was highly variable in Phase 2 subjects, and (3) rapid engraftment was dependent on dose, which was clearly suboptimal in the Phase 2 trial (McGovern, 2020; Young, 2020). We hypothesized that rapid engraftment of a microbiome therapeutic may be critical to efficacy since CDI recurrence usually occurs within 1–3 weeks of antibiotic discontinuation, the “window of vulnerability”; consistent with this hypothesis, in the Phase 2 trial, greater engraftment of SER-109 species at week 1 was correlated with reduced CDI rates. This correlation was not previously appreciated due to the use of lower resolution 16S rRNA gene amplicon–based methods used in the Phase 1b/2 study for determining drug engraftment (Khanna, 2016).</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3 clinical study design</w:t>
      </w:r>
    </w:p>
    <w:p>
      <w:pPr>
        <w:spacing w:after="0" w:line="11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the Phase 3 ECOSPOR III clinical study of SER-109, patients with multiply recurrent CDI were randomized 1:1 between SER-109 and placebo. Diagnosis of CDI for both study entry and for endpoint analysis utilized a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cytotoxin assay, compared to the Phase 2 clinical study, where most patients were diagnosed by PCR. Patients in the SER-109 arm received a total SER-109 dose, administered over three days, approximately 10-fold higher than the dose used in the Phase 2 clinical study to drive rapid engraftment of SER-109 bacteria in treated patients. The study evaluated patients for 24 weeks and the primary endpoint was to compare the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recurrence rate in subjects who receive SER-109 verses placebo at up to eight weeks after dosing. CDI recurrence is defined as diarrhea (&gt;3 unformed bowel movements/day for 2 or more consecutive days), a positive CDI toxin test, and the decision by the primary investigator that antibiotic treatment is warranted. The study was conducted at approximately 100 sites in the United States and Canada.</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3 clinical study results</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study enrolled 182 patients with multiply recurrent CDI. ECOSPOR III data demonstrated that the study achieved its primary endpoint where SER-109 was superior to placebo in reducing CDI recurrence at eight weeks, reflecting a recurrence-free rate of approximately 88% at eight weeks post-treatment. SER-109 resulted in a 27% absolute reduction of recurrence of CDI compared to placebo at eight weeks post-treatment, which is a relative risk reduction of 68%. The number-needed-to treat was 3.6. The rate of recurrence at 12 weeks in the SER-109 arm was 18.0%, compared to a rate of 46.2% in the placebo arm, representing an absolute risk reduction of 28% (relative risk 0.40; 95% CI 0.24-0.65; p &lt;0.001 and p&lt; 0.002 for the test sequence), and thereby consistent with the results seen at eight weeks. Results across stratifications of age and antibiotics remained similar. The study’s efficacy results related to the primary endpoint from all analyses exceeded the statistical threshold previously provided in consultation with the FDA that could allow this single clinical study to fulfill efficacy requirements for a BLA. The efficacy results remained durable through 24 weeks of follow-up, as SER-109 was observed to significantly reduced recurrence rates compared to placebo over 24 weeks, 21.3% vs. 47.3%, respectively. These data were published in the </w:t>
      </w:r>
      <w:r>
        <w:rPr>
          <w:rFonts w:ascii="Times New Roman" w:cs="Times New Roman" w:eastAsia="Times New Roman" w:hAnsi="Times New Roman"/>
          <w:sz w:val="18"/>
          <w:szCs w:val="18"/>
          <w:i w:val="1"/>
          <w:iCs w:val="1"/>
          <w:color w:val="auto"/>
        </w:rPr>
        <w:t xml:space="preserve">New England Journal of Medicine </w:t>
      </w:r>
      <w:r>
        <w:rPr>
          <w:rFonts w:ascii="Times New Roman" w:cs="Times New Roman" w:eastAsia="Times New Roman" w:hAnsi="Times New Roman"/>
          <w:sz w:val="18"/>
          <w:szCs w:val="18"/>
          <w:color w:val="auto"/>
        </w:rPr>
        <w:t>in January 2022 and in the</w:t>
      </w:r>
      <w:r>
        <w:rPr>
          <w:rFonts w:ascii="Times New Roman" w:cs="Times New Roman" w:eastAsia="Times New Roman" w:hAnsi="Times New Roman"/>
          <w:sz w:val="18"/>
          <w:szCs w:val="18"/>
          <w:i w:val="1"/>
          <w:iCs w:val="1"/>
          <w:color w:val="auto"/>
        </w:rPr>
        <w:t xml:space="preserve"> Journal of the American Medical Association </w:t>
      </w:r>
      <w:r>
        <w:rPr>
          <w:rFonts w:ascii="Times New Roman" w:cs="Times New Roman" w:eastAsia="Times New Roman" w:hAnsi="Times New Roman"/>
          <w:sz w:val="18"/>
          <w:szCs w:val="18"/>
          <w:color w:val="auto"/>
        </w:rPr>
        <w:t>in October 2022.</w:t>
      </w:r>
    </w:p>
    <w:p>
      <w:pPr>
        <w:spacing w:after="0" w:line="8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believe the SER-109 safety results across completed studies have been favorable, with a well-tolerated adverse event profile. Overall incidence of patients who experienced treatment-emergent adverse events, or TEAEs, was 92.2% for SER-109 and 91.3% for placebo. SER-109 had no serious treatment-related adverse events. The most commonly observed TEAEs were gastrointestinal disorders, the majority of which were mild to moderate in nature.</w:t>
      </w:r>
    </w:p>
    <w:p>
      <w:pPr>
        <w:spacing w:after="0" w:line="72"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The study also examined the pharmacokinetics (i.e., drug bacterial species engraftment) and pharmacodynamics (i.e., metabolic changes) following SER-109 dosing. The data demonstrate that SER-109 administration resulted in the rapid and durable engraftment of SER-109-derived bacterial species into the gastrointestinal tract as soon as one week following dosing, and that this engraftment was maintained at subsequent timepoints evaluated, including at the eight-week timepoint corresponding to the study’s primary endpoint and the 24-week safety follow-up timepoint. The presence of SER-109 bacterial species was significantly greater (p&lt;0.001) in SER-109 treated patients than in placebo patients at all timepoints evaluated. Significant differences were maintained in predefined subpopulation analyses of age and antibiotic use. Seres utilized advanced microbiome biomarker analytics and proprietary genomic reference datasets to identify, at a resolution of bacterial species, the gastrointestinal microbiome signatures associated with SER-109 engraftment.</w:t>
      </w:r>
    </w:p>
    <w:p>
      <w:pPr>
        <w:spacing w:after="0" w:line="6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SER-109 administration also resulted in modulation of the gastrointestinal metabolic landscape. Notably, data demonstrated a significant decrease in primary bile acids (p=0.038) and an increase in secondary bile acids (p&lt;0.001) by one-week post-dosing; significant differences were maintained through week eight for secondary bile acids. Notably, SER-109 subjects had less variance across subjects in bile acid response than placebo subjects. Observations for both primary and secondary bile acids were maintained in predefined subpopulation analyses of age and antibiotic use. All microbiome analyses were conducted according to the treatment subjects actually received. Published research as well as preclinical studies have demonstrated that primary bile acids support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germination of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spores that are the source of disease recurrence. In contrast, secondary bile acids have been reported to inhibit germination and the growth of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(Theriot and Young, Annu. Rev. Microbiol. 2015).</w:t>
      </w:r>
    </w:p>
    <w:p>
      <w:pPr>
        <w:spacing w:after="0" w:line="5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November 2021, we initiated a SER-109 expanded access program across the United States. The program is designed to enable eligible adults with recurrent CDI to obtain access to SER-109 prior to a potential FDA product approval.</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June 2022, we announced confirmatory results from the ECOSPOR IV open-label study. The overall safety results observed in ECOSPOR IV through 24 weeks showed that SER-109 was well tolerated, consistent with the safety results observed in the prior completed Phase 3 study, ECOSPOR III. In ECOSPOR IV, subjects treated with SER-109 had a recurrence rate of 8.7% at eight weeks, which represented a 91.3% recurrence-free rate, consistent with the 88% rate observed in the ECOSPOR III study. Subjects with a first recurrence of CDI (29% of subjects in the ECOSPOR IV study) had a CDI recurrence rate of 6.5%, and subjects with ≥ two prior CDI episodes (ECOSPOR III inclusion criteria) had a CDI recurrence rate of 9.7% at eight weeks. At 24 weeks, 13.7% of all subjects treated with SER-109 had a recurrence of CDI. In addition to data from the ECOSPOR III study, the ECOSPOR IV data was included as part of our BLA submission to the FDA.</w:t>
      </w:r>
    </w:p>
    <w:p>
      <w:pPr>
        <w:spacing w:after="0" w:line="81"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In October 2022, the FDA accepted for review our BLA for SER-109. The BLA has been granted Priority Review designation with a PDUFA target action date of April 26, 2023. If approved by the FDA, we plan to launch SER-109 with our collaborator, Nestlé Health Science, soon after approval.</w:t>
      </w:r>
    </w:p>
    <w:p>
      <w:pPr>
        <w:spacing w:after="0" w:line="32" w:lineRule="exact"/>
        <w:rPr>
          <w:sz w:val="20"/>
          <w:szCs w:val="20"/>
          <w:color w:val="auto"/>
        </w:rPr>
      </w:pPr>
    </w:p>
    <w:p>
      <w:pPr>
        <w:ind w:left="520" w:right="100"/>
        <w:spacing w:after="0" w:line="375" w:lineRule="auto"/>
        <w:rPr>
          <w:sz w:val="20"/>
          <w:szCs w:val="20"/>
          <w:color w:val="auto"/>
        </w:rPr>
      </w:pPr>
      <w:r>
        <w:rPr>
          <w:rFonts w:ascii="Times New Roman" w:cs="Times New Roman" w:eastAsia="Times New Roman" w:hAnsi="Times New Roman"/>
          <w:sz w:val="18"/>
          <w:szCs w:val="18"/>
          <w:color w:val="auto"/>
        </w:rPr>
        <w:t xml:space="preserve">In addition, we plan on initiating a Phase 3 trial in the European Union, or EU, in order to expand access to the EU market upon potential approval. </w:t>
      </w:r>
      <w:r>
        <w:rPr>
          <w:rFonts w:ascii="Times New Roman" w:cs="Times New Roman" w:eastAsia="Times New Roman" w:hAnsi="Times New Roman"/>
          <w:sz w:val="18"/>
          <w:szCs w:val="18"/>
          <w:i w:val="1"/>
          <w:iCs w:val="1"/>
          <w:color w:val="auto"/>
        </w:rPr>
        <w:t>Sales and Marketing</w:t>
      </w:r>
    </w:p>
    <w:p>
      <w:pPr>
        <w:spacing w:after="0" w:line="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July 2021, we entered into an agreement with NHSc Pharma Partners, succeeded by NHSc Rx License GmbH, or, together with Société des Produits Nestlé S.A, Nestlé, to jointly commercialize SER-109 in the United States and Canada. Under the terms of the agreement, Nestlé will assume the role of lead commercialization party. We received license payments of $175 million up front, and will receive an additional $125 million upon FDA approval of SER-109. The agreement also includes sales target milestones which, if achieved, could total up to $225 million. We will be responsible for development and pre-commercialization costs in the United States. Upon commercialization, we will be entitled to share equally in its commercial profits and losses.</w:t>
      </w:r>
    </w:p>
    <w:p>
      <w:pPr>
        <w:spacing w:after="0" w:line="79"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This agreement represents a second strategic collaboration between the companies. Nestlé already has commercial rights to our investigational treatments for CDI and IBD outside of the United States and Canada, and with the July 2021 expansion, Nestlé became our global collaborator in SER-109.</w:t>
      </w:r>
    </w:p>
    <w:p>
      <w:pPr>
        <w:spacing w:after="0" w:line="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If SER-109 is approved in the United States and Canada, we believe it can be commercialized with a focused specialty sales force that will target gastrointestinal and infectious disease physicians, which are the two primary groups of physicians who treat recurrent CDI patients. We have initiated commercial readiness activities that include: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market assessments, publication and presentation planning, stakeholder and advocacy relationship mapping, brand name selection, and initiation of payer and reimbursement strategic planning. We launched a disease education campaign in the fourth quarter of 2021 with an increasingly robust media plan as we approach potential commercial launch. In the second quarter of 2022, we deployed an experienced Nestlé payer team to conduct preapproval information exchange activities. To date, this team has engaged payers covering more than 150 million lives. In order to complement the current gastroenterology sales force of our commercialization collaborator, Nestlé Health Science, in the fourth quarter of 2022, a hospital selling team of twenty employees were hired to profile the top volume hospitals across the United States during the remainder of our prelaunch phase.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Infection Protection and SER-155</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the scientific and clinical data from our SER-109 program validate our novel approach of using microbiome therapeutics to decolonize pathogens, resulting in reduced rate of infections in medically compromised patients. Data from the SER-109 Phase 3 trial published in the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England Journal of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Journal of the American Medical Association </w:t>
      </w:r>
      <w:r>
        <w:rPr>
          <w:rFonts w:ascii="Times New Roman" w:cs="Times New Roman" w:eastAsia="Times New Roman" w:hAnsi="Times New Roman"/>
          <w:sz w:val="18"/>
          <w:szCs w:val="18"/>
          <w:color w:val="auto"/>
        </w:rPr>
        <w:t>show that microbiome therapeutics can restructure the gut microbiome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the gut metabolic landscape. Additional data show that SER-109 rapidly reduces the abundance of bacteria associated with common antibiotic resistance genes, or ARGs, and reduces ARG abundance in the gut. Collectively, these data demonstrate the potential for microbiome therapeutics to restore colonization resistance and ultimately to reduce infections and antimicrobial resistance. This Infection Protection approach may be replicable in protecting a range of medically compromised patients from infections seeded by the gut microbiome. It may also enable us to reduce antimicrobial resistant infections, which the World Health Organization declared as a top ten global public health threat facing humanity.</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evaluating SER-155 in a Phase 1b study in allo-HSCT recipients to reduce incidences of gastrointestinal infections, bloodstream infections and GvHD. We are also progressing additional preclinical stage programs to evaluate how microbiome therapeutics may reduce incidence of infection in indications such as cancer neutropenia, chronic liver disease, solid organ transplant, and antimicrobial resistant infections more broadly in settings of high-risk such as ICUs.</w:t>
      </w:r>
    </w:p>
    <w:p>
      <w:pPr>
        <w:spacing w:after="0" w:line="7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SER-155, an oral microbiome therapeutic candidate consisting of a consortium of cultivated bacteria, is designed to decrease infection and translocation of antibiotic resistant bacteria in the gastrointestinal tract and modulate host immune responses to decrease GvHD. The rationale for this program is based in part on published clinical evidence from our collaborators at Memorial Sloan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11" w:name="page12"/>
    <w:bookmarkEnd w:id="11"/>
    <w:p>
      <w:pPr>
        <w:ind w:right="100"/>
        <w:spacing w:after="0" w:line="254" w:lineRule="auto"/>
        <w:rPr>
          <w:sz w:val="20"/>
          <w:szCs w:val="20"/>
          <w:color w:val="auto"/>
        </w:rPr>
      </w:pPr>
      <w:r>
        <w:rPr>
          <w:rFonts w:ascii="Times New Roman" w:cs="Times New Roman" w:eastAsia="Times New Roman" w:hAnsi="Times New Roman"/>
          <w:sz w:val="18"/>
          <w:szCs w:val="18"/>
          <w:color w:val="auto"/>
        </w:rPr>
        <w:t>Kettering Cancer Center showing that allo-HSCT patients with decreased diversity of commensal microbes are significantly more likely to die due to infection and/or lethal GvHD. SER-155 was designed using our reverse translational microbiome therapeutics development platform to reduce incidences of gastrointestinal infections, bloodstream infections and GvHD in patients receiving allo-HSCT. The SER-155 Phase 1b study is designed to include approximately 70 patients in both an open-label and a randomized, double-blind, placebo-controlled cohort that will evaluate safety and tolerability before and after HSCT. Additionally, the engraftment of SER-155 bacteria (a measure of pharmacokinetics) and the efficacy of SER-155 in preventing infections and GvHD will be evaluated. In December 2022, the study’s Data and Safety Monitoring Board reviewed available clinical data for cohort 1 and cleared advancement to cohort 2. In February 2023, we announced the initiation of enrollment in cohort 2. We plan to announce initial safety and pharmacological data, including drug bacterial species engraftment from cohort 1, in May 2023. The study is being conducted at a number of leading cancer centers across the U.S.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Irritable Bowel Disease, Ulcerative Colitis, SER-287 and SER-301</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UC, a form of irritable bowel disease, or IBD, is a relapsing-remitting chronic inflammatory disorder affecting the mucosal surface of the colon, leading to episodes of bloody diarrhea, urgency and mucosal inflammation (Danese and Fiocchi, 2011), which generally begins in young adulthood and endures for life. The incidence of UC is rising worldwide, and the prevalence of the disease is highest in the United States, Canada, and Europe. In the United States alone, the prevalence of UC in adults is estimated to be 263 per 100,000, while in the pediatric population (age &lt;20 years), prevalence of the disease is estimated to be 33.9 per 100,000. (Kappelman et al., 2013). The severity, extent, and duration of disease are also risk factors for developing colon cancer, which occurs at a rate as high as 0.5-1.0% per year, an important complication given the young age at which the disease strikes. Patients with UC also experience increased risk of CDI and primary sclerosing cholangitis, compared to the general population.</w:t>
      </w:r>
    </w:p>
    <w:p>
      <w:pPr>
        <w:spacing w:after="0" w:line="8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Currently, patients with UC require life-long therapy. Current medical therapies for the treatment of UC suppress the immune system rather than reduce the triggers of immune activation. We believe there remains an unmet need for safer agents with novel non-immunosuppressive mechanisms of action. Moreover, alternative therapy is needed for patients with UC who experience frequent flares or are intolerant to the aminosalicylate class of medication or where there are safety concerns relating to the use of immunomodulator or steroid therapy.</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continue our research activities in IBD, including evaluating the potential to utilize biomarker-based patient selection and stratification in future clinical studies in UC. UC patient populations are generally heterogeneous in their disease manifestation and we believe biomarker-based strategies may enable targeting more homogeneous patient populations in future studies.</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July 2021, we announced topline results from the SER-287 Phase 2b study evaluating SER-287 in patients with mild-to-moderate UC, which did not meet its primary endpoint of improving clinical remission rates compared to placebo. Following the data readout, in December 2021, we completed preliminary microbiome drug pharmacology analyses that demonstrated the engraftment of SER-287 bacterial species, however, unlike the Phase 1b study, anticipated changes in disease-relevant metabolites post-administration with SER-287 in the Phase 2b study were not observed to the same extent across the patients treated in the Phase 1b study.</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have completed preliminary analysis of data from the first cohort of the SER-301 Phase 1b study evaluating SER-301 in patients with mild-to-moderate UC, which included 15 subjects. Evaluation of the first cohort data by an independent Data Safety Monitoring Board indicated that it would be safe to proceed to the placebo-controlled second cohort. While efficacy was not a defined endpoint in the first cohort, evaluation of clinical outcome data collected as part of the study indicated that no subjects in the first cohort achieved clinical remission as defined by the FDA using the Three-Component Modified Mayo Score after 10 weeks of treatment, though there were improvements in one or more individual components (endoscopic, stool frequency and rectal bleeding subscores) in some patients. SER-301 was optimized relative to SER-287 to incorporate bacterial strains that engrafted across the majority of patients in our previous trials, and strains that were associated with positive clinical outcomes and the modulation of key microbial-associated metabolites. In the Phase 1b study, strains in SER-301 were observed to engraft in subjects across the trial period, and based on the assessment of metabolomic data, SER-301 demonstrated pharmacological properties consistent with its design and further led to baseline-dependent modulation of the metabolic landscape in the gastrointestinal tract of patients treated. In April 2022, we announced our decision not to proceed with the planned SER-301 Phase 1b second study cohort. In aggregate, our clinical and preclinical data suggest that there are IBD patient populations that may be more amenable to microbiome therapeutic intervention, and we continue to conduct analyses of data from our UC clinical stage programs and conduct preclinical studies to inform next steps for further development in UC and IBD more broadly.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Donor-derived product candidates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SER-109 is a purified consortium of Firmicutes spores produced through a process of separation and purification from a natural human stool source, obtained from qualified, highly screened donors. The donor raw material is collected in a controlled setting, under a protocol that is designed to ensure that donors meet appropriate qualification criteria.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Donors are required to be in good health, and to possess a medical history that minimizes the risk of exposure to and transmission of an infectious disease. Donors are tested for infectious agents and screened for GI and other relevant health factors. Donors are monitored for health status changes on an ongoing basis throughout the donation period. At periodic intervals, and at the end of the donation period, the qualification assessment is repeated to help ensure the donor has maintained their health status. After successful completion of a periodic or exit screening, donations are released for use in manufacturing.</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initially process the donor material in our in-house Cambridge manufacturing facility, and then transfer the process intermediate to our partner CMO, GenIbet BioPharmaceuticals, SA, or GenIbet (acquired by Recipharm in February 2022), to further isolate and concentrate SER-109 for finishing to the oral capsule dosage form. The manufacturing process includes processes to inactivate and clear potential adventitious agents, to help ensure product safety. The purified drug substance is tested for identity, potency and purity, and subsequently formulated into drug product where it is again tested for identity, potency, purity, and pharmaceutical properties. The final drug product oral dosage form is four capsules daily for 3-days. Steps are specifically built into the process to remove and kill non-spore microbes. We have conducted validation studies demonstrating the ability of the process to inactivate and clear any potential extraneous pathogens of concern, and we believe we have sufficient data from these studies to support product registration. If approved, we anticipate that we will be able to produce a sufficient commercial supply of SER-109 to meet estimated demand in the United States using donations from a modest number of donors.</w:t>
      </w:r>
    </w:p>
    <w:p>
      <w:pPr>
        <w:spacing w:after="0" w:line="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Commercial product supply for the initial phase of U.S. commercial launch is being produced at our Cambridge manufacturing facility and further processed at GenIbet. In November 2021, we entered into a collaboration with Bacthera to manufacture SER-109 to expand upon our existing capabilities for commercial product supply to meet anticipated demand in later years. Under the terms of the agreement, Bacthera is constructing a dedicated full-scale production suite for us at Bacthera’s Microbiome Center of Excellence in Visp, Switzerland, and is intended to provide manufacturing services for SER-109.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Cultivated product candidates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production of live bacterial products is highly specialized. Owing to their hardiness and environmental persistence, production of aerobic and anaerobic vegetative bacteria, as well as spore-forming organisms, poses unique considerations for product, personnel, and facility design, operation, quality assurance and quality control. Manufacturing activities with spores are subject to specialized regulations. We expect that a typical commercial fermentation will yield on the order of hundreds or thousands of doses per liter depending on the product and its composition. Additionally, because a given total dose contains multiple strains, the per-strain requirements for production may be even lower. As a result, we believe the relatively high productivity of our manufacturing processes relative to the dose level will enable production scales for both clinical and commercial supply to be modest by traditional industry standards for biologics and vaccine manufacturing.</w:t>
      </w:r>
    </w:p>
    <w:p>
      <w:pPr>
        <w:spacing w:after="0" w:line="8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have developed supply chains for producing and testing materials to ensure the availability of future clinical trial supplies. Our development processes are designed to ensure that the raw materials, process technologies and analytical tests we use are scalable and transferable to a cGMP manufacturing environment. These include the following core elements:</w:t>
      </w:r>
    </w:p>
    <w:p>
      <w:pPr>
        <w:spacing w:after="0" w:line="66" w:lineRule="exact"/>
        <w:rPr>
          <w:sz w:val="20"/>
          <w:szCs w:val="20"/>
          <w:color w:val="auto"/>
        </w:rPr>
      </w:pPr>
    </w:p>
    <w:p>
      <w:pPr>
        <w:ind w:left="1020" w:hanging="503"/>
        <w:spacing w:after="0" w:line="25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Fermentation. </w:t>
      </w:r>
      <w:r>
        <w:rPr>
          <w:rFonts w:ascii="Times New Roman" w:cs="Times New Roman" w:eastAsia="Times New Roman" w:hAnsi="Times New Roman"/>
          <w:sz w:val="18"/>
          <w:szCs w:val="18"/>
          <w:color w:val="auto"/>
        </w:rPr>
        <w:t>We are using microscale screening to optimize culture of the bacterial strains of interest in our current and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fermentation-based product candidates. These screens are designed to identify the fermentation platform that is best-suited for optimization and scale-up of the strains. Small-scale fermentation systems (0.1 L to 50 L) enable the optimization of a wide variety of culture conditions and have been demonstrated to be scalable to larger fermentation processes and enable technology transfer to clinical and final manufacturing sites. We employ platform fermentation processes as starting points for cGMP production processes and develop strain specific processes as required. To develop master cell banks, working cell banks, and bulk drug substance for commercial product, we are using bacterial strains that each originate from a unique research cell bank precursor, so we expect the research cell banks and final drug product should be genetically and physiologically similar.</w:t>
      </w:r>
    </w:p>
    <w:p>
      <w:pPr>
        <w:spacing w:after="0" w:line="76"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Purification. </w:t>
      </w:r>
      <w:r>
        <w:rPr>
          <w:rFonts w:ascii="Times New Roman" w:cs="Times New Roman" w:eastAsia="Times New Roman" w:hAnsi="Times New Roman"/>
          <w:sz w:val="18"/>
          <w:szCs w:val="18"/>
          <w:color w:val="auto"/>
        </w:rPr>
        <w:t>Similar to fermentation, we believe small-scale purification operations are available for assessing large-scale cGMP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of live cells, and to quickly assess downstream process yield, quality and robustness. Our products in development are predominantly oral dosage forms containing live bacteria, hence purification is typically less complex than for parenteral biologics such as monoclonal antibodies that must separate highly similar components from the culturing process. Separation of viable microbes from soluble fermentation broth components is typically much simpler by comparison.</w:t>
      </w:r>
    </w:p>
    <w:p>
      <w:pPr>
        <w:spacing w:after="0" w:line="75" w:lineRule="exact"/>
        <w:rPr>
          <w:rFonts w:ascii="Times New Roman" w:cs="Times New Roman" w:eastAsia="Times New Roman" w:hAnsi="Times New Roman"/>
          <w:sz w:val="18"/>
          <w:szCs w:val="18"/>
          <w:color w:val="auto"/>
        </w:rPr>
      </w:pPr>
    </w:p>
    <w:p>
      <w:pPr>
        <w:ind w:left="1020" w:right="80" w:hanging="503"/>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Formulation. </w:t>
      </w:r>
      <w:r>
        <w:rPr>
          <w:rFonts w:ascii="Times New Roman" w:cs="Times New Roman" w:eastAsia="Times New Roman" w:hAnsi="Times New Roman"/>
          <w:sz w:val="18"/>
          <w:szCs w:val="18"/>
          <w:color w:val="auto"/>
        </w:rPr>
        <w:t>Our microbiome therapeutic candidates are combinations of bacteria and can be administered by a number of methods and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routes. Where possible, our product formulation development is focused on oral delivery for patient convenience. The primary goal in developing a formulation is to deliver bacteria to the intended location in a condition where they are able to replicate and modulate the microbiome. Formulation development generally uses approved excipients and preservatives with pharmaceutical industry precedent, and will include screening of liquid, solid, and suspension formulations to maximize the opportunity for extended stability with minimal cold-chain requirements. Dosage forms for oral products may be liquid- or powder-filled capsules, tablets, sachets, or liquid containers.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ind w:left="1020" w:right="80" w:hanging="503"/>
        <w:spacing w:after="0" w:line="25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w:t>
      </w:r>
      <w:r>
        <w:rPr>
          <w:rFonts w:ascii="Times New Roman" w:cs="Times New Roman" w:eastAsia="Times New Roman" w:hAnsi="Times New Roman"/>
          <w:sz w:val="18"/>
          <w:szCs w:val="18"/>
          <w:color w:val="auto"/>
        </w:rPr>
        <w:t>We are addressing quality control requirements for our microbiome therapeutic candidates using proprietary microbiological,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chemical, biochemical, and molecular sequence-based testing schemes. We have available and are further developing quality control, environmental monitoring and in-process analytical tools that can quantitatively measure the composition of spore, vegetative microbe and spore/vegetative combinations, which we believe enable a wide variety of drug products to be manufactured. Throughout the bioprocess and formulation development platform we use and will expand on quantitative analytics to assess the identity, potency and purity of the final product.</w:t>
      </w:r>
    </w:p>
    <w:p>
      <w:pPr>
        <w:spacing w:after="0" w:line="76"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We currently have a 10,000 square foot cGMP manufacturing facility at our headquarters where we conduct cGMP manufacture of therapeutic candidates to support drug substance and drug product for early phase and small-scale clinical supplies and with the ability to perform both drug substance and drug product manufacturing for early and late-phase clinical development and at larger scales of operation. We may establish further manufacturing facilities that will serve late-phase clinical and commercial supply for our product candidates. We may do this by expanding our current facilities, or by purchasing or building additional facilities. We also use contract manufacturing and testing organizations to supplement our internal capacity.</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Manufacturing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with Société des Produits Nestlé S.A. (Nestlé)</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January 2016, we entered into the Collaboration and License Agreement, or the 2016 License Agreement, with Nestec, Ltd., as succeeded by Société des Produits Nestlé S.A., or, together with NHSc Pharma Partners, succeeded by NHSc Rx License GmbH, their affiliates, and their subsidiaries, Nestlé, for the development and commercialization of certain of our product candidates in development for the treatment and management of CDI and IBD, including UC and Crohn’s disease. The 2016 License Agreement will support the development of our portfolio of products for CDI and IBD in markets outside of the United States and Canada, or the 2016 Licensed Territory.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with NHSc Rx License GmbH (Nestlé)</w:t>
      </w:r>
    </w:p>
    <w:p>
      <w:pPr>
        <w:spacing w:after="0" w:line="11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July 2021, we entered into a License Agreement, or the 2021 License Agreement, with NHSc Pharma Partners, succeeded by NHSc Rx License GmbH, or, together with Société des Produits Nestlé S.A., their affiliates and their subsidiaries, Nestlé. Pursuant to the 2021 License Agreement, we granted to Nestlé, under certain of our patent rights and know how, a co-exclusive, sublicensable (under certain circumstances) license to develop, commercialize and conduct medical affairs activities for (i) therapeutic products based on our microbiome technology (including our SER-109 product candidate) that are developed by us or on our behalf for the treatment of CDI and recurrent CDI, as well as any other indications pursued for the products upon mutual agreement of the parties, or the 2021 Field in the United States and Canada, or the 2021 Licensed Territory, and (ii) our SER-109 product candidate and any improvements and modifications thereto developed pursuant to the terms of the 2021 License Agreement, or the 2021 Collaboration Products, for any indications in the 2021 Licensed Territory. We are responsible for completing development of SER-109 in the 2021 Field in the United States until first regulatory approval for SER-109 is obtained.</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 Term Manufacturing Agreement with Bacthera</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a Long Term Manufacturing Agreement with BacThera AG, or Bacthera, a joint venture between Chr. Hansen and a Lonza Group affiliate, which was amended on December 14, 2022, or the Bacthera Agreement. The Bacthera Agreement governs the general terms under which Bacthera, or one of its affiliates, will (i) construct a dedicated full-scale production suite for us at Bacthera’s Microbiome Center of Excellence in Visp, Switzerland, which is currently under construction; and (ii) provide manufacturing services to us for our SER-109 product and other products, as agreed to by both parties.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GenIbet Supply Agreement</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September 2015, we entered into a Supply Agreement, or the Supply Agreement, with GenIbet BioPharmaceuticals, SA (acquired by Recipharm in February 2022) to provide certain manufacturing and supply services to us for our product candidates for purposes of conducting clinical trials and supporting commercial supply. In March 2022, the term of the Supply Agreement was extended through June 30,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Loan and Security Agreement with Hercules</w:t>
      </w:r>
    </w:p>
    <w:p>
      <w:pPr>
        <w:spacing w:after="0" w:line="11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October 2019, we entered into a loan and security agreement with Hercules Capital, Inc., or Hercules, pursuant to which a term loan in an aggregate principal amount of up to $50.0 million, or the Original Credit Facility, was available to us in three tranches, subject to certain terms and conditions. We received the first tranche of $25.0 million upon signing the agreement on October 29, 2019, but did not borrow either of the second two tranches, which were available at different times upon Hercules’ approval until June 30, 2021.</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14" w:name="page15"/>
    <w:bookmarkEnd w:id="14"/>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April 2020, we entered into an amendment to the loan and security agreement with Hercules, or the First Amendment, permitting us to enter into a promissory note under the Paycheck Protection Program of the Coronavirus Aid, Relief and Economic Stability Act.</w:t>
      </w:r>
    </w:p>
    <w:p>
      <w:pPr>
        <w:spacing w:after="0" w:line="5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February 2022, we entered into a Second Amendment to the Original Credit Facility (as amended by the First Amendment), or the New Credit Facility, pursuant to which, term loans in an aggregate principal amount of up to $100.0 million have become available to us in five tranches subject to certain terms and conditions: (i) the first tranche in an aggregate principal amount of $25.0 million that was outstanding as of the February 24, 2022 effective date, or the Effective Date, (ii) the second tranche in an aggregate principal amount of $12.5 million that has been advanced to us and was outstanding as of the Effective Date, (iii) the third tranche in an aggregate principal amount of $12.5 million that has been advanced to us and was outstanding as of the Effective Date, (iv) the fourth tranche in an aggregate principal amount of $25.0 million that is available upon satisfaction of certain conditions, including the approval by the FDA of a biologics license application in respect of SER-109, or the Regulatory Approval Milestone, by no later than December 15, 2023, and (v) the fifth tranche in an aggregate principal amount of up to $25.0 million that is available through the amortization date upon satisfaction of certain conditions, including the lenders’ investment committee approval.</w:t>
      </w:r>
    </w:p>
    <w:p>
      <w:pPr>
        <w:spacing w:after="0" w:line="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a further description of our material agreements, see “Management’s Discussion and Analysis of Financial Condition and Results of Operations – Liquidity and Capital Resources" in Part II, Item 7 of this Annual Report on Form 10-K.</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We strive to protect the proprietary technology that is important to our business, including seeking and, if granted, maintaining patents intended to cover our product candidates and compositions, their methods of use and processes for their manufacture and any other aspects of inventions that are commercially important to the development of our business. We also utilize regulatory exclusivity as well as trade secrets to protect aspects of our business.</w:t>
      </w:r>
    </w:p>
    <w:p>
      <w:pPr>
        <w:spacing w:after="0" w:line="5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compositions, methods of treatment, methods of manufacture and methods for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 We also rely on know-how and continuing technological innovation to develop and maintain our proprietary position and, in the future, may rely on or leverage in-licensing opportunities. We seek to obtain domestic and international patent protection, and endeavor to promptly file patent applications for new commercially valuable inventions.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w:t>
      </w:r>
    </w:p>
    <w:p>
      <w:pPr>
        <w:spacing w:after="0" w:line="7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79"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Our patent portfolio includes issued U.S. patents and patent applications in various stages of prosecution, including ex-U.S. international counterparts. We believe that issued claims will provide protection for our microbiome therapeutic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w:t>
      </w:r>
    </w:p>
    <w:p>
      <w:pPr>
        <w:spacing w:after="0" w:line="68" w:lineRule="exact"/>
        <w:rPr>
          <w:sz w:val="20"/>
          <w:szCs w:val="20"/>
          <w:color w:val="auto"/>
        </w:rPr>
      </w:pPr>
    </w:p>
    <w:p>
      <w:pPr>
        <w:ind w:right="360" w:firstLine="509"/>
        <w:spacing w:after="0" w:line="256" w:lineRule="auto"/>
        <w:rPr>
          <w:sz w:val="20"/>
          <w:szCs w:val="20"/>
          <w:color w:val="auto"/>
        </w:rPr>
      </w:pPr>
      <w:r>
        <w:rPr>
          <w:rFonts w:ascii="Times New Roman" w:cs="Times New Roman" w:eastAsia="Times New Roman" w:hAnsi="Times New Roman"/>
          <w:sz w:val="18"/>
          <w:szCs w:val="18"/>
          <w:color w:val="auto"/>
        </w:rPr>
        <w:t>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t>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In the future, if and when our product candidates receive FDA approval, we expect to apply, if appropriate, for patent term extension on patents covering those product candidates, their methods of use and/or methods of manufacture.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utilize trade secrets to protect aspects of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and disease indications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programs.</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the product candidates that we develop, if approved, are likely to be their efficacy, safety, convenience, price, the level of competition and the availability of reimbursement from government and other third-party payors.</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lower cost products.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contract manufacturers, will be required to navigate the various preclinical, clinical and commercial approval requirements of the governing regulatory authorities of the countries in which we wish to conduct studies or seek approval for our product candidates. The process of obtaining regulatory approvals and ensuring subsequent compliance with appropriate federal, state, local and foreign statutes and regulations requires the expenditure of substantial time and financial resources.</w:t>
      </w:r>
    </w:p>
    <w:p>
      <w:pPr>
        <w:spacing w:after="0" w:line="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 and biologic products under the Federal Food, Drug and Cosmetic Act, its implementing regulations and other laws, including, in the case of biologics, the Public Health Service Act. Our product candidates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are subject to regulation by the FDA as biologics. Biologics require the submission of a BLA and approval by the FDA before being marketed in the United States.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our biologic product candidates may be marketed in the United States generally involves the following:</w:t>
      </w:r>
    </w:p>
    <w:p>
      <w:pPr>
        <w:spacing w:after="0" w:line="117" w:lineRule="exact"/>
        <w:rPr>
          <w:sz w:val="20"/>
          <w:szCs w:val="20"/>
          <w:color w:val="auto"/>
        </w:rPr>
      </w:pPr>
    </w:p>
    <w:p>
      <w:pPr>
        <w:ind w:left="1020" w:right="4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good laboratory practice, or GLP,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in the United States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a trial is commenced;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product candidate for each proposed indication, conducted in accordance with the FDA’s good clinical practice, or GCP,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after completion of all pivotal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 regulations, and to assure that the facilities, methods and controls are adequate to preserve the biological product’s continued safety, purity and potency, and of selected clinical investigation sites to assess compliance with GCPs;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prior to any commercial marketing, sale or shipment of the product.</w:t>
      </w:r>
    </w:p>
    <w:p>
      <w:pPr>
        <w:spacing w:after="0" w:line="117"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we cannot be certain that any approvals for our product candidates will be granted on a timely basis, if at all.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studies include laboratory evaluations of drug chemistry, formulation and stability, as well as studies to evaluate toxicity in animals, which must be conducted in accordance with GLP requirements. The results of the preclinical studies, together with manufacturing information and analytical data, are submitted to the FDA as part of an IND. An IND is a request for authorization from the FDA to administer an investigational new drug to humans. An IND must become effective before human clinical trials may begin.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clinical trial and the parameters and criteria to be used in monitoring safety and evaluating effectiveness. Each protocol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drug, findings from animal or in vitro testing suggesting a significant risk to humans exposed to the drug, and any clinically important increased rate of a serious suspected adverse reaction compared to that listed in the protocol or investigator brochure.</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An independent institutional review board, or IRB, for each investigator site proposing to participate in a clinical trial must also review and approve the clinical trial before it can begin at that site, and the IRB must monitor the clinical trial until it is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 FDA, the IRB, or the sponsor may suspend or discontinue a clinical trial at any time on various grounds, including a finding that the subjects are being exposed to an unacceptable health risk. There are also requirements governing the reporting of ongoing clinical studies and clinical study results to public registries.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For purposes of BLA approval, clinical trials are typically conducted in three sequential phases, which may overlap or be combined.</w:t>
      </w:r>
    </w:p>
    <w:p>
      <w:pPr>
        <w:spacing w:after="0" w:line="115" w:lineRule="exact"/>
        <w:rPr>
          <w:sz w:val="20"/>
          <w:szCs w:val="20"/>
          <w:color w:val="auto"/>
        </w:rPr>
      </w:pPr>
    </w:p>
    <w:p>
      <w:pPr>
        <w:ind w:left="1020" w:right="320" w:hanging="503"/>
        <w:spacing w:after="0" w:line="290"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 The investigational product is initially introduced into healthy human subjects or patients with the target disease or condition.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studies are typically designed to test the safety, dosage tolerance, absorption, metabolism and distribution of the investigational product in humans, the side effects associated with increasing doses, and, if possible, to gain early evidence on effectiveness.</w:t>
      </w:r>
    </w:p>
    <w:p>
      <w:pPr>
        <w:spacing w:after="0" w:line="47" w:lineRule="exact"/>
        <w:rPr>
          <w:rFonts w:ascii="Times New Roman" w:cs="Times New Roman" w:eastAsia="Times New Roman" w:hAnsi="Times New Roman"/>
          <w:sz w:val="17"/>
          <w:szCs w:val="17"/>
          <w:color w:val="auto"/>
        </w:rPr>
      </w:pPr>
    </w:p>
    <w:p>
      <w:pPr>
        <w:ind w:left="1020" w:right="480" w:hanging="503"/>
        <w:spacing w:after="0" w:line="28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The investigational product is typically administered to a limited patient population with a specified disease or condition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the preliminary efficacy, optimal dosages and dosing schedule and to identify possible adverse side effects and safety risks.</w:t>
      </w:r>
    </w:p>
    <w:p>
      <w:pPr>
        <w:spacing w:after="0" w:line="50"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The investigational product is administered to an expanded patient population to further evaluate dosage, to provide statistically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7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54"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biologic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biological product. Additionally, appropriate packaging must be selected and tested, and stability studies must be conducted to demonstrate that the product candidate does not undergo unacceptable deterioration over its shelf life.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FDA Review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results of preclinical studies and clinical trials, together with other detailed information, including extensive manufacturing information and information on the composition of the biologic, are submitted to the FDA in the form of a BLA requesting approval to market the biologic for one or more specified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The submission of a BLA requires payment of a substantial user fee unless a waiver is granted or exemption applies.</w:t>
      </w:r>
    </w:p>
    <w:p>
      <w:pPr>
        <w:spacing w:after="0" w:line="8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Each BLA submitted to the FDA is reviewed for administrative completeness and reviewability within 60 days of the FDA’s receipt of the application. If the BLA is found to be complete, the FDA will file the BLA, triggering a full review of the application. The FDA may refuse to file any BLA that it deems incomplete or not properly reviewable at the time of submission. In this event, the BLA must be resubmitted with the additional information.</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Once a BLA has been accepted for review, the FDA’s goal is to review standard applications within ten months after the filing date, or, if the application qualifies for Priority Review, six months after the FDA accepts the application for filing, but the overall timeframe is often extended by FDA requests for additional information or clarification. The FDA reviews a BLA to determine, among other things, whether the biological product is safe, pure and potent and whether the facility or facilities in which it is manufactured meet standards designed to assure the product’s continued safety, purity and potency. The FDA may also refer the application to an Advisory Committee for review, evaluation, and recommendation as to whether the application should be approved. The FDA is not bound by the recommendation of an advisory committee, but it generally follows such recommendations.</w:t>
      </w:r>
    </w:p>
    <w:p>
      <w:pPr>
        <w:spacing w:after="0" w:line="79" w:lineRule="exact"/>
        <w:rPr>
          <w:sz w:val="20"/>
          <w:szCs w:val="20"/>
          <w:color w:val="auto"/>
        </w:rPr>
      </w:pPr>
    </w:p>
    <w:p>
      <w:pPr>
        <w:jc w:val="both"/>
        <w:ind w:right="80" w:firstLine="509"/>
        <w:spacing w:after="0" w:line="256" w:lineRule="auto"/>
        <w:rPr>
          <w:sz w:val="20"/>
          <w:szCs w:val="20"/>
          <w:color w:val="auto"/>
        </w:rPr>
      </w:pPr>
      <w:r>
        <w:rPr>
          <w:rFonts w:ascii="Times New Roman" w:cs="Times New Roman" w:eastAsia="Times New Roman" w:hAnsi="Times New Roman"/>
          <w:sz w:val="18"/>
          <w:szCs w:val="18"/>
          <w:color w:val="auto"/>
        </w:rPr>
        <w:t>Before approving a BLA, the FDA will inspect the facility or the facilities at which the biologic product is manufactured and will not approve the product unless it determines that the manufacturing processes and facilities are in compliance with cGMP and adequate to assure consistent production of the product within required specifications. Additionally, before approving a BLA, the FDA may inspect one or more clinical sites to assure that such trials were conducted in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will describe all of the deficiencies that the FDA has identified in the BLA, except that where the FDA determines that the data supporting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8" w:name="page19"/>
    <w:bookmarkEnd w:id="18"/>
    <w:p>
      <w:pPr>
        <w:ind w:right="80"/>
        <w:spacing w:after="0" w:line="261" w:lineRule="auto"/>
        <w:rPr>
          <w:sz w:val="20"/>
          <w:szCs w:val="20"/>
          <w:color w:val="auto"/>
        </w:rPr>
      </w:pPr>
      <w:r>
        <w:rPr>
          <w:rFonts w:ascii="Times New Roman" w:cs="Times New Roman" w:eastAsia="Times New Roman" w:hAnsi="Times New Roman"/>
          <w:sz w:val="18"/>
          <w:szCs w:val="18"/>
          <w:color w:val="auto"/>
        </w:rPr>
        <w:t>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biologics designed to address unmet medical needs in the treatment of serious or life- threatening diseases or conditions. These programs include Fast Track designation, Breakthrough Therapy designation, Priority Review designation and Accelerated Approval, and the purpose of these programs is to expedite the development and review of qualifying product candidates.</w:t>
      </w:r>
    </w:p>
    <w:p>
      <w:pPr>
        <w:spacing w:after="0" w:line="7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 biologic is eligible for Fast Track designation if it is intended to treat a serious or life- threatening disease or condition and demonstrates the potential to address unmet medical needs for such disease or condition. Fast Track designation provides increased opportunities for sponsor meetings with the FDA during preclinical and clinical development, in addition to the potential for rolling review, meaning that the agency may review portions of the marketing application before the sponsor submits the complete application, if the sponsor provides a schedule for the submission of the sections of the BLA, the FDA agrees to accept sections of the BLA and determines that the schedule is acceptable, and the sponsor pays any required user fees upon submission of the first section of the BLA. Product candidates receiving Fast Track status may also be eligible for Priority Review, if the relevant criteria are met.</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a biologic product candidate may be eligible for Breakthrough Therapy designation if it is intended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Fast Track or Breakthrough Therapy designation, may also be eligible for additional FDA programs intended to expedite the review process, including Priority Review designation and accelerated approval. A BLA is eligible for Priority Review if the product candidate has the potential to provide a significant improvement in safety or effectiveness in the treatment, diagnosis or prevention of a serious disease or condition. Additionally, product candidates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confirmatory studies to verify and describe the product’s clinical benefit.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designation and Accelerated Approval do not change the standards for approval but may expedite the development or review process.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Approved biologics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There also are continuing, annual user fee requirements for products marketed pursuant to approved applications.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Any biologics manufactured or distributed pursuant to FDA approvals remain subject to continuing regulation by the FDA, including recordkeeping requirements and reporting of adverse experiences associated with the product.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manufacturers and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programs.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untitled lets, or holds on clinical trials;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biologics, including standards and regulations for direct-to-consumer advertising, off-label promotion, industry-sponsored scientific and educational activities, and promotional activities involving the internet and social media. A company can make only those claims relating to safety and efficacy that are approved by the FDA. Physicians may prescribe legally available biologics for uses that are not described in the product’s labeling and that differ from those tested by us and approved by the FDA. The FDA does not regulate the behavior of physicians in their choice of treatments. The FDA does, however, impose stringent restrictions on manufacturers’ communications regarding off-label use. Failure to comply with these requirements can result in adverse publicity, warning letters, corrective advertising and potential civil and criminal penalties.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Regulatory Exclusivity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0" w:name="page21"/>
    <w:bookmarkEnd w:id="20"/>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Further, if a designated orphan product receives marketing approval for an indication broader than the rare disease or condition for which it received orphan designation, it may not be entitled to orphan exclusivity.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 Because biologically sourced raw materials are subject to unique contamination risks, their use may be restricted in some countries.</w:t>
      </w:r>
    </w:p>
    <w:p>
      <w:pPr>
        <w:spacing w:after="0" w:line="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Whether or not we obtain FDA approval of a product, we must obtain the requisite approvals from regulatory authorities in foreign countries prior to the commencement of clinical studies or marketing of the product in those countries. The requirements and process governing the conduct of clinical studies,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the EU are subject to significant regulatory controls.</w:t>
      </w:r>
    </w:p>
    <w:p>
      <w:pPr>
        <w:spacing w:after="0" w:line="11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biological substances. Non-clinical studies must be conducted in compliance with the principles of good laboratory practice, or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Conference on Harmonization, or ICH, guidelines on Good Clinical Practices, or GCP, as well as the applicable regulatory requirements and the ethical principles that have their origin in the Declaration of Helsinki. Additional GCP guidelines from the European Commission, focusing in particular on traceability, apply to clinical trials of advanced therapy medicinal products, or ATMPs.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While the Clinical Trials Directive required a separate clinical trial application, or CTA, to be submitted in each member state, to both the competent national health authority and an independent ethics committee, much like the FDA and IRB respectively, the CTR introduces a centralized process and only requires the submission of a single application to all member states concerned.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ind w:right="40"/>
        <w:spacing w:after="0" w:line="256" w:lineRule="auto"/>
        <w:rPr>
          <w:sz w:val="20"/>
          <w:szCs w:val="20"/>
          <w:color w:val="auto"/>
        </w:rPr>
      </w:pPr>
      <w:r>
        <w:rPr>
          <w:rFonts w:ascii="Times New Roman" w:cs="Times New Roman" w:eastAsia="Times New Roman" w:hAnsi="Times New Roman"/>
          <w:sz w:val="18"/>
          <w:szCs w:val="18"/>
          <w:color w:val="auto"/>
        </w:rPr>
        <w:t>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w:t>
      </w:r>
    </w:p>
    <w:p>
      <w:pPr>
        <w:spacing w:after="0" w:line="7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or GMP. Other national and EU-wide regulatory requirements may also apply.</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development of a medicinal product, the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with regard to any future marketing authorization application of the product concerned.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EU, medicinal products can only be placed on the market after obtaining a marketing authorization, or MA. To obtain regulatory approval of an investigational biological product in the EU, we must submit a marketing authorization application, or MAA. The process for doing this depends, among other things, on the nature of the medicinal product.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Centralized procedure</w:t>
      </w:r>
      <w:r>
        <w:rPr>
          <w:rFonts w:ascii="Times New Roman" w:cs="Times New Roman" w:eastAsia="Times New Roman" w:hAnsi="Times New Roman"/>
          <w:sz w:val="18"/>
          <w:szCs w:val="18"/>
          <w:color w:val="auto"/>
        </w:rPr>
        <w:t>—Under the centralized procedure, following the opining of the EMA’s CHMP the European Commission issues a single 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throughout the EU. The centralized procedure is compulsory for certain types of products, such as (i) medicinal products derived from biotechnology processes, such as genetic engineering, (ii) designated orphan medicinal products, (iii) advanced therapy medicinal products, or ATMPs, such as gene therapy, somatic cell therapy and tissue engineered products, and (iv) medicinal products that contain a new active substance indicated for the treatment of certain diseases, such as HIV/AIDS, cancer, neurodegenerative diseases, diabetes, autoimmune diseases and other immune dysfunctions, and viral diseases. The centralized procedure is optional for any products containing a new active substance not yet authorized in the EU, or for products that constitute a significant therapeutic, scientific or technical innovation or for which the granting of a MA would be in the interest of public health in the EU.</w:t>
      </w:r>
    </w:p>
    <w:p>
      <w:pPr>
        <w:spacing w:after="0" w:line="7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EMA's CHMP is 210 days, excluding clock stops, when additional written or oral information is to be provided by the applicant in response to questions asked by the CHMP. At the end of the review period, the CHMP provides an opinion to the European Commission. If this opinion is favorable, the Commission may then adopt a decision to grant an MA. In exceptional cases, the CHMP might perform an accelerated review of a MAA in no more than 150 days (excluding clock stops), when a medicinal product targets an unmet medical need and is expected to be of a major public health interest, particularly from the point of view of therapeutic innovation. The timeframe for the evaluation of an MAA under the accelerated assessment procedure is 150 days, excluding clock stops.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In March 2016, the EMA launched an initiative, the Priority Medicines, or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82"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National authorization procedures</w:t>
      </w:r>
      <w:r>
        <w:rPr>
          <w:rFonts w:ascii="Times New Roman" w:cs="Times New Roman" w:eastAsia="Times New Roman" w:hAnsi="Times New Roman"/>
          <w:sz w:val="18"/>
          <w:szCs w:val="18"/>
          <w:color w:val="auto"/>
        </w:rPr>
        <w:t>—There are also two other possible routes to authorize medicinal products in several member states,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products that fall outside the scope of the centralized procedure:</w:t>
      </w:r>
    </w:p>
    <w:p>
      <w:pPr>
        <w:spacing w:after="0" w:line="50" w:lineRule="exact"/>
        <w:rPr>
          <w:sz w:val="20"/>
          <w:szCs w:val="20"/>
          <w:color w:val="auto"/>
        </w:rPr>
      </w:pPr>
    </w:p>
    <w:p>
      <w:pPr>
        <w:ind w:left="1020" w:right="4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Decentralized procedure</w:t>
      </w:r>
      <w:r>
        <w:rPr>
          <w:rFonts w:ascii="Times New Roman" w:cs="Times New Roman" w:eastAsia="Times New Roman" w:hAnsi="Times New Roman"/>
          <w:sz w:val="18"/>
          <w:szCs w:val="18"/>
          <w:color w:val="auto"/>
        </w:rPr>
        <w:t>. Using the decentralized procedure, an applicant may apply for simultaneous authorizations in more than one 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states of medicinal products that have not yet been authorized in any EU member states and that do not fall within the mandatory scope of the centralized procedure. Under the decentralized procedure an identical dossier is submitted to the national competent authority of each of the member states in which the MA is sought, one of which is selected by the applicant as the reference member state. National MAs are issued by competent authorities of the EU member states for their respective territory.</w:t>
      </w:r>
    </w:p>
    <w:p>
      <w:pPr>
        <w:spacing w:after="0" w:line="75" w:lineRule="exact"/>
        <w:rPr>
          <w:rFonts w:ascii="Times New Roman" w:cs="Times New Roman" w:eastAsia="Times New Roman" w:hAnsi="Times New Roman"/>
          <w:sz w:val="18"/>
          <w:szCs w:val="18"/>
          <w:color w:val="auto"/>
        </w:rPr>
      </w:pPr>
    </w:p>
    <w:p>
      <w:pPr>
        <w:ind w:left="1020" w:right="220" w:hanging="503"/>
        <w:spacing w:after="0" w:line="26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Mutual recognition procedure</w:t>
      </w:r>
      <w:r>
        <w:rPr>
          <w:rFonts w:ascii="Times New Roman" w:cs="Times New Roman" w:eastAsia="Times New Roman" w:hAnsi="Times New Roman"/>
          <w:sz w:val="18"/>
          <w:szCs w:val="18"/>
          <w:color w:val="auto"/>
        </w:rPr>
        <w:t>. In the mutual recognition procedure, a medicine is first authorized in one EU member state,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national procedures of that member state. Following this, further MAs can be sought from other EU member states in a procedure whereby the countries concerned recognize the validity of the original national MA.</w:t>
      </w:r>
    </w:p>
    <w:p>
      <w:pPr>
        <w:spacing w:after="0" w:line="6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EU, upon receiving a MA, reference medicinal products generally receive eight years of data exclusivity and an additional two years of market exclusivity. If granted,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During the additional two-year period of the market exclusivity period a generic or biosimilar MA can be submitted, and the innovator’s data may be referenced but no generic or biosimilar can be marketed in the EU until ten years have elapsed from the initial authorization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23" w:name="page24"/>
    <w:bookmarkEnd w:id="23"/>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may be designated as orphan if (1) it is intended for the diagnosis, prevention or treatment of a life-threatening or chronically debilitating condition; (2) either</w:t>
      </w:r>
    </w:p>
    <w:p>
      <w:pPr>
        <w:ind w:firstLine="8"/>
        <w:spacing w:after="0" w:line="251"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application for orphan drug designation must be submitted before the MAA. Orphan medicinal products are eligible for financial incentives such as reduction of fees or fee waivers and are, upon grant of a MA, entitled to ten years of market exclusivity for the approved therapeutic indication. During this ten-year orphan market exclusivity period, the competent authorities cannot accept another MAA, or grant a MA, or accept an application to extend a MA for a similar product for the same indication.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8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drug for which an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and study results are included in the product information, even when negative, the product is eligible for a six-months supplementary protection certificate extension (if any is in effect at the time of approval) or, in the case of orphan pharmaceutical products, a two year extension of the orphan market exclusivity is granted.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7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4" w:name="page25"/>
    <w:bookmarkEnd w:id="24"/>
    <w:p>
      <w:pPr>
        <w:ind w:right="440"/>
        <w:spacing w:after="0" w:line="282" w:lineRule="auto"/>
        <w:rPr>
          <w:sz w:val="20"/>
          <w:szCs w:val="20"/>
          <w:color w:val="auto"/>
        </w:rPr>
      </w:pPr>
      <w:r>
        <w:rPr>
          <w:rFonts w:ascii="Times New Roman" w:cs="Times New Roman" w:eastAsia="Times New Roman" w:hAnsi="Times New Roman"/>
          <w:sz w:val="18"/>
          <w:szCs w:val="18"/>
          <w:color w:val="auto"/>
        </w:rPr>
        <w:t>requirements for advertising and promotion of medicinal products are established under EU directives, the details are governed by regulations in each member state and can differ from one country to another.</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7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(comprised of the 27 EU member states plus Iceland, Liechtenstein and Norway).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United Kingdom, or UK, law through secondary legislation remain applicable in Great Britain. 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New legislation such as the EU CTR or in relation to orphan medicines will not be applicable in Great Britain. The UK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8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January 1, 2021, the Medicines and Healthcare products Regulatory Agency, or MHRA, is the UK’s standalone medicines and medical devices regulator. Whilst Northern Ireland will continue to follow the EU regulatory regime, but its national competent authority will remain the MHRA.</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chooses to opt-out. After Brexit, companies established in the UK cannot use the centralized procedure and instead must follow one of the UK national authorization procedures or one of the remaining post-Brexit international cooperation procedures to obtain an MA to commercialize products in the UK. The MHRA may rely on a decision taken by the European Commission on the approval of a new (centralized procedure) MA when determining an application for a GB authorization; or use the MHRA’s decentralized or mutual recognition procedures which enable MAs approved in EU member states (or Iceland, Liechtenstein, Norway) to be granted in GB.</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In addition to FDA restrictions on marketing of pharmaceutical and biological products, other healthcare regulatory laws restrict business practices in the biotechnology industry, which include, but are not limited to, anti-kickback, false claims, and transparency laws regarding drug pricing and payments and other transfers of value made to physicians and other healthcare providers. 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interpreted to include anything of value, including cash, improper discounts and free or reduced-price items and services. Further, a person or entity does not need to have actual knowledge of the statute or specific intent to violate it to have committed a violation. Many states have similar laws that apply to their state healthcare programs as well as private payors.</w:t>
      </w:r>
    </w:p>
    <w:p>
      <w:pPr>
        <w:spacing w:after="0" w:line="6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False Claims Act, or FCA, imposes liability on persons who, among other things, knowingly present or cause to be presented, a false, fictitious or fraudulent claim for payment to, or approval by, the federal government, knowingly make, use, or cause to be made or used a false record or statement material to a false or fraudulent claim to the federal government, or knowingly make a false statement to avoid, decrease or conceal an obligation to pay money to the U.S. federal government. The FCA has been used to prosecute persons submitting claims for payment that are inaccurate or fraudulent, that are for services not provided as claimed, or for services that are not medically necessary. In addition, the government may assert that a claim including items or services resulting from a violation of the Anti-Kickback Statute constitutes a false or fraudulent claim for purposes of the False Claims Act. Actions under the FCA may be brought by the Attorney General or as a qui tam action by a private individual in the name of the government. The federal government is using the FCA, and the accompanying threat of significant liability, in its investigation and prosecution of pharmaceutical and biotechnology companies throughout the country, and has obtained multi-million and multi–billion-dollar settlements under the FCA in addition to individual criminal convictions under applicable criminal statutes. In addition, companies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5" w:name="page26"/>
    <w:bookmarkEnd w:id="25"/>
    <w:p>
      <w:pPr>
        <w:ind w:right="120"/>
        <w:spacing w:after="0" w:line="261" w:lineRule="auto"/>
        <w:rPr>
          <w:sz w:val="20"/>
          <w:szCs w:val="20"/>
          <w:color w:val="auto"/>
        </w:rPr>
      </w:pPr>
      <w:r>
        <w:rPr>
          <w:rFonts w:ascii="Times New Roman" w:cs="Times New Roman" w:eastAsia="Times New Roman" w:hAnsi="Times New Roman"/>
          <w:sz w:val="18"/>
          <w:szCs w:val="18"/>
          <w:color w:val="auto"/>
        </w:rPr>
        <w:t>have been forced to implement extensive corrective action plans and have often become subject to consent decrees or corporate integrity agreements, severely restricting the manner in which they conduct their business.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addition, there has been a recent trend of increased federal and state regulation of payments made to physicians and other healthcare providers. The ACA, among other things, imposed new reporting requirements through the Physician Payments Sunshine Act on certain manufacturers of drugs covered by a federal healthcare program for payments made by them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Manufacturers must submit reports by the 90th day of each calendar year. Certain states also mandate implementation of compliance programs, impose restrictions on drug manufacturer marketing practices and/or require the tracking and reporting of gifts, compensation and other remuneration to physicians, and pricing information and marketing expenditures.</w:t>
      </w:r>
    </w:p>
    <w:p>
      <w:pPr>
        <w:spacing w:after="0" w:line="65"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Violations of any of such laws or any other governmental regulations that apply to drug manufacturers may result in significant penalties, including, without limitation, administrative, civil and criminal penalties, damages, fines, disgorgement, the curtailment or restructuring of operations, exclusion from participation in federal and state healthcare programs, reporting obligations and integrity oversight, and imprisonment.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product candidates for which we obtain regulatory approval. In both domestic and foreign markets, sales and reimbursement of any approved products will depend, in part, on the extent to which third-party payors, such as government health programs, commercial insurance and managed healthcare organizations provide coverage, and establish adequate reimbursement levels for, such products. Third-party payors are increasingly challenging the prices charged for medical products and services and imposing controls to manage costs. Third-party payors may limit, or hinder, coverage to specific products on an approved list, also known as a formulary, which might not include all of the FDA-approved products for a particular indication. Additionally, we may need to conduct expensive pharmacoeconomic studies in order to demonstrate the cost-effectiveness of our products, as well as provide rebates and discounts which may impact the net selling price of our products. If third-party payors do not consider our products to be cost-effective compared to other therapies, the payors may not cover our products as a benefit under their plans or, if they do, the level of reimbursement may not be sufficient to allow us to sell our products on a profitable basis.</w:t>
      </w:r>
    </w:p>
    <w:p>
      <w:pPr>
        <w:spacing w:after="0" w:line="6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and state governments and the prices of pharmaceutical and biological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our products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Conducting such a clinical trial could be expensive and result in delays in our commercialization efforts. Third-party payors are challenging the prices charged for medical products and services, and many third-party payors limit reimbursement for newly approved healthcare products. Recent budgetary pressures in many countries are also causing governments to consider or implement various cost-containment measures,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6" w:name="page27"/>
    <w:bookmarkEnd w:id="26"/>
    <w:p>
      <w:pPr>
        <w:ind w:right="40"/>
        <w:spacing w:after="0" w:line="256" w:lineRule="auto"/>
        <w:rPr>
          <w:sz w:val="20"/>
          <w:szCs w:val="20"/>
          <w:color w:val="auto"/>
        </w:rPr>
      </w:pPr>
      <w:r>
        <w:rPr>
          <w:rFonts w:ascii="Times New Roman" w:cs="Times New Roman" w:eastAsia="Times New Roman" w:hAnsi="Times New Roman"/>
          <w:sz w:val="18"/>
          <w:szCs w:val="18"/>
          <w:color w:val="auto"/>
        </w:rPr>
        <w:t>such as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 priced markets exert a commercial pressure on pricing within a country.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there have been a number of federal and state proposals during the last few years regarding the pricing of pharmaceutical and biological products, government control and other changes to the healthcare system. It is uncertain what legislative proposals will be adopted or what actions federal, state or private payors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By way of example, in March 2010, the ACA was signed into law, which, among other things, includes changes to the coverage and payment for pharmaceutical and biological products under government health care programs. Among other things, the ACA:</w:t>
      </w:r>
    </w:p>
    <w:p>
      <w:pPr>
        <w:spacing w:after="0" w:line="54" w:lineRule="exact"/>
        <w:rPr>
          <w:sz w:val="20"/>
          <w:szCs w:val="20"/>
          <w:color w:val="auto"/>
        </w:rPr>
      </w:pPr>
    </w:p>
    <w:p>
      <w:pPr>
        <w:jc w:val="both"/>
        <w:ind w:left="1020" w:right="1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67" w:lineRule="exact"/>
        <w:rPr>
          <w:rFonts w:ascii="Times New Roman" w:cs="Times New Roman" w:eastAsia="Times New Roman" w:hAnsi="Times New Roman"/>
          <w:sz w:val="18"/>
          <w:szCs w:val="18"/>
          <w:color w:val="auto"/>
        </w:rPr>
      </w:pPr>
    </w:p>
    <w:p>
      <w:pPr>
        <w:jc w:val="both"/>
        <w:ind w:left="1020" w:right="38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Medicaid drug rebates, previously due only on fee-for-service utilization, to Medicaid managed care utilization, and created an alternate rebate formula for new formulations of certain existing products that is intended to increase the amount of rebates due on those drugs;</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 that mandates discounts to certain hospitals, community centers and other qualifying providers. With the exception of children’s hospitals, these newly eligible entities will not be eligible to receive discounted 340B pricing on orphan drugs. In addition, because 340B pricing is determined based on AMP and Medicaid drug rebate data, the revisions to the Medicaid rebate formula and AMP definition described above could cause the required 340B discounts to increase; and</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7" w:name="page28"/>
    <w:bookmarkEnd w:id="27"/>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For example, the Budget Control Act of 2011, enacted in August 2011, among other things, included reductions of Medicare payments to providers, which went into effect in April 2013 and, due to subsequent legislative amendments, will remain in effect through 2032,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and increased the statute of limitations period for the government to recover overpayments to providers from three to five years. In addition, the American Rescue Plan Act of 2021 as signed into law, which eliminates the statutory Medicaid drug rebate cap, currently set at 100% of a drug’s AMP, beginning January 1, 2024.</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More recently, there has been heightened governmental scrutiny over the manner in which manufacturers set prices for their marketed products, which have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and biological products. Most recently, on August 16, 2022 the Inflation Reduction Act of 2022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and the impact of the IRA on the pharmaceutical industry cannot yet be fully determined.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Adoption of other new legislation at the federal, state, or foreign level could further limit reimbursement for pharmaceuticals, including our product candidates if approved.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We may also be subject to U.S. federal, state and laws, regulations and standards governing the collection, use, access to, confidentiality, and security of health-related and other personal information, that could apply now or in the future to our operations or the operations of our partners. Numerous federal and state laws and regulations, including data breach notification laws, health information privacy and security laws and consumer protection laws and regulations, govern the collection, use, disclosure, and protection of health-related and other personal information.</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2022, we had 431 full-time permanent employees. Sixty-four employees work in administration, operations, and commercial and 367 work in research and development. None of our employees in the U.S. are represented by a labor union or covered by collective bargaining agreements, and we believe our relationship with our employees is good. During 2022, we enhanced our capabilities by significantly expanding our employee base. The new employees were hired to support a variety of functions and key initiatives, including extending our research, clinical and pre-clinical pipeline development, as well as our medical affairs, manufacturing and commercialization capabilities, with hires in commercial, clinical development and operations, research, medical affairs, manufacturing, and general and administrative functions. We expect to continue to add additional employees in 2023, with a focus on further enhancing our capabilities and increasing our capacities in these areas as we continue our focus on gaining FDA approval for SER-109 for recurrent CDI.</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Development</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consider the intellectual capital, skills and experience of our employees to be an essential driver of our business and key to our future prospects. We face intense competition for qualified individuals from numerous pharmaceutical and biotechnology companies, universities, governmental entities and other research institutions, and we believe that our future success will depend in large part on our continued ability to attract and retain highly skilled employees. To attract qualified applicants to our company and retain our employees, we offer a total rewards package consisting of base salary and cash target bonus targeting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to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market based on geography, a comprehensive benefit package and equity compensation for every employee. Annual cash bonus opportunity and equity compensation increase as a percentage of total compensation based on level of responsibility. Any actual bonus payout is based on a combination of individual performance and corporate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Inclusion, and Belonging</w:t>
      </w:r>
    </w:p>
    <w:p>
      <w:pPr>
        <w:spacing w:after="0" w:line="121"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7"/>
          <w:szCs w:val="17"/>
          <w:color w:val="auto"/>
        </w:rPr>
        <w:t>As a microbiome therapeutics company developing a novel class of live biotherapeutic drugs, we believe that our long-term success and ability to deliver innovative, safe and effective medicines to patients requires a diverse and inclusive workforce. We value diversity at all levels of the organization and continue to focus on extending our diversity, equity and inclusion initiatives across our entire workforce, from: working with managers to develop strategies for building diverse, high performing teams; to ensuring that we attract, develop and retain diverse talent from all backgrounds; to increasing awareness within our company of unconscious biases, and supporting affinity groups comprised of individuals who are underrepresented in our company, industry or society, such as women, members of the LGBTQ community and people of color. In addition, we pride ourselves on an open culture that respects co-workers, values employees’ health and well-being and fosters professional development. We support employee growth and development in a variety of ways including with group training, individual mentoring and coaching, conference attendance and tuition reimbursement. Our management conducts annual employee engagement surveys and reports to our board of directors on human capital management topics, including corporate culture, diversity, equity and inclusion, employee development and retention, and compensation and benefits. Similarly, our board of directors regularly provides input on important decisions relating to these matters, including with respect to employee compensation and benefits, talent retention and development.</w:t>
      </w:r>
    </w:p>
    <w:p>
      <w:pPr>
        <w:spacing w:after="0" w:line="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the State of Delaware in 2010 under the name Newco LS21, Inc. In October 2011, we changed our name to Seres Health, Inc., and in May 2015, we changed our name to Seres Therapeutics, Inc. Our principal executive offices are located at 200 Sidney Street, Cambridge, Massachusetts 02139 and our telephone number is (617) 945-9626. Our website address is </w:t>
      </w:r>
      <w:r>
        <w:rPr>
          <w:rFonts w:ascii="Times New Roman" w:cs="Times New Roman" w:eastAsia="Times New Roman" w:hAnsi="Times New Roman"/>
          <w:sz w:val="18"/>
          <w:szCs w:val="18"/>
          <w:i w:val="1"/>
          <w:iCs w:val="1"/>
          <w:color w:val="auto"/>
        </w:rPr>
        <w:t>www.serestherapeutics.com</w:t>
      </w:r>
      <w:r>
        <w:rPr>
          <w:rFonts w:ascii="Times New Roman" w:cs="Times New Roman" w:eastAsia="Times New Roman" w:hAnsi="Times New Roman"/>
          <w:sz w:val="18"/>
          <w:szCs w:val="18"/>
          <w:color w:val="auto"/>
        </w:rPr>
        <w:t>. The information contained in, or accessible through, our website does not constitute a part of this Annual Report on Form 10-K.</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or the Exchange Act, and, accordingly, file reports, proxy statements and other information with the Securities and Exchange Commission, or SEC. The SEC maintains a web site (http://www.sec.gov) that contains material regarding issuers that file electronically, such as ourselves, with the SEC.</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Accordingly, in evaluating our business, you should carefully consider the risk factors discussed below, as well as the other information included or incorporated by reference in this Annual Report on Form 10-K, including our consolidated financial statements and the related notes and “Management’s Discussion and Analysis of Financial Condition and Results of Operations.” The occurrence of any of the events or developments described below or elsewhere in this report could harm our business, financial condition, results of operations or growth prospects.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$250.2 million for the year ended December 31, 2022, $65.6 million for the year ended December 31, 2021, and $89.1 million for the year ended December 31, 2020. As of December 31, 2022, we had an accumulated deficit of $864.5 million. As noted elsewhere in this Annual Report on Form 10-K, we have identified conditions and events that raise substantial doubt about our ability to continue as a going concern. To date, we have financed our operations through the public offerings of our common stock, private placements of our common stock and preferred stock, payments under our collaboration agreements, and loan facility. We have devoted substantially all of our financial resources and efforts to developing our reverse translational microbiome therapeutics platform, identifying potential product candidates and conducting preclinical studies and clinical trials. We have not completed development of any of our product candidates, which we call microbiome therapeutic candidates, or other drugs or biologics. We expect to continue to incur significant expenses and operating losses for the foreseeable future. We anticipate that our expenses may increase substantially as we:</w:t>
      </w:r>
    </w:p>
    <w:p>
      <w:pPr>
        <w:spacing w:after="0" w:line="80" w:lineRule="exact"/>
        <w:rPr>
          <w:sz w:val="20"/>
          <w:szCs w:val="20"/>
          <w:color w:val="auto"/>
        </w:rPr>
      </w:pPr>
    </w:p>
    <w:p>
      <w:pPr>
        <w:ind w:left="1020" w:right="5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clinical development, seek regulatory approval, and prepare for potential commercialization of SER-109 for patients with recurrent CDI;</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SER-155 to reduce incidences of gastrointestinal infections, bloodstream infections and GvHD in patients receiving allo-HSCT;</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evaluating preclinical stage programs to reduce incidence of infection, in indications such as cancer neutropenia, chronic liver disease, solid organ transplant, and antimicrobial resistant infections more broadly;</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translational research activities, informed by the SER-287 Phase 2b and SER-301 Phase 1b study data, to evaluate the potential to utilize biomarker-based patient selection and stratification in future clinical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our research discovery and development platforms and capabilities to advance our priority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manufacturing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augment our intellectual property portfolio and opportunistically acquire complementary intellectual property;</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and distribution infrastructure and scale-up manufacturing capabilities to commercialize any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our agreements with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in the preliminary stages of many of these activities. We may never succeed in these activities and, even if we do, may never generate revenue that is significant enough to achieve profitability.</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Based on our currently available cash resources and our current level of operations and cash flows for the 12-month period subsequent to the date of issuance of the consolidated financial statements included elsewhere in this Annual Report on Form 10-K, we believe it is reasonably likely that we will require additional funding in early 2024. There are certain contingent payments associated with the approval of our BLA for SER-109, which is currently under priority review by the FDA, including the potential to receive a $125.0 million milestone payment from Nestlé pursuant to the 2021 License Agreement, and a $25.0 million tranche under our New Credit Facility with Hercules, which becomes available upon the satisfaction of certain conditions, including FDA approval of SER-109. While we anticipate receiving these contingent payments in the first half of 2023, there is no assurance we will receive them. Because these contingent payments, and the ability to obtain sufficient additional equity or debt financing with terms favorable or acceptable to us, cannot be considered probable according to the applicable accounting standards because they are outside our control, there is substantial doubt about our ability to continue as a going concern for at least 12 months from the date that our consolidated financial statements for the year ended December 31, 2022 were issued.</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Substantial doubt about our ability to continue as a going concern may materially and adversely affect the price per share of our common stock, and it may be more difficult for us to obtain financing. If potential collaborators decline to do business with us or potential investors decline to participate in any future financings due to such concerns, our ability to increase our cash position may be limited. The perception that we may not be able to continue as a going concern may cause others to choose not to deal with us due to concerns about our ability to meet our contractual obligations.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prepared our consolidated financial statements on a going concern basis, which contemplates the realization of assets and the satisfaction of liabilities and commitments in the normal course of business. Our audited consolidated financial statements included in this Annual Report on Form 10-K do not include any adjustments to reflect the possible inability of the Company to continue as a going concern within 12 months after the issuance of such financial statements.</w:t>
      </w:r>
    </w:p>
    <w:p>
      <w:pPr>
        <w:spacing w:after="0" w:line="68"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expenses may increase in connection with our ongoing activities, particularly as we complete clinical development, scale up manufacturing operations, seek regulatory approval, and prepare for commercialization of SER-109 if approved, continue the SER-155 Phase 1b study, continue research activities evaluating UC, and continue to research, develop and initiate clinical trials of our other product candidates. In addition, if we obtain regulatory approval for any of our product candidates, we expect to incur significant commercialization expenses related to product manufacturing, marketing, sales and distribution, and may not generate meaningful product revenues or collaboration profit in the near future. Furthermore,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8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noted above, we have identified conditions and events that raise substantial doubt about our ability to continue as a going concern. Our future capital requirements will depend on many factors, including:</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and long-term impact of the COVID-19 pandemic;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continued increase in inflation rates or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Additionally, market volatility resulting from current macroeconomic conditions, the COVID-19 pandemic,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and may decrease our stock price.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8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adversely affect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in October 2010, we have devoted substantially all of our resources to developing our clinical and preclinical program, building our intellectual property portfolio, developing our supply chain, planning our business, raising capital and providing general and administrative support for these operations. We have not yet demonstrated our ability to obtain regulatory approvals,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many of which are beyond our control. Consequently, any predictions made about our future success or viability may not be as accurate as they could be if we had a longer operating history.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than SER-109, we are early in our development efforts and may not be successful in our efforts to use our reverse translational microbiome therapeutics platform to build a pipeline of product candidates and develop marketable drugs.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using our reverse translational microbiome therapeutics platform to develop microbiome therapeutic candidates. Other than SER-109, we are at an early stage of development and our platform has not yet, and may never, lead to approvable or marketable drugs. We are developing additional product candidates that we intend to be used to reduce infection and treat diseases where the microbiome is implicated. We may have problems applying our technologies to these areas, and our product candidates may not be effective in reducing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achieve market acceptance.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clinical trials with positive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our own, commercial manufacturing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collaborations throughout the development process as appropriate, from preclinical studies through to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by third-party payors, including government payors, for our products,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without infringing or violating the valid and enforceable patents or other intellectual property of third parties;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and commercialize our products and technology.</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If we or our collaborators do not successfully develop and commercialize product candidates we will not be able to obtain product revenue in future periods, which likely would result in significant harm to our financial position and adversely affect our stock price.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microbiome therapeutics, which is an unproven approach to therapeutic intervention.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based on microbiome therapeutics, a novel potential class of biological drugs, which are designed to treat disease by modulating the microbiome to restore health by repairing the function of a disrupted microbiome to a non-disease state. We have not, nor to our knowledge has any other company, received regulatory approval for, or manufactured on a commercial scale, a therapeutic based on this approach. We cannot be certain that our approach will lead to the development of approvable or marketable products or that we will be able to manufacture at commercial scale, if approved. In addition, our microbiome therapeutic candidates may have different effectiveness rates in various indications and in different geographical areas. Finally, the FDA or other regulatory authorities may lack experience in evaluating the safety and efficacy of products based on microbiome therapeutics, which could result in a longer than expected regulatory review process, increase our expected development costs and delay or prevent commercialization of our product candidates.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reverse translational microbiome therapeutics platform relies on third parties for biological materials, including human stool. Some biological materials have not always met our expectations or requirements, and any disruption in the supply of these biological materials could materially adversely affect our business. For example, if any supplied biological materials are contaminated with disease organisms, we would not be able to use such biological materials. Although we have control processes and screening procedures, biological materials are susceptible to damage and contamination and may contain active pathogens. Improper storage of these materials, by us or any third-party suppliers, may require us to destroy some of our materials or products, which could delay the development or commercialization of our product candidates.</w:t>
      </w:r>
    </w:p>
    <w:p>
      <w:pPr>
        <w:spacing w:after="0" w:line="7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and our clinical trials may not be successful. The outcome of preclinical testing and early clinical trials may not be predictive of the success of later clinical trials, and interim or preliminary results of a clinical trial, that we may from time to time announce,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w:t>
      </w:r>
    </w:p>
    <w:p>
      <w:pPr>
        <w:spacing w:after="0" w:line="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we cannot be certain as to what type and how many clinical trials the FDA, or other regulatory authorities, will require us to conduct before we may successfully gain approval to market any of our other product candidates. Prior to approving a new therapeutic product, the FDA (or other regulatory authorities)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inability to generate sufficient preclinical, toxicology, or other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data to support the initiation or continuation of clinical trials;</w:t>
      </w:r>
    </w:p>
    <w:p>
      <w:pPr>
        <w:spacing w:after="0" w:line="130" w:lineRule="exact"/>
        <w:rPr>
          <w:rFonts w:ascii="Times New Roman" w:cs="Times New Roman" w:eastAsia="Times New Roman" w:hAnsi="Times New Roman"/>
          <w:sz w:val="17"/>
          <w:szCs w:val="17"/>
          <w:color w:val="auto"/>
        </w:rPr>
      </w:pPr>
    </w:p>
    <w:p>
      <w:pPr>
        <w:ind w:left="1020" w:right="2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institutional review boards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reaching agreement on acceptable clinical trial contracts or clinical trial protocols with prospective trial sites;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3" w:name="page34"/>
    <w:bookmarkEnd w:id="33"/>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jc w:val="both"/>
        <w:ind w:left="1020" w:right="50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institutional review boards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for approving our product candidates, or such requirements may not be as we anticipate;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trials managed by any current or future collaborators, our collaborators may face any of the above issues, and may conduct clinical trials in ways they view as advantageous to them but potentially suboptimal for us.</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support of current or any future collaborators, requiring us to bear more of the burden of development of certain compounds;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 or desire;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 clinical trials or changes in our development plans could cause us to incur significant development costs, delay or prevent the commercialization of SER-109 or otherwise adversely affect our business. In addition, prolonged disruptions caused by the COVID-19 pandemic could severely impact our preclinical studies and clinical trials, including by causing further difficulties or delays in initiating, enrolling, conducting, or completing our planned and ongoing clinical trials. See “—Risks Related to Our Operations—The COVID-19 pandemic has adversely impacted and could continue to adversely impact, our business, including our preclinical studies and clinical trials, results of operations and financial condition.”</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increase if we continue to experience delays in clinical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75"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color w:val="auto"/>
        </w:rPr>
        <w:t>In addition, the FDA’s and other regulatory authorities’ policies may change and additional government regulations may be enacted with respect to clinical trials. For instance, the regulatory landscape related to clinical trials in the European Union, or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contract research organizations, or CROs, may impact our developments plans.</w:t>
      </w:r>
    </w:p>
    <w:p>
      <w:pPr>
        <w:spacing w:after="0" w:line="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existing EU legislation (as implemented into UK law, through secondary legislation). However, on January 17, 2022, the UK Medicines and Healthcare products Regulatory Agency, or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Government has not yet published a response to the consultation but the outcome will be closely watched and will determine whether the UK chooses to align with the CTR or diverge from it to maintain regulatory flexibility. Under the terms of the Protocol on Ireland/Northern Ireland, provisions of the CTR which relate to the manufacture and import of investigational medicinal products and auxiliary medicinal products apply in Northern Ireland. A decision by the UK Government not to closely align its regulations with the new approach that has been adopted in the EU may have an effect on the cost of conducting clinical trials in the UK as opposed to other countries.</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business may be impacted.</w:t>
      </w:r>
    </w:p>
    <w:p>
      <w:pPr>
        <w:spacing w:after="0" w:line="5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difficulties in the enrollment of patients in clinical trials, could result in our receipt of necessary regulatory approvals being delayed or prevented.</w:t>
      </w:r>
    </w:p>
    <w:p>
      <w:pPr>
        <w:spacing w:after="0" w:line="5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 candidates. These trials and other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color w:val="auto"/>
        </w:rPr>
        <w:t>Patient enrollment is also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treatments for the disease under investigation, including the use of fecal microbiota transplant, or FMT;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competing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or perceived burden, of the clinical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or a delayed rate of enrollment would result in significant delays and could require us to abandon one or more clinical trials altogether.</w:t>
      </w:r>
    </w:p>
    <w:p>
      <w:pPr>
        <w:spacing w:after="0" w:line="5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the price of our common stock.</w:t>
      </w:r>
    </w:p>
    <w:p>
      <w:pPr>
        <w:spacing w:after="0" w:line="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4"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obtain, or if there are delays in obtaining, required regulatory approvals, we or our collaborators will not be able to commercialize our product candidates or will not be able to do so as soon as anticipated, and our ability to generate revenue will be materially impaired.</w:t>
      </w:r>
    </w:p>
    <w:p>
      <w:pPr>
        <w:spacing w:after="0" w:line="2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similar regulatory authorities outside the United States. Failure to obtain marketing approval for a product candidate in any jurisdiction will prevent us and our collaborators from commercializing the product candidate in that jurisdiction and may affect our plans for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6" w:name="page37"/>
    <w:bookmarkEnd w:id="36"/>
    <w:p>
      <w:pPr>
        <w:ind w:right="80"/>
        <w:spacing w:after="0" w:line="261" w:lineRule="auto"/>
        <w:rPr>
          <w:sz w:val="20"/>
          <w:szCs w:val="20"/>
          <w:color w:val="auto"/>
        </w:rPr>
      </w:pPr>
      <w:r>
        <w:rPr>
          <w:rFonts w:ascii="Times New Roman" w:cs="Times New Roman" w:eastAsia="Times New Roman" w:hAnsi="Times New Roman"/>
          <w:sz w:val="18"/>
          <w:szCs w:val="18"/>
          <w:color w:val="auto"/>
        </w:rPr>
        <w:t>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72"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microbiome therapeutic candidates.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authority’s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For instance, the EU pharmaceutical legislation is currently undergoing a complete review process, in the context of the Pharmaceutical Strategy for Europe initiative, launched by the European Commission in November 2020. A proposal for revision of several legislative instruments related to medicinal products (potentially revising the duration of regulatory exclusivity, eligibility for expedited pathways, etc.) is currently expected to be adopted by the European Commission in the first quarter of 2023. The proposed revisions, once they are agreed and adopted by the European Parliament and European Council (currently not expected before the end of 2024 or early 2025) may have a significant impact on the biopharmaceutical industry in the long term.</w:t>
      </w:r>
    </w:p>
    <w:p>
      <w:pPr>
        <w:spacing w:after="0" w:line="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may also be interruptions or delays in the operations of the FDA or other foreign regulatory authorities due to the COVID-19 pandemic, which may impact approval timelines.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Additionally, regulatory authorities have substantial discretion in the approval process and may refuse to accept a marketing application if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our product candidates may not receive marketing approval even if they achieve their specified endpoints in clinical trials. Clinical data is often susceptible to varying interpretations and many companies that have believed that their products performed satisfactorily in clinical trials have nonetheless failed to obtain regulatory authority approval for their products. The FDA or foreign regulatory authorities may disagree with our trial design and our interpretation of data from nonclinical and clinical studies, or they may require additional confirmatory or safety evidence beyond our existing clinical studies. Upon the FDA’s review of data from any pivotal trial, it may request that the sponsor conduct additional analyses of the data or gather more data and, if it believes the data are not satisfactory, could advise the sponsor to delay filing a marketing application.</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biologics license application, or BLA, or foreign marketing authorization for one of our product candidates, the FDA or the applicable foreign regulatory authority may grant approval contingent on the performance of costly additional clinical trials, which may be required after approval. The FDA or the applicable foreign regulatory authority may also approve our product candidates for a more limited indication and/or a narrower patient population than we originally request, and the FDA, or applicable foreign regulatory authority, may not approve the labeling that we believe is necessary or desirable for the successful commercialization of our product candidates. Any delay in obtaining, or inability to obtain, applicable regulatory approval would delay or prevent commercialization of our product candidates and would materially adversely impact our business and prospects.</w:t>
      </w:r>
    </w:p>
    <w:p>
      <w:pPr>
        <w:spacing w:after="0" w:line="8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development of therapeutic products targeting the underlying biology of the human microbiome is an emerging field, and it is possible that the FDA and other regulatory authorities could issue regulations or new policies in the future that could adversely affect our microbiome therapeutic candidates.</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121" w:lineRule="exact"/>
        <w:rPr>
          <w:sz w:val="20"/>
          <w:szCs w:val="20"/>
          <w:color w:val="auto"/>
        </w:rPr>
      </w:pPr>
    </w:p>
    <w:p>
      <w:pPr>
        <w:ind w:right="360" w:firstLine="509"/>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Fast Track designation. SER-287 received Fast Track designation from the FDA for the induction and maintenance of clinical remission in adults with mild-to-moderate UC. Fast Track designation provides increased opportunities for sponsor meetings with the FDA during preclinical and clinical development, in addition to the potential for rolling review of a BLA for such product candidate. The FDA has broad discretion whether or not to grant this designation, and even if we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ind w:right="240"/>
        <w:spacing w:after="0" w:line="261" w:lineRule="auto"/>
        <w:rPr>
          <w:sz w:val="20"/>
          <w:szCs w:val="20"/>
          <w:color w:val="auto"/>
        </w:rPr>
      </w:pPr>
      <w:r>
        <w:rPr>
          <w:rFonts w:ascii="Times New Roman" w:cs="Times New Roman" w:eastAsia="Times New Roman" w:hAnsi="Times New Roman"/>
          <w:sz w:val="18"/>
          <w:szCs w:val="18"/>
          <w:color w:val="auto"/>
        </w:rPr>
        <w:t>believe another particular product candidate is eligible for this designation, we cannot be certain that the FDA would decide to grant it.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6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product candidates may not lead to a faster development, regulatory review or approval process, and it does not increase the likelihood that our product candidates will receive marketing approval.</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received Breakthrough Therapy designation for SER-109 for treatment of CDI, and we may seek a Breakthrough Therapy designation for our other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or biologics that have been designated as breakthrough therapies, interaction and communication between the FDA and the sponsor can help to identify the most efficient path for clinical development. Drugs designated as breakthrough therapies by the FDA are also eligible for rolling review of the associated marketing application.</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the Breakthrough Therapy designation for SER-109 or any future designation we receive is no longer supported by subsequent data, the FDA may rescind the designation.</w:t>
      </w:r>
    </w:p>
    <w:p>
      <w:pPr>
        <w:spacing w:after="0" w:line="7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by EMA or other designations, schemes or tools in the EU for one or more of our product candidates, which we may not receive. Such designations may not lead to a faster development or regulatory review or approval process and do not increase the likelihood that our product candidates will receive marketing authorization.</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European Medicines Agency’s, or EMA,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competent regulatory authorities in the EU have broad discretion whether to grant such an accelerated assessment, and, even if such assessment is granted, we may not experience a faster development process, review or authorization compared to conventional procedures. Moreover, the removal or threat of removal of such an accelerated assessment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but may not be able to obtain it.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obtained orphan drug designation from the FDA for SER-109 for recurrent CDI and SER-287 for pediatric UC and may seek orphan drug designation and exclusivity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United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ind w:right="300"/>
        <w:spacing w:after="0" w:line="266" w:lineRule="auto"/>
        <w:rPr>
          <w:sz w:val="20"/>
          <w:szCs w:val="20"/>
          <w:color w:val="auto"/>
        </w:rPr>
      </w:pPr>
      <w:r>
        <w:rPr>
          <w:rFonts w:ascii="Times New Roman" w:cs="Times New Roman" w:eastAsia="Times New Roman" w:hAnsi="Times New Roman"/>
          <w:sz w:val="18"/>
          <w:szCs w:val="18"/>
          <w:color w:val="auto"/>
        </w:rPr>
        <w:t>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if a product with an orphan drug designation subsequently receives the first marketing approval for the disease or condition for which it has such designation, the product is entitled to a period of marketing exclusivity, which precludes the FDA or other regulatory authorities from approving another marketing application for the same drug or biologic for that time period, except in limited circumstances, such as a showing of clinical superiority over the product with orphan exclusivity or where the manufacturer is unable to assure sufficient product quantity for the orphan patient population. The applicable period is seven years in the United States and ten years in Europe. The European exclusivity period can be reduced to six years if, at the end of the fifth year, it is established that a product no longer meets the criteria for orphan drug designation or if the product is sufficiently profitable so that market exclusivity is no longer justified. Orphan drug exclusivity may be lost if the FDA or other regulatory authorities determine that the request for designation was materially defective or if the manufacturer is unable to assure a sufficient quantity of the drug or biologic to meet the needs of patients with the rare disease or condition.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for a product may not effectively protect the product from competition because different drugs and biologics can be approved for the same disease or condition. Even after an orphan drug or biologic is approved, the FDA or other regulatory authorities can subsequently approve the same drug or biologic for the same disease or condition if the FDA or other regulatory authorities conclude that the later drug is clinically superior in that it is shown to be safer, more effective or makes a major contribution to patient care. Orphan drug designation neither shortens the development time or regulatory review time nor gives the drug any advantage in the regulatory review or approval process.</w:t>
      </w:r>
    </w:p>
    <w:p>
      <w:pPr>
        <w:spacing w:after="0" w:line="7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and other regulatory authorities to review and or approve new products can be affected by a variety of factors, including government budget and funding levels, statutory, regulatory, and policy changes, the FDA’s and other regulatory authorities' ability to hire and retain key personnel and accept the payment of user fees, and other events that may otherwise affect the FDA’s and other regulatory authorities'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regulatory authorities, such as the EMA, following its relocation to Amsterdam and resulting staff changes, may also slow the time necessary for new drugs and biologics to be reviewed and/or approved by necessary regulatory authorities, which would adversely affect our business. For example, over the last several years, the U.S. government has shut down several times and certain regulatory authorities, such as the FDA, have had to furlough critical FDA employees and stop critical activities.</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including the EMA,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 and Manufacturing</w:t>
      </w:r>
    </w:p>
    <w:p>
      <w:pPr>
        <w:spacing w:after="0" w:line="11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collaboration and license agreements with Société des Produits Nestlé S.A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NHSc Rx License GmbH (collectively, and together with their affiliates and subsidiaries, Nestlé) are important to our business. If we or Nestlé fail to adequately perform under these agreements, or if we or Nestlé terminate the agreements, the development and commercialization of our CDI and IBD product candidates, including SER-109, SER-287 and SER-301, could be delayed or terminated and our business would be adversely affected.</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January 2016, we entered into a Collaboration and License Agreement with Nestlé, or the 2016 License Agreement. The 2016 License Agreement may be terminated:</w:t>
      </w:r>
    </w:p>
    <w:p>
      <w:pPr>
        <w:spacing w:after="0" w:line="54" w:lineRule="exact"/>
        <w:rPr>
          <w:sz w:val="20"/>
          <w:szCs w:val="20"/>
          <w:color w:val="auto"/>
        </w:rPr>
      </w:pPr>
    </w:p>
    <w:p>
      <w:pPr>
        <w:ind w:left="1020" w:right="5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Nestlé in the event of serious safety issues related to SER-109, SER-287, SER-301 or other specific products added under the 2016 License Agreement, or, collectively, the 2016 Collaboration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if Nestlé challenges the validity or enforceability of any of our licensed patents;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Nestlé or us in the event of the other party’s uncured material breach or insolvency.</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Upon termination of the 2016 License Agreement, all licenses granted to Nestlé by us will terminate, and all rights in and to the 2016 Collaboration Products held by Nestlé will revert to us. If we commit a material breach of the 2016 License Agreement, Nestlé may elect not to terminate the 2016 License Agreement but instead apply specified adjustments to its payment obligations and other terms and conditions of the 2016 License Agreement. If Nestlé were to make such adjustments, the funding from and benefits of the 2016 License Agreement could be diminished, which could adversely affect our financial condition. Unless the 2016 License Agreement is terminated by us for Nestlé’s uncured material breach, upon termination of the 2016 License Agreement, Nestlé will be eligible to receive post-termination royalties from us until Nestlé has recouped certain development costs related to the 2016 Collaboration Products and specified percentages of any milestone payments paid to us under the 2016 License Agreement prior to termination, which could have a material adverse effect on our business.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July 2021, we entered into a License Agreement with Nestlé, or the 2021 License Agreement. The 2021 License Agreement may be terminated:</w:t>
      </w:r>
    </w:p>
    <w:p>
      <w:pPr>
        <w:spacing w:after="0" w:line="117" w:lineRule="exact"/>
        <w:rPr>
          <w:sz w:val="20"/>
          <w:szCs w:val="20"/>
          <w:color w:val="auto"/>
        </w:rPr>
      </w:pPr>
    </w:p>
    <w:p>
      <w:pPr>
        <w:ind w:left="1020" w:right="2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Nestlé with twelve months’ prior written notice, effective only on or after the third anniversary of first commercial sale of our SER-109 product and any improvements and modifications thereto developed pursuant to the terms of the 2021 License Agreement, or the 2021 Collaboration Products;</w:t>
      </w:r>
    </w:p>
    <w:p>
      <w:pPr>
        <w:spacing w:after="0" w:line="67"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Nestlé if first commercial sale of the first 2021 Collaboration Product has not occurred by the fifth anniversary of the effective date of the 2021 License Agreement, with 180 days’ prior written notice, which must be provided during a specified period set forth in the 2021 License Agreement;</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Nestlé if regulatory approval for SER-109 is not granted after submission by us of a filing seeking first regulatory approval as set forth in the development and regulatory activity plan, and the parties fail to agree on further development of SER-109 in accordance with the terms of the 2021 License Agreement, with 180 days’ prior written notice, which must be provided within a specified period set forth in the 2021 License Agreement;</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if Nestlé challenges the validity or enforceability of any of our licensed patents;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Nestlé or us in the event of the other party’s uncured material breach or insolvency.</w:t>
      </w:r>
    </w:p>
    <w:p>
      <w:pPr>
        <w:spacing w:after="0" w:line="11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Upon termination of the 2021 License Agreement, all licenses granted to Nestlé by us will terminate. If we commit a material breach of the 2021 License Agreement, Nestlé may elect not to terminate the 2021 License Agreement but instead apply specified adjustments to the payment terms and other terms and conditions of the agreement. If Nestlé were to make such adjustments, the funding from and benefits of the 2021 License Agreement could be diminished, which could adversely affect our financial condition. In the event we materially breach the 2021 License Agreement or file for bankruptcy, the share of profits and milestones due to us will be reduced by a specified percentage until Nestlé has recouped twice the losses caused by our material breach or bankruptcy.</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Termination of these agreements could cause significant delays in our product development and commercialization efforts that could prevent us from commercializing our CDI and IBD product candidates without first expanding our internal capabilities or entering into another agreement with a third party. Any alternative collaboration or license could also be on less favorable terms to us. In addition, under the agreements, Nestlé agreed to provide funding for certain clinical development activities. If either of the agreements were terminated, we may need to refund those payments and seek additional financing to support the research and development of any terminated products or discontinue any terminated products, which could have a material adverse effect on our business.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Under the collaboration and license agreements, we are dependent upon Nestlé to successfully commercialize any applicable collaboration products both outside and within the United States and Canada, as applicable. We cannot directly control Nestlé’s commercialization activities or the resources it allocates to our product candidates. Our interests and Nestlé’s interests may differ or conflict from time to time, or we may disagree with Nestlé’s level of effort or resource allocation. Nestlé may internally prioritize our product candidates differently than we do or it may not allocate sufficient resources to effectively or optimally commercialize them. If these events were to occur, our business would be adversely affected.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rely on third parties, such as CROs, clinical data management organizations, medical institutions and clinical investigators, to conduct and manage our clinical trials.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safety and welfare of trial participants are protected.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or similar regulatory requirements outside the United States.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 Other countries’ regulatory authorities also have requirements for clinical trials with which we must comply.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specified timeframes. Failure to do so can result in fines, adverse publicity and civil and criminal sanctions.</w:t>
      </w:r>
    </w:p>
    <w:p>
      <w:pPr>
        <w:spacing w:after="0" w:line="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6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aspects of the manufacture of our product candidates for preclinical and clinical testing and for potential commercial manufacture, and we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rely, and expect to continue to rely, on third parties, including GenIbet and Bacthera, for certain aspects of materials supply for our product candidates in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certain of our product candidates rely on human stool from third-party donors. If we do not obtain an adequate supply of donor-derived material to meet clinical or commercial demand, our ability to manufacture our product candidates may be delayed or adversely impacted.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rely on third-party manufacturers, which entails additional risks, including:</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perform the manufacturing process adequately;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supply components, intermediates, services, or product according to our specifications;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supply components, intermediates, services, or product according to our schedule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manufacturers at times that are costly or inconvenient for us.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1" w:name="page42"/>
    <w:bookmarkEnd w:id="41"/>
    <w:p>
      <w:pPr>
        <w:ind w:firstLine="509"/>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current good manufacturing processes, or cGMP, regulations or similar regulatory requirements inside or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Some of the contract manufacturers we rely on to produce our product candidates have never produced an FDA-approved therapeutic. One of the contract manufacturers on which we rely will be constructing a building in which to manufacture our product candidates, which may not be completed on time or at all or, upon completion, may not be approved by the FDA. If our manufacturers are unable to comply with cGMP regulation or similar regulatory requirements outside the United States or if the FDA or other regulatory authorities do not approve their facility upon a pre-approval inspection, our therapeutic candidates may not be approved or may be delayed in obtaining approval. In addition, there are a limited number of manufacturers that operate under cGMP regulations and similar regulatory requirements outside the United States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 second source for certain required materials used for the manufacture of finished product. If our current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commercialization efforts. Moreover, as a result of the COVID-19 pandemic, third-party manufacturers may be affected, which could disrupt their activities and as a result we could face difficulty sourcing key components necessary to produce supply of our product candidates, which may negatively affect our preclinical and clinical development activities.</w:t>
      </w:r>
    </w:p>
    <w:p>
      <w:pPr>
        <w:spacing w:after="0" w:line="77"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manufacturing our product candidates commercially, and we cannot assure you that we can manufacture our product candidates in compliance with regulations at a cost or in quantities necessary to make them commercially viable.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manufacturing facilities at our Cambridge, Massachusetts locations where we conduct process development, scale-up activities and a portion of the manufacture of microbiome therapeutics. The FDA and other comparable foreign regulatory authorities must, pursuant to inspections that are conducted after submitting a BLA or relevant foreign marketing submission, confirm that the manufacturing processes for the product meet cGMP or similar regulatory requirements outside the United States. We have not yet received the final results of any inspections of our manufacturing facilities.</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currently intend to rely in part on third-party manufacturers for the commercial manufacturing of SER-109 and may establish a manufacturing facility for SER-109 or any of our other product candidates for production at a commercial scale. We have no experience in manufacturing sufficient volume of our product candidates to meet potential market demands. We may not be able to develop commercial-scale manufacturing facilities that are adequate to produce materials for commercial use.</w:t>
      </w:r>
    </w:p>
    <w:p>
      <w:pPr>
        <w:spacing w:after="0" w:line="7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some of our product candidates require donor material, of which we may not be able to collect sufficient quantities for commercial-scale or other manufacturing.</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 and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Legal Matters</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it may fail to achieve the degree of market acceptance by physicians, patients, hospitals, third-party payors and others in the medical community necessary for commercial success.</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For example, current CDI treatment involves the use of antibiotics that are well established in the medical community or the use of FMT, and physicians may continue to rely on these treatments. If our product candidates receive approval but do not achieve an adequate level of acceptance, we or our collaborators may not generate significant product revenue and we may not become profitable. The degree of market acceptance of our approved product candidates, if any,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efficacy, safety and other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them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convenience and ease of administration compared to alternative treatments;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2" w:name="page43"/>
    <w:bookmarkEnd w:id="42"/>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their side effects and their overall safety profiles;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products with other medicines patients are taking;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to take our products.</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establish effective sales, marketing and distribution capabilities or enter into agreements with third parties with such capabilities, we or our collaborators may not be successful in commercializing our product candidates if and when they are approved.</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have employees with experience in sales and marketing, but we have limited sales or marketing infrastructure and, as a company,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sales and marketing functions and we may not be successful in doing so.</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July 2021, we entered into the 2021 License Agreement with Nestlé, pursuant to which we granted Nestlé, under certain of our patent rights and know how, a co-exclusive, sublicensable (under certain conditions) license to develop, commercialize and conduct medical affairs activities for the 2021 Collaboration Products in the United States and Canada. Under the 2021 License Agreement, Nestlé has the sole right to commercialize the 2021 Collaboration Products in the 2021 Licensed Territory in accordance with a commercialization plan, subject to our right to elect to provide up to a specified percentage of all promotional details for a certain target audience. Each party will use commercially reasonable efforts to commercialize the 2021 Collaboration Products in the 2021 Licensed Territory in accordance with the commercialization plan. Both parties will perform medical affairs activities for 2021 Collaboration Products in the 2021 Licensed Territory in accordance with a medical affairs plan. We will be responsible for commercialization and medical affairs activities costs incurred by the parties until first commercial sale of the first 2021 Collaboration Product in the 2021 Licensed Territory and in accordance with a pre-launch plan, up to a specified cap.</w:t>
      </w:r>
    </w:p>
    <w:p>
      <w:pPr>
        <w:spacing w:after="0" w:line="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the future, we expect to build a focused sales and marketing infrastructure, or certain components of such infrastructure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or our collaborators cannot retain or reposition sales and marketing personnel.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efforts to commercialize our products include:</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physicians on the benefits of our products;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coverage and reimbursement from third-party payors and governmental agencies.</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we rely and may increasingly rely on third parties, including Nestlé,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75"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5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is highly competitive and is characterized by rapid and substantial technological development and product innovations. We and our collaborators face competition with respect to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ind w:right="160"/>
        <w:spacing w:after="0" w:line="254" w:lineRule="auto"/>
        <w:rPr>
          <w:sz w:val="20"/>
          <w:szCs w:val="20"/>
          <w:color w:val="auto"/>
        </w:rPr>
      </w:pPr>
      <w:r>
        <w:rPr>
          <w:rFonts w:ascii="Times New Roman" w:cs="Times New Roman" w:eastAsia="Times New Roman" w:hAnsi="Times New Roman"/>
          <w:sz w:val="18"/>
          <w:szCs w:val="18"/>
          <w:color w:val="auto"/>
        </w:rPr>
        <w:t>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or commercialization of products, including microbiome therapeutics, for reducing CDI and other disease indications we are targeting. Some of these competitive products and therapies are based on scientific approaches that are the same as or similar to our approach, and others may be based on entirely different approaches. For example, FMT is a procedure that has resulted in reports of high success rates for recurrent CDI.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72"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3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or third-party coverage and reimbursement policies, any of which would harm our business.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Obtaining and maintaining adequate reimbursement for our products may be difficult.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t>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any products that we may develop.</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hold $5.0 million in product liability insurance coverage in the aggregate, with a per occurrence limit of $5.0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biosimilars, which may have a material adverse impact on the future commercial prospects of our product candidates.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Even if we and our collaborators are successful in achieving regulatory approval to commercialize a product candidate faster than our competitors, we may face competition from biosimilars. In the United States, the Biologics Price Competition and Innovation Act, or BPCIA, enacted in 2010 as part of the Patient Protection and Affordable Care Act,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8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It is possible that Congress or the FDA may take these or other measures to reduce or eliminate periods of exclusivity. The BPCIA is complex and continues to be interpreted and implemented by the FDA, and such FDA implementation could have a material adverse effect on the future commercial prospects for our product candidates.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5" w:name="page46"/>
    <w:bookmarkEnd w:id="45"/>
    <w:p>
      <w:pPr>
        <w:ind w:firstLine="509"/>
        <w:spacing w:after="0" w:line="255"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can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If competitors are able to obtain marketing approval for biosimilars referencing our products, our products may become subject to competition from such biosimilars, with the attendant competitive pressure and consequences.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or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products in any market.</w:t>
      </w:r>
    </w:p>
    <w:p>
      <w:pPr>
        <w:spacing w:after="0" w:line="8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remain subject to significant post-marketing regulatory requirements and oversight.</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and similar foreign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and similar foreign requirements. Accordingly, we, and our collaborators and others with whom we work, must continue to expend time, money and effort in all areas of regulatory compliance, including manufacturing, production and quality control.</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which could include requirements for a medication guide, communication plan, or restricted distribution system. If any of our product candidates receives marketing approval, the accompanying label may limit the approved use of our drug, which could limit sales of the product.</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or other regulatory authorities may also impose requirements for costly post-marketing studies or clinical trials and surveillance to monitor the safety or efficacy of our approved products. The FDA or other regulatory authorities closely regulates the post-approval marketing and promotion of drugs and biologics to ensure they are marketed only for the approved indications and in accordance with the provisions of the approved labeling. Violations of the FDA’s and other regulatory authorities’ restrictions relating to the promotion of prescription drugs by us or our collaborators may also lead to investigations alleging violations of federal and state health care fraud and abuse laws, as well as state consumer protection laws.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if a regulatory authority, we or our collaborators later discover previously unknown problems with our products, such as adverse events of unanticipated severity or frequency, problems with manufacturers or manufacturing processes, or failure to comply with regulatory requirements, the regulatory authority may impose restrictions on the products or us and our collaborators, including requiring withdrawal of the product from the market. Any failure by us or our collaborators to comply with applicable regulatory requirements may yield various results, including:</w:t>
      </w:r>
    </w:p>
    <w:p>
      <w:pPr>
        <w:spacing w:after="0" w:line="7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potential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11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It is difficult to predict whether or how any executive orders will be implemented, or whether they will be rescinded and replaced under future administrations. The policies and priorities of the new administrations are unknown and could materially impact the regulations governing our product candidates.</w:t>
      </w:r>
    </w:p>
    <w:p>
      <w:pPr>
        <w:spacing w:after="0" w:line="75"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authorities actively enforce the laws and regulations prohibiting the promotion of off-label uses.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approved and we or our collaborators are found to have improperly promoted off-label uses of those products, we may become subject to significant liability. The FDA and other regulatory authorities strictly regulate the promotional claims that may be made about prescription products, such as our product candidates, if approved. In particular, a product may not be promoted for uses that are not approved by the FDA or such other regulatory authorities as reflected in the product’s approved labeling. If we receive marketing approval for a product candidate, physicians may nevertheless prescribe it to their patients in a manner that is inconsistent with the approved label. If we or our collaborators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and any collaborators' relationships with customers, physicians and third-party payors are and will be subject to applicable anti-kickback, fraud and abuse and other healthcare laws and regulations, which could expose us or our collaborators to criminal sanctions, civil penalties, exclusion from governmental healthcare programs, contractual damages, reputational harm and diminished profits and future earnings.</w:t>
      </w:r>
    </w:p>
    <w:p>
      <w:pPr>
        <w:spacing w:after="0" w:line="6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and our collaborators' current and future arrangements with third-party payors, physicians and customers expose us to broadly applicable fraud and abuse and other healthcare laws and regulations that may restrict the business or financial arrangements and relationships through which we market, sell and distribute any products for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which we obtain marketing approval. Restrictions under applicable federal and state healthcare laws and regulations include the following:</w:t>
      </w:r>
    </w:p>
    <w:p>
      <w:pPr>
        <w:spacing w:after="0" w:line="117" w:lineRule="exact"/>
        <w:rPr>
          <w:sz w:val="20"/>
          <w:szCs w:val="20"/>
          <w:color w:val="auto"/>
        </w:rPr>
      </w:pPr>
    </w:p>
    <w:p>
      <w:pPr>
        <w:ind w:left="1020" w:right="6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ind w:left="1020" w:right="240" w:hanging="503"/>
        <w:spacing w:after="0" w:line="25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imposes, among other things,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7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67"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to report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ownership and investment interests held by physicians and their immediate family members; manufacturers are required to submit reports to the government by the 90th day of each calendar year; and</w:t>
      </w:r>
    </w:p>
    <w:p>
      <w:pPr>
        <w:spacing w:after="0" w:line="75" w:lineRule="exact"/>
        <w:rPr>
          <w:rFonts w:ascii="Times New Roman" w:cs="Times New Roman" w:eastAsia="Times New Roman" w:hAnsi="Times New Roman"/>
          <w:sz w:val="18"/>
          <w:szCs w:val="18"/>
          <w:color w:val="auto"/>
        </w:rPr>
      </w:pPr>
    </w:p>
    <w:p>
      <w:pPr>
        <w:ind w:left="1020" w:right="160" w:hanging="503"/>
        <w:spacing w:after="0" w:line="25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foreign governments) and may require drug manufacturers to report information related to payments and other transfers of value to physicians and other healthcare providers, pricing information or marketing expenditures.</w:t>
      </w:r>
    </w:p>
    <w:p>
      <w:pPr>
        <w:spacing w:after="0" w:line="79" w:lineRule="exact"/>
        <w:rPr>
          <w:sz w:val="20"/>
          <w:szCs w:val="20"/>
          <w:color w:val="auto"/>
        </w:rPr>
      </w:pPr>
    </w:p>
    <w:p>
      <w:pPr>
        <w:ind w:right="120" w:firstLine="509"/>
        <w:spacing w:after="0" w:line="277" w:lineRule="auto"/>
        <w:rPr>
          <w:sz w:val="20"/>
          <w:szCs w:val="20"/>
          <w:color w:val="auto"/>
        </w:rPr>
      </w:pPr>
      <w:r>
        <w:rPr>
          <w:rFonts w:ascii="Times New Roman" w:cs="Times New Roman" w:eastAsia="Times New Roman" w:hAnsi="Times New Roman"/>
          <w:sz w:val="17"/>
          <w:szCs w:val="17"/>
          <w:color w:val="auto"/>
        </w:rPr>
        <w:t>The risk of our or our collaborators being found in violation of these laws is increased by the fact that many of them have not been fully interpreted by the regulatory authorities or the courts, and their provisions are open to a variety of interpretations. Any action against us or our collaborators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we may violate one or more of the requirements.</w:t>
      </w:r>
    </w:p>
    <w:p>
      <w:pPr>
        <w:spacing w:after="0" w:line="6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reporting obligations and oversight if we become subject to a corporate integrity agreement or other agreement, and the curtailment or restructuring of our operations.</w:t>
      </w:r>
    </w:p>
    <w:p>
      <w:pPr>
        <w:spacing w:after="0" w:line="7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68"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the Patient Protection and Affordable Care Act, as amended by the Health Care and Education Affordability Reconciliation Act, or collectively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new pathway for approval of lower-cost biosimilars to compete with biologic products, such as those we are developing;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specified branded prescription drugs and biologic agents;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point-of-sale discounts off negotiated prices;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enacted in August 2011, required sequestration that included aggregate reductions of Medicare payments to providers of 2% per fiscal year, which went into effect on April 1, 2013 and, due to subsequent legislative amendments, will remain in effect through 2030, unless additional Congressional action is taken. Under current legislation, the actual reduction in Medicare payments will increase in future years of the sequester. On January 2, 2013, the American Taxpayer Relief Act of 2012 was signed into law, which, among other things, reduced Medicare payments to several providers, including hospitals, and an increase in the statute of limitations period for the government to recover overpayments to providers from three to five years.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in March 2021, the American Rescue Plan Act of 2021 was signed into law, which, among other things, eliminated the statutory cap on drug manufacturers’ Medicaid Drug Rebate Program rebate liability, effective January 1, 2024. Under current law enacted as part of the ACA, drug manufacturers’ Medicaid Drug Rebate Program rebate liability is capped at 100% of the average manufacturer price for a covered outpatient drug. We expect that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8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Individual states in the United States have become increasingly active in implementing regulations designed to contain pharmaceutical and biological product pricing, including price or patient reimbursement constraints, discounts, restrictions on certain product access and marketing cost disclosure and transparency measures. Most significantly, on August 16, 2022, President Biden signed the Inflation Reduction Act of 2022, or the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and while the impact of the IRA on the pharmaceutical industry cannot yet be fully determined, it is likely to be significant.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some countries, particularly the EU member states, the pricing of certain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Other member states allow companies to fix their own prices for medicines but monitor and control company profits. Even if a pharmaceutical product obtains a marketing authorization in the EU, there can be no assurance that reimbursement for such product will be secured on a timely basis or at all. If coverage and reimbursement of our products are unavailable or limited in scope or amount, or if pricing is set at unsatisfactory levels, our business could be harmed, possibly materially.</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6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For some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8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have obtained licenses and options to obtain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had in the past, and may have in the future, certain funding arrangements. Such funding arrangements impose various obligations on us, including reporting obligations, and may subject certain of our intellectual property, such as intellectual property made using the applicable funding, to the rights of the U.S. government under the Bayh-Dole Act. Any failure to comply with our obligations under a funding arrangement may have an adverse effect on our rights under the applicable agreement or our rights in the applicable intellectual property. Compliance with our obligations or the exercise by the government or other funder of its rights, may limit certain opportunities or otherwise have an adverse effect on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ind w:firstLine="509"/>
        <w:spacing w:after="0" w:line="253" w:lineRule="auto"/>
        <w:rPr>
          <w:sz w:val="20"/>
          <w:szCs w:val="20"/>
          <w:color w:val="auto"/>
        </w:rPr>
      </w:pPr>
      <w:r>
        <w:rPr>
          <w:rFonts w:ascii="Times New Roman" w:cs="Times New Roman" w:eastAsia="Times New Roman" w:hAnsi="Times New Roman"/>
          <w:sz w:val="18"/>
          <w:szCs w:val="18"/>
          <w:color w:val="auto"/>
        </w:rPr>
        <w:t>Our patent portfolio currently includes 24 active patent application families (which includes an option to license certain IP from MD Anderson and exclusive licenses to certain IP from Memorial Sloan Kettering Cancer Center). Of these, 22 applications have been nationalized and two are pending at the PCT stage. While we have obtained 24 issued U.S. patents with one currently allowed,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such claims would not prevent a third party from commercializing alternative compositions that do not include both of the bacterial populations claimed in pending applications, potential applications or patents that have or may issue. There can be no assurance that any such alternative composition will not be equally effective. Further, given that our SER-109 product candidate is a complex composition with some variation from lot-to-lot and that, likewise, third-party compositions may have similar complexity and variability, it is possible that a patent claim may provide coverage for some but not all lots of a product candidate or third-party product. These and other factors may provide opportunities for our competitors to design around our patents, should they issue.</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products. In addition, given the early stage of prosecution of our portfolio, it may be some time before we understand how patent offices react to our patent claims and whether they identify prior art of relevance that we have not already considered.</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For example, on April 25, 2017, we filed a notice of opposition in the European Patent Office challenging the validity of a patent issued to The University of Tokyo. See “—</w:t>
      </w:r>
      <w:r>
        <w:rPr>
          <w:rFonts w:ascii="Times New Roman" w:cs="Times New Roman" w:eastAsia="Times New Roman" w:hAnsi="Times New Roman"/>
          <w:sz w:val="18"/>
          <w:szCs w:val="18"/>
          <w:i w:val="1"/>
          <w:iCs w:val="1"/>
          <w:color w:val="auto"/>
        </w:rPr>
        <w:t>Third parties may initiate legal proceedings alleging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we are infringing their intellectual property rights, the outcome of which would be uncertain and could have a material adverse effect on the success of our business</w:t>
      </w:r>
      <w:r>
        <w:rPr>
          <w:rFonts w:ascii="Times New Roman" w:cs="Times New Roman" w:eastAsia="Times New Roman" w:hAnsi="Times New Roman"/>
          <w:sz w:val="18"/>
          <w:szCs w:val="18"/>
          <w:color w:val="auto"/>
        </w:rPr>
        <w:t>.” The oral proceedings were held at the European Patent Office on February 18, 2019 and the Opposition Division required The University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Tokyo to narrow the scope of the claims of the patent. The University of Tokyo appealed certain aspects of the Opposition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w:t>
      </w:r>
    </w:p>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20" w:right="1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if issued, will include claims having a scope sufficient to protect our product candidates or any other products or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 candidates, if approved, before our relevant patents expire;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any existing patent and pending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or design around our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be found to ultimately be valid and enforceable;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will not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obtain and/or maintain necessary or useful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or proprietary rights of others.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may be harmed.</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in particular the first to file provisions, only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 applications in our portfolio will be subject to examination under the law and regulations, as amended by the Leahy-Smith Act. This introduces additional complexities into the prosecution and management of our portfolio.</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80"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In addition, Supreme Court rulings have narrowed the scope of patent protection available in certain circumstances and weakened the rights of patent owners in certain situations. From time to time, the Supreme Court, other federal courts, Congress, or the USPTO, may change the standards of patentability and any such changes could have a negative impact on our business.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569 U.S. 12-398 (2013);</w:t>
      </w:r>
      <w:r>
        <w:rPr>
          <w:rFonts w:ascii="Times New Roman" w:cs="Times New Roman" w:eastAsia="Times New Roman" w:hAnsi="Times New Roman"/>
          <w:sz w:val="18"/>
          <w:szCs w:val="18"/>
          <w:i w:val="1"/>
          <w:iCs w:val="1"/>
          <w:color w:val="auto"/>
        </w:rPr>
        <w:t xml:space="preserve"> Alice Corp. v. CLS Bank International</w:t>
      </w:r>
      <w:r>
        <w:rPr>
          <w:rFonts w:ascii="Times New Roman" w:cs="Times New Roman" w:eastAsia="Times New Roman" w:hAnsi="Times New Roman"/>
          <w:sz w:val="18"/>
          <w:szCs w:val="18"/>
          <w:color w:val="auto"/>
        </w:rPr>
        <w:t>, 573 U.S. 13-298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Mayo Collaborative Services v. Prometheus Laboratories, Inc.</w:t>
      </w:r>
      <w:r>
        <w:rPr>
          <w:rFonts w:ascii="Times New Roman" w:cs="Times New Roman" w:eastAsia="Times New Roman" w:hAnsi="Times New Roman"/>
          <w:sz w:val="18"/>
          <w:szCs w:val="18"/>
          <w:color w:val="auto"/>
        </w:rPr>
        <w:t>, 566 U.S. 10-1150 (2012). In response to these cases, the USPTO has issued guidance to the examining corps.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USPTO first issued a memorandum reflecting the USPTO’s interpretation of the cases related to patent eligibility of natural products on March 4, 2014, which it subsequently revised and expanded upon in several additional updates now incorporated into its Manual of Patent Examination Procedure. The USPTO’s interpretation of the case law and new guidelines for examination may influence, possibly adversely, prosecution and defense of certain types of claims in our portfolio.</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products or use of our products do not infringe third-party patents.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3" w:name="page54"/>
    <w:bookmarkEnd w:id="53"/>
    <w:p>
      <w:pPr>
        <w:ind w:right="60"/>
        <w:spacing w:after="0" w:line="252" w:lineRule="auto"/>
        <w:rPr>
          <w:sz w:val="20"/>
          <w:szCs w:val="20"/>
          <w:color w:val="auto"/>
        </w:rPr>
      </w:pPr>
      <w:r>
        <w:rPr>
          <w:rFonts w:ascii="Times New Roman" w:cs="Times New Roman" w:eastAsia="Times New Roman" w:hAnsi="Times New Roman"/>
          <w:sz w:val="18"/>
          <w:szCs w:val="18"/>
          <w:color w:val="auto"/>
        </w:rPr>
        <w:t>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products or the use of our products. We are aware of several pending patent applications containing one or more claims that could be construed to cover some of our product candidates or technology, should those claims issue in their original form or in the form presently being pursued. In addition, we are aware of third-party patent families that include issued and allowed patents, including in the United States, including claims that, if valid and enforceable, could be construed to cover some of our product candidates or their methods of use. On April 25, 2017, we filed a notice of opposition in the European Patent Office challenging the validity of a patent issued to The University of Tokyo and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appealed certain aspects of the Oppositions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w:t>
      </w:r>
    </w:p>
    <w:p>
      <w:pPr>
        <w:spacing w:after="0" w:line="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75"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or could be interpreted narrowly if challenged in court.</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84"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5" w:name="page56"/>
    <w:bookmarkEnd w:id="55"/>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8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Additionally, Europe's planned Unified Patent Court, or UPC, may present uncertainties for our ability to protect and enforce our patent rights against competitors in Europe. Although this new court is being implemented to provide more certainty and efficiency to patent enforcement throughout Europe, it will also provide our competitors with a new forum to use to centrally challenge our patents if opted into the UPC, rather than having to seek invalidity or non-infringement decisions on a country-by-country basis. Once the UPC is established, it will be several years before the scope of patent rights that will be recognized and the strength of patent remedies that will be provided is known.</w:t>
      </w:r>
    </w:p>
    <w:p>
      <w:pPr>
        <w:spacing w:after="0" w:line="75"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ind w:right="80"/>
        <w:spacing w:after="0" w:line="282" w:lineRule="auto"/>
        <w:rPr>
          <w:sz w:val="20"/>
          <w:szCs w:val="20"/>
          <w:color w:val="auto"/>
        </w:rPr>
      </w:pPr>
      <w:r>
        <w:rPr>
          <w:rFonts w:ascii="Times New Roman" w:cs="Times New Roman" w:eastAsia="Times New Roman" w:hAnsi="Times New Roman"/>
          <w:sz w:val="18"/>
          <w:szCs w:val="18"/>
          <w:color w:val="auto"/>
        </w:rPr>
        <w:t>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5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80" w:lineRule="exact"/>
        <w:rPr>
          <w:sz w:val="20"/>
          <w:szCs w:val="20"/>
          <w:color w:val="auto"/>
        </w:rPr>
      </w:pPr>
    </w:p>
    <w:p>
      <w:pPr>
        <w:ind w:right="180" w:firstLine="509"/>
        <w:spacing w:after="0" w:line="289" w:lineRule="auto"/>
        <w:rPr>
          <w:sz w:val="20"/>
          <w:szCs w:val="20"/>
          <w:color w:val="auto"/>
        </w:rPr>
      </w:pPr>
      <w:r>
        <w:rPr>
          <w:rFonts w:ascii="Times New Roman" w:cs="Times New Roman" w:eastAsia="Times New Roman" w:hAnsi="Times New Roman"/>
          <w:sz w:val="17"/>
          <w:szCs w:val="17"/>
          <w:color w:val="auto"/>
        </w:rPr>
        <w:t>If our ability to obtain and, if obtained, enforce our patents to stop infringing activities is inadequate, third parties may compete with our products,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could continue to adversely impact, our business, including our preclinical studies and clinical trials, results of operations and financial condition.</w:t>
      </w:r>
    </w:p>
    <w:p>
      <w:pPr>
        <w:spacing w:after="0" w:line="5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The COVID-19 pandemic and government measures taken in response have also had a significant impact, both direct and indirect, on businesses and commerce, as worker shortages have occurred, supply chains have been disrupted, and facilities and production have been suspended. We are continuing to monitor the impact of the COVID-19 pandemic on our operations and ongoing clinical development activity. Our mitigation activities to minimize COVID-19-related operation disruptions are ongoing, however, given the severity and evolving nature of the situation, the timing of clinical readouts is uncertain. As a result of the COVID-19 pandemic, including any resurgence or the emergence of new variants, we or our collaborators may experience further disruptions that could severely impact our business, preclinical studies and clinical trials, including:</w:t>
      </w:r>
    </w:p>
    <w:p>
      <w:pPr>
        <w:spacing w:after="0" w:line="79"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approval timelines;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global shipping delays or stoppages and disruptions in delivery systems;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other regulatory authorities to accept data from clinical trials in affected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prolonged remote work arrangements, such as increased cybersecurity risks and strains on our business continuity plans;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with equity offerings due to disruptions and uncertainties in the securities market.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7" w:name="page58"/>
    <w:bookmarkEnd w:id="57"/>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addition, the trading prices for our and other biopharmaceutical companies’ stock have been highly volatile as a result of the COVID-19 pandemic and the continued increase in inflation rates and interest rates. As a result, we may face difficulties raising capital through sales of our common stock and any such sales may be on unfavorable terms. The COVID-19 pandemic continues to rapidly evolve. The extent to which the pandemic further impacts our business, including our preclinical studies and clinical trials, results of operations and financial condition will depend on future developments which are highly uncertain and cannot be predicted with confidence. Such factors include but are not limited to the duration and severity of the pandemic, the impact of variants, travel restrictions, quarantines, shelter-in-place orders and social distancing recommendations and regulations in the U.S. and other countries, business closures or business disruptions, the adoption and effectiveness of vaccines and vaccine distribution efforts, and the effectiveness of other actions taken in the U.S. and other countries to contain and treat the disease.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Eric Shaff, our President and Chief Executive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operational capabilities, and as a result, we may encounter difficulties in managing our growth, which could disrupt our operations.</w:t>
      </w:r>
    </w:p>
    <w:p>
      <w:pPr>
        <w:spacing w:after="0" w:line="51"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We may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internationally could materially adversely affect our business.</w:t>
      </w:r>
    </w:p>
    <w:p>
      <w:pPr>
        <w:spacing w:after="0" w:line="121"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expanding internationally if any of our product candidates receive regulatory approval. We have conducted clinical studies in Australia and New Zealand in the past, and may in the future conduct clinical studies in other countries as well. We currently plan to rely on collaborators, including Nestlé, to commercialize certain approved products outside of North America. Also, for certain manufacturing services for SER-109, we rely on GenIbet in Portugal, and Bacthera, which is constructing a dedicated full-scale production suite for us in Switzerland. Doing business internationally involves a number of risks, including but not limited to:</w:t>
      </w:r>
    </w:p>
    <w:p>
      <w:pPr>
        <w:spacing w:after="0" w:line="75" w:lineRule="exact"/>
        <w:rPr>
          <w:sz w:val="20"/>
          <w:szCs w:val="20"/>
          <w:color w:val="auto"/>
        </w:rPr>
      </w:pPr>
    </w:p>
    <w:p>
      <w:pPr>
        <w:ind w:left="1020" w:right="2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products in various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and enforcing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a continued increase in inflation rates or interest rates, labor shortages, supply chain shortages, or other economic, political or legal uncertainties or adverse developments;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and wars, such as the current situation with Ukraine and Russia, which could delay or disrupt our business, and if such political unrest escalates or spills over to or otherwise impacts additional regions it could heighten many of the other risk factors included in this Item 1A;</w:t>
      </w:r>
    </w:p>
    <w:p>
      <w:pPr>
        <w:spacing w:after="0" w:line="6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terrorism and political unrest, outbreak of disease or epidemics such as the COVID-19 pandemic, boycotts, curtailment of trade and other business restrictions;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cyberattacks or deficiencies in our cybersecurity.</w:t>
      </w:r>
    </w:p>
    <w:p>
      <w:pPr>
        <w:spacing w:after="0" w:line="12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personally identifiable information, intellectual property and proprietary business information owned or controlled by ourselves or our employees, customers and other parties. We manage and maintain our applications and data utilizing a combination of on-site systems and cloud-based data centers. We utilize external security and infrastructure vendors to manage parts of our data centers, and as a result a number of third-party vendors may or could have access to our confidential information. These applications and data encompass a wide variety of business-critical information, including research and development information, customer information, commercial information and business and financial information. We face a number of risks relative to protecting this critical information, including loss of access risk, inappropriate use or disclosure, unauthorized access, inappropriate modification and the risk of our being unable to adequately monitor and audit and modify our controls over our critical information. This risk extends to the third-party vendors and subcontractors we use to manage this sensitive data or otherwise process it on our behalf. The secure processing, storage, maintenance and transmission of this critical information are vital to our operations and business strategy, and we devote significant resources to protecting such information. Although we take reasonable measures to protect sensitive data from unauthorized access, use or disclosure, our information technology systems and those of our third-party service providers, strategic partners and other contractors or consultants are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w:t>
      </w:r>
    </w:p>
    <w:p>
      <w:pPr>
        <w:spacing w:after="0" w:line="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If we or our third-party vendors were to experience a significant cybersecurity breach of our or their information systems or data, the costs associated with the investigation and remediation could be material. Any such access, breach, or other loss of information could also result in legal claims or proceedings, and liability under federal or state laws that protect the privacy of personal information, and regulatory penalties. Notice of breaches may be required to affected individuals or other state, federal or foreign regulators, and for extensive breaches, notice may need to be made to the media or State Attorneys General. Such a notice could harm our reputation and our ability to compete. Although we have implemented security measures to prevent unauthorized access, such data is currently accessible through multiple channels, and there is no guarantee we can protect our data from breach.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9" w:name="page60"/>
    <w:bookmarkEnd w:id="59"/>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results of operations, financial performance and business.</w:t>
      </w:r>
    </w:p>
    <w:p>
      <w:pPr>
        <w:spacing w:after="0" w:line="8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U.S., HIPAA, as amended by the Health Information Technology for Economic and Clinical Health Act, and their implementing regulations, or collectively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Most healthcare providers, including research institutions from which we obtain clinical trial information, are subject to privacy and security regulations promulgated under HIPAA. We do not believe that we are currently acting as a covered entity or business associate under HIPAA and thus are not regulated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or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has increased the likelihood of, and risks associated with data breach litigation. Further, the California Privacy Rights Act, or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8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European Union General Data Protection Regulation, or the GDPR, went into effect in May 2018 and imposes strict requirements for processing the personal data of individuals within the European Economic Area, or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or CJEU, limited how organizations could lawfully transfer personal data from the EU/EEA to the United States by invalidating the Privacy Shield for purposes of international transfers and imposing further restrictions on the use of standard contractual clauses, or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 w:name="page61"/>
    <w:bookmarkEnd w:id="60"/>
    <w:p>
      <w:pPr>
        <w:ind w:right="240"/>
        <w:spacing w:after="0" w:line="282" w:lineRule="auto"/>
        <w:rPr>
          <w:sz w:val="20"/>
          <w:szCs w:val="20"/>
          <w:color w:val="auto"/>
        </w:rPr>
      </w:pPr>
      <w:r>
        <w:rPr>
          <w:rFonts w:ascii="Times New Roman" w:cs="Times New Roman" w:eastAsia="Times New Roman" w:hAnsi="Times New Roman"/>
          <w:sz w:val="18"/>
          <w:szCs w:val="18"/>
          <w:color w:val="auto"/>
        </w:rPr>
        <w:t>we operate, it could affect the manner in which we provide our services, the geographical location or segregation of our relevant systems and operations, and could adversely affect our financial results.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Since the beginning of 2021, after the end of the transition period following the UK’s departure from the European Union, we are also subject to the UK data protection regime, which imposes separate but similar obligations to those under the GDPR and comparable penalties, including fines of up to £17.5 million or 4% of a noncompliant company’s global annual revenue for the preceding financial year, whichever is greater. Additionally, the EU adopted the EU Clinical Trials Regulation, which came into effect on January 31, 2022. This regulation imposes new obligations on the use of data generated from clinical trials and enables European patients to have the opportunity to access information about clinical trials. As we continue to expand into other foreign countries and jurisdictions, we may be subject to additional laws and regulations that may affect how we conduct business.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joint ventures could disrupt our business, cause dilution to our stockholders and otherwise harm our business.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acquire other businesses, products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68"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exposure to cybersecurity risks and vulnerabilities from any newly acquired information technology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11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6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been subject to securities class action litigation and may be subject to similar or other litigation in the future, which may harm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Securities class action litigation has often been brought against a company following a decline in the market price of its securities. This risk is especially relevant for us because biopharmaceutical companies have experienced significant stock price volatility in recent years. On September 28, 2016, a purported stockholder filed a putative class action lawsuit in the U.S. District Court for the District of Massachusetts against us entitled Mariusz Mazurek v. Seres Therapeutics, Inc., et.al. alleging false and misleading statements and omissions about our clinical trials for our product candidate SER-109 in our public disclosures between June 25, 2015 and July 29, 2016. Although this lawsuit has been dismissed by the court, should we face similar or other litigation again, it could result in substantial costs and a diversion of management’s attention and resources, which could harm our business. In addition, the uncertainty of a pending lawsuit or potential filing of additional lawsuits could lead to more volatility and a reduction in our stock price.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including from the novel coronavirus SARS-CoV-2, which causes the COVID-19 disease,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research and development credits to offset future taxable income or income tax liabilities may be subject to certain limitations.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2022, we had net operating loss carryforwards, or NOLs, of $501.8 million for federal income tax purposes and $481.9 million for state income tax purposes, which may be available to offset our future taxable income, if any. Our federal and state NOLs begin to expire in various amounts in 2035, provided that federal NOLs generated in taxable years after December 31, 2017 will not be subject to expiration. As of December 31, 2022, we also had federal and state research and development and other tax credit carryforwards of approximately $42.1 million and $8.5 million, respectively, net of uncertain tax position reserves, available to reduce future income tax liabilities. Our federal and state tax credit carryforwards begin to expire in various amounts in 2031 and 2028, respectively. The federal research and development tax credit carryforwards include an orphan drug credit carryforward of $25.6 million. These NOLs and tax credit carryforwards could expire unused, to the extent subject to expiration, and be unavailable to offset future taxable income or income tax liabilities. In addition, in general, under Sections 382 and 383 of the U.S. Internal Revenue Code of 1986, as amended (the "Code"), a corporation that undergoes an “ownership change” is subject to limitations on its ability to use its pre-change NOLs and tax credit carryforwards to offset future taxable income and income taxes. For these purposes, an ownership change generally occurs where the aggregate change in stock ownership of one or more stockholders or groups of stockholders owning at least 5% of a corporation’s stock exceeds 50 percentage points over a three-year period. We have experienced ownership changes in the past, per the Section 382 study performed through December 31, 2020, and may experience ownership changes in the future because of future transactions in our stock, some of which may be outside our control. We believe that none of the existing tax attributes will expire unused as a result of the calculated limitations. If we undergo future ownership changes, our ability to use our NOLs and tax credit carryforwards could be further limited. For these reasons, we may not be able to use a material portion of our NOLs or tax credit carryforwards, even if we attain profitability. We have recorded a full valuation allowance related to our NOLs and other deferred tax assets due to the uncertainty of the ultimate realization of the future tax benefits of such assets. Federal NOLs arising in periods beginning after December 31, 2017 may generally only be used to offset 80% of taxable income in years beginning after December 31, 2020, which may require us to pay federal income taxes in future years despite generating federal NOLs in prior years.</w:t>
      </w:r>
    </w:p>
    <w:p>
      <w:pPr>
        <w:spacing w:after="0" w:line="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5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October 2019, we entered into a loan and security agreement with Hercules Capital, Inc., or Hercules, pursuant to which a term loan in an aggregate principal amount of up to $50.0 million, or the Original Credit Facility, was available to us in three tranches, subject to certain terms and conditions. We received the first tranche of $25.0 million upon signing the agreement on October 29, 2019, but did not borrow either of the second two tranches, which were available at different times upon Hercules’ approval until June 30, 2021.</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April 2020, we entered into an amendment to the loan and security agreement with Hercules, or the First Amendment, permitting us to enter into a promissory note under the Paycheck Protection Program of the Coronavirus Aid, Relief and Economic Stability Act.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2" w:name="page63"/>
    <w:bookmarkEnd w:id="62"/>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2022, we entered into a second amendment to the loan and security agreement with Hercules, or the Second Amendment, which amended the Original Credit Facility. Pursuant to the Second Amendment, term loans in an aggregate principal amount of up to $100.0 million, or the New Credit Facility, have become available to us in five tranches, subject to certain terms and conditions: (i) the first tranche in an aggregate principal amount of $25.0 million that was outstanding as of the February 24, 2022 effective date, or the Effective Date, (ii) the second tranche in an aggregate principal amount of $12.5 million that has been advanced to us and was outstanding as of the Effective Date, (iii) the third tranche in an aggregate principal amount of $12.5 million that has been advanced to us and was outstanding as of the Effective Date, (iv) the fourth tranche in an aggregate principal amount of $25.0 million available upon satisfaction of certain conditions, including the approval by the FDA of a biologics license application in respect of SER-109 by no later than December 15, 2023, or the Regulatory Approval Milestone, and (v) the fifth tranche in an aggregate principal amount of up to $25.0 million that is available through the amortization date upon satisfaction of certain conditions, including the lenders’ investment committee approval. The New Credit Facility is secured by a lien on substantially all of our assets, other than intellectual property. We also agreed not to pledge or secure our intellectual property to others.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New Credit Facility includes affirmative and negative covenants and events of default applicable to us. The affirmative covenants include, among others, covenants requiring us to maintain our legal existence and governmental approvals, deliver certain financial reports and maintain insurance coverage. The negative covenants include, among others, restrictions on our transferring collateral, making changes to the nature of our business, incurring additional indebtedness, engaging in mergers or acquisitions, paying dividends or making other distributions, making investments, engaging in transactions with affiliates. The New Credit Facility also includes a conditional liquidity covenant commencing on June 15, 2023, which ceases to apply if certain conditions including the Regulatory Approval Milestone are satisfied. Events of default include, among other things and subject to customary exceptions:</w:t>
      </w:r>
    </w:p>
    <w:p>
      <w:pPr>
        <w:spacing w:after="0" w:line="5" w:lineRule="exact"/>
        <w:rPr>
          <w:sz w:val="20"/>
          <w:szCs w:val="20"/>
          <w:color w:val="auto"/>
        </w:rPr>
      </w:pPr>
    </w:p>
    <w:p>
      <w:pPr>
        <w:ind w:right="80" w:firstLine="8"/>
        <w:spacing w:after="0" w:line="251" w:lineRule="auto"/>
        <w:tabs>
          <w:tab w:leader="none" w:pos="2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liquidation, bankruptcy or similar events; (ii) failure to pay any debts due under the loan and security agreement with Hercules or other loan documents on a timely basis; (iii) failure to observe certain covenants under the loan and security agreement with Hercules; (v) occurrence of a material adverse effect; (vi) material misrepresentation by us; (vii) occurrence of any default under any other agreement involving material indebtedness; and (viii) certain material money judgments. If we default under the loan and security agreement, Hercules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Any declaration by Hercules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stockholders who owned more than 5% of our outstanding common stock and their respective affiliates, in the aggregate, hold shares representing approximately 68.5% of our outstanding voting stock as of December 31, 2022.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ownership control may:</w:t>
      </w:r>
    </w:p>
    <w:p>
      <w:pPr>
        <w:spacing w:after="0" w:line="75"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the board of directors;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6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67"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68" w:lineRule="exact"/>
        <w:rPr>
          <w:sz w:val="20"/>
          <w:szCs w:val="20"/>
          <w:color w:val="auto"/>
        </w:rPr>
      </w:pPr>
    </w:p>
    <w:p>
      <w:pPr>
        <w:ind w:left="1020" w:right="2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6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subject to certain exceptions, as the sole and exclusive forum for certain types of actions and proceedings that may be initiated by our stockholders and our bylaws designate the federal district courts of the United States as the exclusive forum for actions arising under the Securities Act of 1933, as amended, which could limit our stockholders’ ability to obtain a favorable judicial forum for disputes with us or our directors, officers or employees.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shall be deemed to have notice of and to have consented to the provisions of our restated certificate of incorporation and bylaws described above.</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believe these choice of forum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or bylaws to be inapplicable or unenforceable in such action. If a court were to find the choice of forum provisions contained in our restated certificate of incorporation or bylaws to be inapplicable or unenforceable in an action, we may incur additional costs associated with resolving such action in other jurisdictions, which could adversely affect our business, financial condition or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our loan and security agreement with Hercules Capital currently prohibits us from paying dividends on our equity securities, and any future debt agreements may likewise preclude us from paying dividends. As a result, capital appreciation, if any, of our common stock will be our stockholders’ sole source of gain for the foreseeable future.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Furthermore, the stock market in general and the market for smaller biopharmaceutical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2"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any future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may make our product candidates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or misleading opinion regarding our business, our common stock price and trading volume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5" w:name="page66"/>
    <w:bookmarkEnd w:id="65"/>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as a result of being a public company, and our management will continue to devote substantial time to compliance initiatives and corporate governance practices.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spacing w:after="0" w:line="84"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6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Additionally, we are no longer a non-accelerated filer, so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Securities and Exchange Commission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82"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keep up with evolving trends and shareholder expectations relating to environmental, social and governance, or ESG, practices or reporting could adversely impact our reputation, share price and access to and cost of capital.</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Certain institutional investors, investor advocacy groups, investment funds, creditors and other influential financial market participants have become increasingly focused on companies’ ESG practices in evaluating their investments and business relationships, including the impact of business on the environment.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stockholders or organizations that report on, rate or score ESG practices will not be satisfied with our ESG strategy or performance. Unfavorable press about or ratings or assessments of our ESG strategies or practices, regardless of whether or not we comply with applicable legal requirements, may lead to negative investor sentiment toward us, which could have a negative impact on our share price and our access to and cost of capital.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Research and Offices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Cambridge, Massachusetts, where we lease approximately 83,396 square feet of office, laboratory, and pilot manufacturing space under a lease that was originally set to expire in November 2023. In December 2022, we amended the lease to extend the expiration date with respect to 68,636 square feet of office, laboratory, and pilot manufacturing space to January 2030.</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6" w:name="page67"/>
    <w:bookmarkEnd w:id="6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Clinical Manufacturing</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currently conduct part of our manufacturing operations in our leased facilities in Cambridge, Massachusetts, which contain manufacturing facilities for clinical products. We believe our current laboratory facilities and contract relationships are sufficient to meet our current bioprocess development and manufacturing needs. Product candidates may be brought into the facilities for economies of operation, or may remain external with contract manufacturing organizations, depending on business dynamics and development needs.</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plan to control the production of all products under current good manufacturing practices by making strategic investments in manufacturing, which may include collaborations with third parties, the design and renovation of existing facilities and the construction of additional new facilities for commercial supply.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Opposition Proceeding</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October 19, 2016, the European Patent Office granted European Patent No. 2 575 835 B1 to The University of Tokyo. On April 25, 2017, we filed a notice of opposition to this patent in the European Patent Office,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appealed certain aspects of the Opposition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25" w:right="539" w:bottom="1440" w:gutter="0" w:footer="0" w:header="0"/>
        </w:sectPr>
      </w:pPr>
    </w:p>
    <w:bookmarkStart w:id="67" w:name="page68"/>
    <w:bookmarkEnd w:id="67"/>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“MCRB” since June 26, 2015. Prior to that time, there was no public market for our common stock.</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January 1, 2018 and December 31, 2022, with the cumulative total return of (a) the Nasdaq Biotechnology Index and (b) the Nasdaq Composite Index, over the same period. This graph assumes the investment of $100 on December 31, 2017 in each of our common stock, the Nasdaq Biotechnology Index and the Nasdaq Composite Index and assumes the reinvestment of dividends, if any. The comparisons reflected in the graph and table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6172200" cy="3103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220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March 3, 2023, there were approximately nine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inception and do not anticipate paying cash dividends in the foreseeable future. In addition, our loan and security agreement with Hercules Capital currently prohibits us from paying dividends on our equity securities, and any future debt agreements may likewise preclude us from paying dividends. See “Management’s Discussion and Analysis of Financial Condition and Results of Operations – Liquidity and Capital Resources.”</w:t>
      </w:r>
    </w:p>
    <w:p>
      <w:pPr>
        <w:spacing w:after="0" w:line="6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make any sales of unregistered securities during the quarter ended December 31, 2022.</w:t>
      </w:r>
    </w:p>
    <w:p>
      <w:pPr>
        <w:spacing w:after="0" w:line="1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repurchases of shares of common stock made during the quarter ended December 31,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“Summary Risk Factors” and Part I and Item 1A. “Risk Factors” of this Annual Report on Form 10-K.</w:t>
      </w:r>
    </w:p>
    <w:p>
      <w:pPr>
        <w:spacing w:after="0" w:line="7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A discussion regarding our financial condition and results of operations for the years ended December 31, 2022 and 2021, including a year-to-year comparison between 2022 and 2021, is presented below. For a discussion regarding our financial condition and results of operations for the year ended December 31, 2020, including a year-to-year comparison between 2021 and 2020, refer to Part II, Item 7. "Management’s Discussion and Analysis of Financial Condition and Results of Operations" in our Annual Report on Form 10-K for the fiscal year ended December 31, 2021, filed with the SEC on March 1, 2022.</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are a microbiome therapeutics company developing a novel class of biological drugs, which are designed to treat disease by modulating the microbiome to restore health by repairing the function of a disrupted microbiome to a non-disease state. We have an advanced drug pipeline with clinical assets that are formulated for oral delivery and a differentiated microbiome therapeutics drug discovery and development platform including good manufacturing practices, or GMP, manufacturing capabilities for this novel drug modality.</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highest priority is preparing for potential commercialization of SER-109, an investigational oral microbiome therapeutic in development for recurrent </w:t>
      </w:r>
      <w:r>
        <w:rPr>
          <w:rFonts w:ascii="Times New Roman" w:cs="Times New Roman" w:eastAsia="Times New Roman" w:hAnsi="Times New Roman"/>
          <w:sz w:val="18"/>
          <w:szCs w:val="18"/>
          <w:i w:val="1"/>
          <w:iCs w:val="1"/>
          <w:color w:val="auto"/>
        </w:rPr>
        <w:t>Clostridioides difficile infection</w:t>
      </w:r>
      <w:r>
        <w:rPr>
          <w:rFonts w:ascii="Times New Roman" w:cs="Times New Roman" w:eastAsia="Times New Roman" w:hAnsi="Times New Roman"/>
          <w:sz w:val="18"/>
          <w:szCs w:val="18"/>
          <w:color w:val="auto"/>
        </w:rPr>
        <w:t>, or CDI. In October 2022, the FDA accepted for review our BLA for SER-109. The BLA has been granted Priority Review designation with a Prescription Drug User Fee Act, or PDUFA, target action date of April 26, 2023. If approved by the FDA, we plan to launch SER-109 with our collaborator, Nestlé Health Science, soon after approval.</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also designing microbiome therapeutics to decolonize pathogens and modulate host function to reduce and prevent infections. We believe that the scientific and clinical data from our SER-109 program validate this novel approach, which we refer to as Infection Protection. We believe the Infection Protection approach may be replicable across different bacterial pathogens to develop microbiome therapeutics with the potential to protect a range of medically compromised patients from infections. We are evaluating SER-155 in a Phase 1b study in patients receiving allogeneic hematopoietic stem cell transplantation, or allo-HSCT, to reduce incidences of gastrointestinal infections, bloodstream infections and graft-versus-host disease, or GvHD. In December 2022, the study’s Data and Safety Monitoring Board reviewed available clinical data for cohort 1 and cleared advancement to cohort 2. In February 2023, we announced the initiation of enrollment in cohort 2. We plan to announce initial safety and pharmacological data, including drug bacterial species engraftment from cohort 1, in May 2023. We are also progressing additional preclinical stage programs to evaluate how microbiome therapeutics may reduce incidence of infection in indications such as cancer neutropenia, chronic liver disease, solid organ transplant, and antimicrobial resistant infections more broadly in settings of high-risk such as intensive care units, or ICUs.</w:t>
      </w:r>
    </w:p>
    <w:p>
      <w:pPr>
        <w:spacing w:after="0" w:line="8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continue our research activities in ulcerative colitis, or UC, including evaluating the potential to utilize biomarker-based patient selection and stratification for future studies. In addition, we continue to leverage microbiome pharmacokinetic and pharmacodynamic data from across our clinical and preclinical portfolios, using our reverse translational microbiome therapeutics development platform to conduct research on various indications, including inflammatory and immune diseases, cancer, and metabolic diseases.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built and deploy a reverse translational platform for the discovery and development of microbiome therapeutics. This platform incorporates high-resolution analysis of human clinical data to identify microbiome biomarkers associated with disease and non-disease states; preclinical screening using human cell-based assays and in vitro/ex vivo and in vivo disease models customized for microbiome therapeutics; and microbiological capabilities and a strain library that spans broad biological and functional breadth to both identify specific microbes and microbial metabolites that are associated with disease and to design consortia of bacteria with specific pharmacological properties.</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in October 2010, we have devoted substantially all of our resources to developing our programs, platforms, and technologies, building our intellectual property portfolio, developing our supply chain, business planning, raising capital and providing general and administrative support for these operations.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Many of our product candidates are still in preclinical development or early-stage discovery. Our ability to generate product revenue or collaboration profit sufficient to achieve profitability will depend heavily on the successful development and eventual commercialization of one or more of our product candidates. Since our inception, we have incurred significant operating losses. Our net loss was $250.2 million for the year ended December 31, 2022 and as of December 31, 2022, we had an accumulated deficit of $864.5 million.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While we plan to focus our investment on our highest priority clinical programs in the near-term, our expenses may increase substantially in connection with our ongoing and planned activities, particularly as we:</w:t>
      </w:r>
    </w:p>
    <w:p>
      <w:pPr>
        <w:spacing w:after="0" w:line="54"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clinical development, seek regulatory approval, and prepare for commercialization of SER-109 for patients with recurrent CDI;</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SER-155 to reduce incidences of gastrointestinal infections, bloodstream infections and GvHD in patients receiving allo-HSCT;</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evaluating preclinical stage programs to reduce incidence of infection, in indications such as cancer neutropenia, chronic liver disease, solid organ transplant, and antimicrobial resistant infections more broadly;</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translational research activities, informed by the SER-287 Phase 2b and SER-301 Phase 1b study data, to evaluate the potential to utilize biomarker-based patient selection and stratification in future clinical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our research discovery and development platforms and capabilities, to advance our priority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manufacturing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augment our intellectual property portfolio and opportunistically acquire complementary intellectual property;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and distribution infrastructure and scale-up manufacturing capabilities to commercialize any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our agreements with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For example, the trading prices for our and other biopharmaceutical companies’ stock have been highly volatile as a result of factors such as the impacts of the COVID-19 pandemic, the continued increase in inflation, and rising interest rates. As a result, we may face difficulties raising capital through sales of our common stock and any such sales may be on unfavorable terms.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2022, we had cash, cash equivalents and short- and long-term investments totaling $181.3 million. Based on our currently available cash resources and our current level of operations and cash flows for the 12-month period subsequent to the date of issuance of the consolidated financial statements included elsewhere in this Annual Report on Form 10-K we will require additional funding in early 2024. In accordance with applicable accounting standards, we evaluated whether there are conditions and events, considered in the aggregate, that raise substantial doubt about our ability to continue as a going concern within 12 months after the date of the issuance of the consolidated financial statements included elsewhere in this Annual Report on Form 10-K. In performing this analysis, we excluded certain elements of our operating plan that cannot be considered probable of occurring. Under the applicable accounting standards, the receipt of potential funding from future equity or debt issuances, and certain contingent payments associated with the approval of our BLA for SER-109, which is currently under priority review by the FDA, cannot be considered probable, as these events are outside our control. These contingent payments include a $125.0 million milestone payment from Nestlé pursuant to the 2021 License Agreement, and a $25.0 million tranche under our New Credit Facility with Hercules, which becomes available upon the satisfaction of certain conditions, including FDA approval of SER-109. Accordingly, management has concluded that substantial doubt exists about the Company’s ability to continue as a going concern for 12 months from the date the consolidated financial statements included elsewhere in this Annual Report on Form 10-K, are issued. See “Risk Factors— Risks Related to Our Financial Position and Need for Additional Capital —We have identified conditions and events that raise substantial doubt regarding our ability to continue as a going concern.”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SER-109</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SER-109 is an oral microbiome therapeutic candidate consisting of a consortium of purified Firmicutes spores. The SER-109 manufacturing purification process is designed to remove unwanted microbes in an effort to reduce the risk of pathogen transmission beyond donor screening alone. SER-109 is designed to reduce recurrent CDI in patients with a history of CDI by modulating the microbiome to a state that resists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germination and growth. SER-109, if approved, is intended to treat individuals with recurrent CDI, a patient population that is estimated to include approximately 156,000 cases in the United States during 2023.</w:t>
      </w:r>
    </w:p>
    <w:p>
      <w:pPr>
        <w:spacing w:after="0" w:line="7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Phase 3 ECOSPOR III study was a multicenter, randomized, placebo-controlled study that enrolled 182 patients with multiply recurrent CDI. All patients who entered ECOSPOR III must have tested positive for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toxin. This inclusion criterion was implemented in an effort to ensure enrollment of only patients with active infection rather than simple colonization. The study was designed to evaluate patients for 24 weeks, with the primary endpoint comparing the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recurrence rate in subjects who received SER-109 verses placebo at up to eight weeks after dosing.</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ECOSPOR III data demonstrated that the study achieved its primary endpoint where SER-109 was superior to placebo in reducing CDI recurrence at eight weeks, reflecting a recurrence-free rate of approximately 88% at eight weeks post-treatment. SER-109 resulted in a 27% absolute reduction of recurrence of CDI compared to placebo at eight weeks post-treatment, which is a relative risk reduction of 68%. The number-needed-to treat was 3.6. The rate of recurrence at 12 weeks in the SER-109 arm was 18.0%, compared to a rate of 46.2% in the placebo arm, representing an absolute risk reduction of 28% (relative risk 0.40; 95% CI 0.24-0.65; p &lt;0.001 and p&lt; 0.002 for the test sequence), and thereby consistent with the results seen at eight weeks. Results across stratifications of age and antibiotics remained similar. The study’s efficacy results related to the primary endpoint from all analyses exceeded the statistical threshold previously provided in consultation with the FDA that could allow this single clinical study to fulfill efficacy requirements for a BLA. The efficacy results remained durable through 24 weeks of follow-up, as SER-109 was observed to </w:t>
      </w:r>
      <w:r>
        <w:rPr>
          <w:rFonts w:ascii="Times New Roman" w:cs="Times New Roman" w:eastAsia="Times New Roman" w:hAnsi="Times New Roman"/>
          <w:sz w:val="18"/>
          <w:szCs w:val="18"/>
          <w:color w:val="1B1C20"/>
        </w:rPr>
        <w:t>significantly reduced recurrence rates compared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B1C20"/>
        </w:rPr>
        <w:t xml:space="preserve">to placebo over 24 weeks, 21.3% vs. 47.3%, respectively. </w:t>
      </w:r>
      <w:r>
        <w:rPr>
          <w:rFonts w:ascii="Times New Roman" w:cs="Times New Roman" w:eastAsia="Times New Roman" w:hAnsi="Times New Roman"/>
          <w:sz w:val="18"/>
          <w:szCs w:val="18"/>
          <w:color w:val="000000"/>
        </w:rPr>
        <w:t>These data were published in the</w:t>
      </w:r>
      <w:r>
        <w:rPr>
          <w:rFonts w:ascii="Times New Roman" w:cs="Times New Roman" w:eastAsia="Times New Roman" w:hAnsi="Times New Roman"/>
          <w:sz w:val="18"/>
          <w:szCs w:val="18"/>
          <w:color w:val="1B1C20"/>
        </w:rPr>
        <w:t xml:space="preserve"> </w:t>
      </w:r>
      <w:r>
        <w:rPr>
          <w:rFonts w:ascii="Times New Roman" w:cs="Times New Roman" w:eastAsia="Times New Roman" w:hAnsi="Times New Roman"/>
          <w:sz w:val="18"/>
          <w:szCs w:val="18"/>
          <w:i w:val="1"/>
          <w:iCs w:val="1"/>
          <w:color w:val="000000"/>
        </w:rPr>
        <w:t>New England Journal of Medicine</w:t>
      </w:r>
      <w:r>
        <w:rPr>
          <w:rFonts w:ascii="Times New Roman" w:cs="Times New Roman" w:eastAsia="Times New Roman" w:hAnsi="Times New Roman"/>
          <w:sz w:val="18"/>
          <w:szCs w:val="18"/>
          <w:color w:val="1B1C20"/>
        </w:rPr>
        <w:t xml:space="preserve"> </w:t>
      </w:r>
      <w:r>
        <w:rPr>
          <w:rFonts w:ascii="Times New Roman" w:cs="Times New Roman" w:eastAsia="Times New Roman" w:hAnsi="Times New Roman"/>
          <w:sz w:val="18"/>
          <w:szCs w:val="18"/>
          <w:color w:val="000000"/>
        </w:rPr>
        <w:t>in January 2022 and in the</w:t>
      </w:r>
      <w:r>
        <w:rPr>
          <w:rFonts w:ascii="Times New Roman" w:cs="Times New Roman" w:eastAsia="Times New Roman" w:hAnsi="Times New Roman"/>
          <w:sz w:val="18"/>
          <w:szCs w:val="18"/>
          <w:color w:val="1B1C20"/>
        </w:rPr>
        <w:t xml:space="preserve"> </w:t>
      </w:r>
      <w:r>
        <w:rPr>
          <w:rFonts w:ascii="Times New Roman" w:cs="Times New Roman" w:eastAsia="Times New Roman" w:hAnsi="Times New Roman"/>
          <w:sz w:val="18"/>
          <w:szCs w:val="18"/>
          <w:i w:val="1"/>
          <w:iCs w:val="1"/>
          <w:color w:val="000000"/>
        </w:rPr>
        <w:t xml:space="preserve">Journal of the American Medical Association </w:t>
      </w:r>
      <w:r>
        <w:rPr>
          <w:rFonts w:ascii="Times New Roman" w:cs="Times New Roman" w:eastAsia="Times New Roman" w:hAnsi="Times New Roman"/>
          <w:sz w:val="18"/>
          <w:szCs w:val="18"/>
          <w:color w:val="000000"/>
        </w:rPr>
        <w:t>in October 2022.</w:t>
      </w:r>
    </w:p>
    <w:p>
      <w:pPr>
        <w:spacing w:after="0" w:line="8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November 2021, we initiated a SER-109 expanded access program across the United States. The program is designed to enable eligible adults with recurrent CDI to obtain access to SER-109 prior to a potential FDA product approval.</w:t>
      </w:r>
    </w:p>
    <w:p>
      <w:pPr>
        <w:spacing w:after="0" w:line="54" w:lineRule="exact"/>
        <w:rPr>
          <w:sz w:val="20"/>
          <w:szCs w:val="20"/>
          <w:color w:val="auto"/>
        </w:rPr>
      </w:pPr>
    </w:p>
    <w:p>
      <w:pPr>
        <w:ind w:right="180" w:firstLine="509"/>
        <w:spacing w:after="0" w:line="276" w:lineRule="auto"/>
        <w:rPr>
          <w:sz w:val="20"/>
          <w:szCs w:val="20"/>
          <w:color w:val="auto"/>
        </w:rPr>
      </w:pPr>
      <w:r>
        <w:rPr>
          <w:rFonts w:ascii="Times New Roman" w:cs="Times New Roman" w:eastAsia="Times New Roman" w:hAnsi="Times New Roman"/>
          <w:sz w:val="17"/>
          <w:szCs w:val="17"/>
          <w:color w:val="auto"/>
        </w:rPr>
        <w:t>In June 2022, we announced confirmatory results from the ECOSPOR IV open-label study. The overall safety profile observed in ECOSPOR IV through 24 weeks indicated that SER-109 was well tolerated, consistent with the safety profile observed in the prior completed Phase 3 study, ECOSPOR</w:t>
      </w:r>
    </w:p>
    <w:p>
      <w:pPr>
        <w:spacing w:after="0" w:line="1" w:lineRule="exact"/>
        <w:rPr>
          <w:sz w:val="20"/>
          <w:szCs w:val="20"/>
          <w:color w:val="auto"/>
        </w:rPr>
      </w:pPr>
    </w:p>
    <w:p>
      <w:pPr>
        <w:ind w:right="20" w:firstLine="8"/>
        <w:spacing w:after="0" w:line="253" w:lineRule="auto"/>
        <w:tabs>
          <w:tab w:leader="none" w:pos="27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ECOSPOR IV, subjects treated with SER-109 had a recurrence rate of 8.7% at eight weeks, which indicates a 91.3% recurrence-free rate, consistent with the 88% rate observed in the ECOSPOR III study. Subjects with a first recurrence of CDI (29% of subjects in the ECOSPOR IV study) had a CDI recurrence rate of 6.5%, and subjects with ≥ two prior CDI episodes (ECOSPOR III inclusion criteria) had a CDI recurrence rate of 9.7% at eight weeks. At 24 weeks, 13.7% of all subjects treated with SER-109 had a recurrence of CDI. In addition to data from the ECOSPOR III study, the ECOSPOR IV data was included as part of the rolling submission of the BLA to the FDA.</w:t>
      </w:r>
    </w:p>
    <w:p>
      <w:pPr>
        <w:spacing w:after="0" w:line="79"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In October 2022, the FDA accepted for review our BLA for SER-109. The BLA has been granted Priority Review designation with a PDUFA target action date of April 26, 2023. If approved by the FDA, we plan to launch SER-109 with our collaborator, Nestlé Health Science, soon after approval.</w:t>
      </w:r>
    </w:p>
    <w:p>
      <w:pPr>
        <w:spacing w:after="0" w:line="32" w:lineRule="exact"/>
        <w:rPr>
          <w:sz w:val="20"/>
          <w:szCs w:val="20"/>
          <w:color w:val="auto"/>
        </w:rPr>
      </w:pPr>
    </w:p>
    <w:p>
      <w:pPr>
        <w:ind w:right="120" w:firstLine="509"/>
        <w:spacing w:after="0" w:line="375" w:lineRule="auto"/>
        <w:rPr>
          <w:sz w:val="20"/>
          <w:szCs w:val="20"/>
          <w:color w:val="auto"/>
        </w:rPr>
      </w:pPr>
      <w:r>
        <w:rPr>
          <w:rFonts w:ascii="Times New Roman" w:cs="Times New Roman" w:eastAsia="Times New Roman" w:hAnsi="Times New Roman"/>
          <w:sz w:val="18"/>
          <w:szCs w:val="18"/>
          <w:color w:val="auto"/>
        </w:rPr>
        <w:t xml:space="preserve">In addition, we plan on initiating a Phase 3 trial in the European Union, or EU, in order to expand access to the EU market upon potential approval. </w:t>
      </w:r>
      <w:r>
        <w:rPr>
          <w:rFonts w:ascii="Times New Roman" w:cs="Times New Roman" w:eastAsia="Times New Roman" w:hAnsi="Times New Roman"/>
          <w:sz w:val="18"/>
          <w:szCs w:val="18"/>
          <w:b w:val="1"/>
          <w:bCs w:val="1"/>
          <w:i w:val="1"/>
          <w:iCs w:val="1"/>
          <w:color w:val="auto"/>
        </w:rPr>
        <w:t>SER-155</w:t>
      </w:r>
    </w:p>
    <w:p>
      <w:pPr>
        <w:spacing w:after="0" w:line="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SER-155, an oral microbiome therapeutic candidate consisting of a consortium of cultivated bacteria, is designed to decrease infection and translocation of antibiotic resistant bacteria in the gastrointestinal tract and modulate host immune responses to decrease GvHD. The rationale for this program is based in part on published clinical evidence from our collaborators at Memorial Sloan Kettering Cancer Center showing that allo-HSCT patients with decreased diversity of commensal microbes are significantly more likely to die due to infection and/or lethal GvHD. SER-155 was designed using our reverse translational discovery platform to reduce incidences of gastrointestinal infections, bloodstream infections and GvHD in patients receiving allo-HSCT. The SER-155 Phase 1b study is designed to include approximately 70 patients in both an open-label and a randomized, double-blind, placebo-controlled cohort that will evaluate safety and tolerability before and after HSCT. Additionally, the engraftment of SER-155 bacteria (a measure of pharmacokinetics) and the efficacy of SER-155 in preventing infections and GvHD will be evaluated. In December 2022, the study’s Data and Safety Monitoring Board reviewed available clinical data for cohort 1 and cleared advancement to cohort 2. In February 2023, we announced the initiation of enrollment in cohort 2. We plan to announce initial safety and pharmacological data, including drug bacterial species engraftment from cohort 1, in May 2023. The study is being conducted at a number of leading cancer centers across the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Irritable Bowel Disease, Ulcerative Colitis, SER-287 and SER-301</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continue our research activities in irritable bowel disease, or IBD, including evaluating the potential to utilize biomarker-based patient selection and stratification in future clinical studies in UC. UC patient populations are generally heterogeneous in their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disease manifestation, and we believe biomarker-based strategies may enable targeting more homogeneous patient populations in future studies.</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July 2021, we announced topline results from our SER-287 Phase 2b study in mild-to-moderate UC patients, which did not meet its primary endpoint of improving clinical remission rates compared to placebo. Following the data readout, in December 2021, we completed preliminary microbiome drug pharmacology analyses that demonstrated the engraftment of SER-287 bacterial species, however, unlike the Phase 1b study, anticipated changes in disease-relevant metabolites post-administration with SER-287 in the Phase 2b study were not observed to the same extent across the patients treated in the Phase 1b study.</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have completed preliminary analysis of data from the first cohort of our SER-301 Phase 1b study in mild-to moderate UC patients, which included 15 subjects. Evaluation of the first cohort data by an independent Data Safety Monitoring Board indicated that it would be safe to proceed to the placebo-controlled second cohort. While efficacy was not a defined endpoint in the first cohort, evaluation of clinical outcome data collected as part of the study indicated that no subjects in the first cohort achieved clinical remission as defined by the FDA using the Three-Component Modified Mayo Score after 10 weeks of treatment, though there were improvements in one or more individual components (endoscopic, stool frequency and rectal bleeding subscores) in some patients. SER-301 was optimized relative to SER-287 to incorporate bacterial strains that engrafted across the majority of patients in our previous trials, and strains that were significantly associated with positive clinical outcomes and the modulation of key microbial-associated metabolites. In the Phase 1b study, strains in SER-301 were observed to engraft in subjects across the trial period, and based on the assessment of metabolomic data, SER-301 demonstrated pharmacological properties consistent with its design and further led to baseline-dependent modulation of the metabolic landscape in the gastrointestinal tract of patients treated. In April 2022, we announced our decision not to proceed with the planned SER-301 Phase 1b second study cohort. In aggregate, our clinical and preclinical data suggest that there are IBD patient populations that may be more amenable to microbiome therapeutic intervention, and we continue to conduct analyses of data from our UC clinical stage programs and conduct preclinical studies to inform next steps for further development in UC and IBD more broadly.</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an extensive patent portfolio directed to rationally designed ecologies of spores and microbes. The portfolio includes both company-owned patents and applications, and those that we have rights to as licensee. For example, our portfolio includes an option to license foundational intellectual property related to the use of bacteria in combination with checkpoint inhibitors from MD Anderson. The patents and applications included in our portfolio cover both composition of matter and methods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method of treating). Our intellectual property rights related to SER-109, SER-155, SER-287 and SER-301 extend through 2034. We plan on continuing to broaden our patent portfolio. Currently, we have 24 active patent application families, which includes 22 nationalized applications and two pending at the PCT stage. To date, we have obtained 24 issued U.S. patents and one U.S. patent application has been currently allowed.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Exclusivity</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If we obtain marketing approval for any of our product candidates, we expect to receive marketing exclusivity against biosimilar products. For a new biological composition approved by the FDA, a 12-year period of exclusivity in the United States may be obtained. In Europe, the European Medicines Agency awards 10 years of exclusivity for new molecular entities.</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revenues from the sale of products. Our revenues have been derived primarily from our agreements with our collaborators. See “—Liquidity and Capital Resources.”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activities and general and administrative costs.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which include:</w:t>
      </w:r>
    </w:p>
    <w:p>
      <w:pPr>
        <w:spacing w:after="0" w:line="54" w:lineRule="exact"/>
        <w:rPr>
          <w:sz w:val="20"/>
          <w:szCs w:val="20"/>
          <w:color w:val="auto"/>
        </w:rPr>
      </w:pPr>
    </w:p>
    <w:p>
      <w:pPr>
        <w:ind w:left="1020" w:right="6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research, preclinical activities and clinical trials on our behalf as well as contract manufacturing organizations that manufacture drug products for use in our preclinical and clinical trials;</w:t>
      </w:r>
    </w:p>
    <w:p>
      <w:pPr>
        <w:spacing w:after="0" w:line="6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in our research and development functions;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2" w:name="page73"/>
    <w:bookmarkEnd w:id="72"/>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laboratory supplies and acquiring, developing and manufacturing preclinical study and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allocated expenses for rent and maintenance of facilities and other operating costs.</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primary focus of research and development since inception has been on our reverse translational microbiome therapeutics platform and the subsequent development of our product candidates. Our direct research and development expenses are tracked on a program-by-program basis and consist primarily of external costs, such as fees paid to investigators, consultants, CROs in connection with our preclinical studies and clinical trials, lab supplies and consumables, and regulatory fees. We do not allocate employee-related costs and other indirect costs to specific research and development programs because these costs are deployed across multiple product programs under development.</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near future as we scale up manufacturing operations, support the BLA review process by the FDA, and prepare for commercialization of SER-109, however in the event of approval of our BLA for SER-109, we expect the potential decline in research and development expenses related to SER-109 as the majority of commercial manufacturing costs will be capitalized. We expect to continue to discover and develop additional product candidates, including SER-155, and pursue later stages of clinical development of our product candidates. We also expect to continue conducting analyses of data from our UC clinical stage programs to inform next steps for further development.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commercial, business development and administrative functions. General and administrative expenses also include professional service fees for marketing and market access activities in preparation for the commercial launch of SER-109;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increase our headcount and expand our infrastructure to support the potential growth in our research and development activities and the potential commercialization of our product candidates, and as we conduct pre-launch activities to prepare for commercialization of SER-109. We also may continue to incur increased expenses associated with being a public company, including increased costs of accounting, audit, legal, regulatory and tax-related services associated with maintaining compliance with exchange listing rules and the requirements of the Securities and Exchange Commission, director and officer insurance costs and investor and public relations costs.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(Profit) Loss Sharing - related party</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Collaboration (profit) loss sharing – related party includes 50% sharing of the profit or loss related to the pre-launch activities and commercialization activities associated with the 2021 License Agreement with Nestlé as discussed in Note 11 to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investments.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of interest incurred under our loan and security agreement with Hercules.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income primarily consists of amortization of premiums on investments, amortization of debt issuance costs, and sublease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As of December 31, 2022, we had federal and state net operating loss carryforwards of $501.8 million and $481.9 million, respectively, both of which begin to expire in 2035. As of December 31, 2022, we also had federal and state research and development tax credit carryforwards of $42.1 million and $8.5 million, respectively, net of uncertain tax position reserves, which begin to expire in 2031 and 2028, respectively. The federal research and development tax credits include an orphan drug credit carryforward of $25.6 million.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or GAAP, in the United States. The preparation of our consolidated financial statements and related disclosures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consolidated financial statements and disclosures based on varying assumptions.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guidance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applies to all contracts with customers, except those contracts that are within the scope of other guidance, such as leases, insurance, and financial instruments. We enter into agreements that are within the scope of ASC 606, under which we license certain of our product candidates and perform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we recognize revenue when our customer obtains control of promised goods or services, in an amount that reflects the consideration which we expect to receive in exchange for those goods or services. When determining the timing and extent of revenue recognition for arrangements that we determine are within the scope of ASC 606, we perform the following five steps:</w:t>
      </w:r>
    </w:p>
    <w:p>
      <w:pPr>
        <w:spacing w:after="0" w:line="79"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11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only apply the five-step model to contracts when it is probable that we will collect the consideration to which we are entitled in exchange for the goods or services transferred to our customer.</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we assess the goods or services promised within the contract to determine whether each promised good or service is a performance obligation. The promised goods or services in our arrangements typically consist of a license to our intellectual property and/or research and development services. We may provide options to additional items in such arrangements, which are accounted for as separate contracts when our customer elects to exercise such options, unless the option provides a material right to our customer. Performance obligations are promises in a contract to transfer a distinct good or service to our customer that (i) our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meets the requirements of a performance obligation.</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determine transaction price based on the amount of consideration we expect to receive for transferring the promised goods or services in the contract. Consideration may be fixed, variable, or a combination of both. At contract inception for arrangements that include variable consideration, we estimate the probability and extent of consideration we expect to receive under the contract utilizing either the most likely amount method or expected amount method, whichever best estimates the amount expected to be received. We then consider any constraints on the variable consideration and include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7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then allocate the transaction price to each performance obligation based on the relative standalone selling price and recognize as revenue the amount of the transaction price that is allocated to the respective performance obligation when (or as) control is transferred to our customer and the performance obligation is satisfied. For performance obligations which consist of licenses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p>
      <w:pPr>
        <w:ind w:right="120"/>
        <w:spacing w:after="0" w:line="266" w:lineRule="auto"/>
        <w:rPr>
          <w:sz w:val="20"/>
          <w:szCs w:val="20"/>
          <w:color w:val="auto"/>
        </w:rPr>
      </w:pPr>
      <w:r>
        <w:rPr>
          <w:rFonts w:ascii="Times New Roman" w:cs="Times New Roman" w:eastAsia="Times New Roman" w:hAnsi="Times New Roman"/>
          <w:sz w:val="18"/>
          <w:szCs w:val="18"/>
          <w:color w:val="auto"/>
        </w:rPr>
        <w:t>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measure of performance and related revenue recognition.</w:t>
      </w:r>
    </w:p>
    <w:p>
      <w:pPr>
        <w:spacing w:after="0" w:line="6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record amounts as accounts receivable when the right to consideration is deemed unconditional. When consideration is received, or such consideration is unconditionally due, from our customer prior to transferring goods or services to our customer under the terms of a contract, a contract liability is recorded for deferred revenue.</w:t>
      </w:r>
    </w:p>
    <w:p>
      <w:pPr>
        <w:spacing w:after="0" w:line="68"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We do not assess whether a contract has a significant financing component if the expectation at contract inception is that the period between payment by our customer and the transfer of the promised goods or services to our customer will be one year or less. Incremental costs of obtaining a contract are expensed as and when incurred if the expected period over which we would have amortized the asset is one year or less, or the amount is immaterial.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Arrangements with collaborators may include licenses to intellectual property, research and development services, manufacturing services for clinical and commercial supply, and participation on joint steering committees. We evaluate the promised goods or services to determine which promises, or group of promises, represent performance obligations. In contemplation of whether a promised good or service meets the criteria required of a performance obligation, we consider the stage of development of the underlying intellectual property, the capabilities and expertise of our customer relative to the underlying intellectual property, and whether the promised goods or services are integral to or dependent on other promises in the contract. When accounting for an arrangement that contains multiple performance obligations, we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When we conclude that a contract should be accounted for as a combined performance obligation and recognized over time, we must then determine the period over which revenue should be recognized and the method by which to measure revenue. We generally recognize revenue using a cost-based input method.</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Licenses of Intellectual Property</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a license to our intellectual property is determined to be distinct from the other performance obligations identified in the arrangement, we recognize revenue allocated to the license when the license is transferred to our customer and our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We evaluate the measure of progress each reporting period and, if necessary, adjust the measure of progress and related revenue recognition.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developmental and regulatory milestone payments, we evaluate whether the 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evaluate each milestone to determine when and how much of the milestone to include in the transaction price. We first estimate the amount of the milestone payment that we could receive using either the expected value or the most likely amount approach. We primarily use the most likely amount approach as that approach is generally most predictive for milestone payments with a binary outcome. Then, we consider whether any portion of that estimated amount is subject to the variable consideration constraint (that is, whether it is probable that a significant reversal of cumulative revenue would not occur upon resolution of the uncertainty). We update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revenue related to sales-based royalties or milestone payments based on the level of sales.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5" w:name="page76"/>
    <w:bookmarkEnd w:id="75"/>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Supply Services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arrangements that include a promise of supply of clinical or commercial product, we determine if the supply is a promise in the contract or a future obligation at our customer’s option. If determined to be a promise at inception of the contract, we evaluate the promise to determine whether it is a separate performance obligation or a component of a bundled performance obligation. If determined to be an option, we determine if the option provides a material right to our customer and if so, account for the option as a separate performance obligation. If determined to be an option but not a material right, we account for the option as a separate contract when our customer elects to exercise the option.</w:t>
      </w:r>
    </w:p>
    <w:p>
      <w:pPr>
        <w:spacing w:after="0" w:line="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Application of the above guidance requires significant judgment and requires us to make determinations based on the facts and circumstances under each arrangement.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which include information from our CROs and CMOs reported to us on a periodic basis. Examples of estimated accrued research and development expenses include fees paid to:</w:t>
      </w:r>
    </w:p>
    <w:p>
      <w:pPr>
        <w:spacing w:after="0" w:line="81"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performing research services on our behalf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or other providers in connection with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preclinical and clinical supplies.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76" w:name="page77"/>
    <w:bookmarkEnd w:id="7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2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143,857</w:t>
            </w:r>
          </w:p>
        </w:tc>
        <w:tc>
          <w:tcPr>
            <w:tcW w:w="22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(136,729 )</w:t>
            </w: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(1,070 )</w:t>
            </w:r>
          </w:p>
        </w:tc>
        <w:tc>
          <w:tcPr>
            <w:tcW w:w="0" w:type="dxa"/>
            <w:vAlign w:val="bottom"/>
          </w:tcPr>
          <w:p>
            <w:pPr>
              <w:spacing w:after="0"/>
              <w:rPr>
                <w:sz w:val="1"/>
                <w:szCs w:val="1"/>
                <w:color w:val="auto"/>
              </w:rPr>
            </w:pPr>
          </w:p>
        </w:tc>
      </w:tr>
      <w:tr>
        <w:trPr>
          <w:trHeight w:val="232"/>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144,927</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(137,799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79,694</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(profit) loss sharing - related party</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(1,732 )</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253,618</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209,420</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xml:space="preserve">(246,490 </w:t>
            </w:r>
            <w:r>
              <w:rPr>
                <w:rFonts w:ascii="Times New Roman" w:cs="Times New Roman" w:eastAsia="Times New Roman" w:hAnsi="Times New Roman"/>
                <w:sz w:val="18"/>
                <w:szCs w:val="18"/>
                <w:color w:val="auto"/>
                <w:highlight w:val="white"/>
              </w:rPr>
              <w:t>)</w:t>
            </w:r>
          </w:p>
        </w:tc>
        <w:tc>
          <w:tcPr>
            <w:tcW w:w="340" w:type="dxa"/>
            <w:vAlign w:val="bottom"/>
          </w:tcPr>
          <w:p>
            <w:pPr>
              <w:spacing w:after="0"/>
              <w:rPr>
                <w:sz w:val="20"/>
                <w:szCs w:val="20"/>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(64,493 </w:t>
            </w:r>
            <w:r>
              <w:rPr>
                <w:rFonts w:ascii="Times New Roman" w:cs="Times New Roman" w:eastAsia="Times New Roman" w:hAnsi="Times New Roman"/>
                <w:sz w:val="18"/>
                <w:szCs w:val="18"/>
                <w:color w:val="auto"/>
                <w:highlight w:val="white"/>
              </w:rPr>
              <w:t>)</w:t>
            </w: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(181,997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(6,020 )</w:t>
            </w:r>
          </w:p>
        </w:tc>
        <w:tc>
          <w:tcPr>
            <w:tcW w:w="3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(2,910 )</w:t>
            </w: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(3,110 )</w:t>
            </w: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(705 )</w:t>
            </w:r>
          </w:p>
        </w:tc>
        <w:tc>
          <w:tcPr>
            <w:tcW w:w="340" w:type="dxa"/>
            <w:vAlign w:val="bottom"/>
          </w:tcPr>
          <w:p>
            <w:pPr>
              <w:spacing w:after="0"/>
              <w:rPr>
                <w:sz w:val="21"/>
                <w:szCs w:val="21"/>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(1,045 )</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xml:space="preserve">(250,157 </w:t>
            </w:r>
            <w:r>
              <w:rPr>
                <w:rFonts w:ascii="Times New Roman" w:cs="Times New Roman" w:eastAsia="Times New Roman" w:hAnsi="Times New Roman"/>
                <w:sz w:val="18"/>
                <w:szCs w:val="18"/>
                <w:color w:val="auto"/>
                <w:highlight w:val="white"/>
              </w:rPr>
              <w:t>)</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(65,578 </w:t>
            </w:r>
            <w:r>
              <w:rPr>
                <w:rFonts w:ascii="Times New Roman" w:cs="Times New Roman" w:eastAsia="Times New Roman" w:hAnsi="Times New Roman"/>
                <w:sz w:val="18"/>
                <w:szCs w:val="18"/>
                <w:color w:val="auto"/>
                <w:highlight w:val="white"/>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(184,579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Total revenue was $7.1 million and $144.9 million for the years ended December 31, 2022 and 2021, respectively. The decrease in total revenue of $137.8 million was primarily due to the collaboration revenue that was recognized during the year ended December 31, 2021 upon on the transfer of control of the license by the Company to Nestlé, pursuant to the 2021 License Agreement. In addition, the decrease was partially driven by a $7.4 million decrease in collaboration revenue attributable to the services performed pursuant to the 2016 License Agreement, partially offset by an increase of $2.0 million attributable to the services performed pursuant to the 2021 License Agreement. Revenue for the year ended December 31, 2021 also included $1.1 million of grant revenue related to our CARB-X grant for SER-155, from which we will receive no additional funding.</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5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Microbiome therapeutics platform</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5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34,784</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FF0FC"/>
          </w:tcPr>
          <w:p>
            <w:pPr>
              <w:spacing w:after="0"/>
              <w:rPr>
                <w:sz w:val="21"/>
                <w:szCs w:val="21"/>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SER-109</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8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SER-287</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(8,166 )</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Early stage programs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21"/>
                <w:szCs w:val="21"/>
                <w:color w:val="auto"/>
              </w:rPr>
            </w:pPr>
          </w:p>
        </w:tc>
      </w:tr>
      <w:tr>
        <w:trPr>
          <w:trHeight w:val="23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93,334</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90,128</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80" w:type="dxa"/>
            <w:vAlign w:val="bottom"/>
            <w:shd w:val="clear" w:color="auto" w:fill="CFF0F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79,586</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27,823</w:t>
            </w:r>
          </w:p>
        </w:tc>
        <w:tc>
          <w:tcPr>
            <w:tcW w:w="80" w:type="dxa"/>
            <w:vAlign w:val="bottom"/>
          </w:tcPr>
          <w:p>
            <w:pPr>
              <w:spacing w:after="0"/>
              <w:rPr>
                <w:sz w:val="21"/>
                <w:szCs w:val="21"/>
                <w:color w:val="auto"/>
              </w:rPr>
            </w:pPr>
          </w:p>
        </w:tc>
      </w:tr>
      <w:tr>
        <w:trPr>
          <w:trHeight w:val="277"/>
        </w:trPr>
        <w:tc>
          <w:tcPr>
            <w:tcW w:w="5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172,920</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141,891</w:t>
            </w: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$172.9 million for the year ended December 31, 2022, compared to $141.9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The increase of $31.0 million was due primarily to the following:</w:t>
      </w:r>
    </w:p>
    <w:p>
      <w:pPr>
        <w:spacing w:after="0" w:line="99" w:lineRule="exact"/>
        <w:rPr>
          <w:sz w:val="20"/>
          <w:szCs w:val="20"/>
          <w:color w:val="auto"/>
        </w:rPr>
      </w:pPr>
    </w:p>
    <w:p>
      <w:pPr>
        <w:ind w:left="1020" w:right="3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personnel-related costs of $27.8 million primarily due to an increase of $24.5 million in salaries, bonus, payroll taxes and employee benefits expenses as well as a $3.3 million increase in stock-based compensation expense;</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$8.1 million in expenses related to our SER-109 program, due primarily to an increase of $8.7 million in lab supplies and consumables, and facility-related costs, primarily from the opening of both the new donor collection facility in Tempe and the quality control lab in Waltham, as we advance development and scale SER-109 manufacturing to prepare for commercialization. The total increase is also attributable to an increase of $1.2 million in other manufacturing</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77" w:name="page78"/>
    <w:bookmarkEnd w:id="77"/>
    <w:p>
      <w:pPr>
        <w:ind w:left="1020" w:right="220"/>
        <w:spacing w:after="0" w:line="282" w:lineRule="auto"/>
        <w:rPr>
          <w:sz w:val="20"/>
          <w:szCs w:val="20"/>
          <w:color w:val="auto"/>
        </w:rPr>
      </w:pPr>
      <w:r>
        <w:rPr>
          <w:rFonts w:ascii="Times New Roman" w:cs="Times New Roman" w:eastAsia="Times New Roman" w:hAnsi="Times New Roman"/>
          <w:sz w:val="18"/>
          <w:szCs w:val="18"/>
          <w:color w:val="auto"/>
        </w:rPr>
        <w:t>costs, and an increase of $0.8 million in professional fees, partially offset by a decrease in clinical trial costs of $1.9 million, and analytical testing of $0.7 million;</w:t>
      </w:r>
    </w:p>
    <w:p>
      <w:pPr>
        <w:spacing w:after="0" w:line="54" w:lineRule="exact"/>
        <w:rPr>
          <w:sz w:val="20"/>
          <w:szCs w:val="20"/>
          <w:color w:val="auto"/>
        </w:rPr>
      </w:pPr>
    </w:p>
    <w:p>
      <w:pPr>
        <w:ind w:left="1020" w:right="36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$1.9 million in expenses of our early stage programs primarily driven by an increase of $1.5 million in external consulting expenses, lab supplies and consumables of $0.3 million, and professional fees of $0.1 million;</w:t>
      </w:r>
    </w:p>
    <w:p>
      <w:pPr>
        <w:spacing w:after="0" w:line="5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in research expenses related to our reverse translational microbiome therapeutics platform due primarily to an increase of $1.6 million in lab supplies and consumables and $2.1 million in analytical testing, offset by a decrease of $1.6 million in professional fees and $0.7 million in clinical trials costs; partially offset by</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$8.2 million in expenses of our SER-287 program primarily driven by a decrease of $7.2 million in clinical trial costs and $1.2 million in analytical testing, offset by an increase of $0.3 million in materials storage costs.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near future as we scale up manufacturing operations, support the BLA review process by the FDA, and prepare for commercialization of SER-109, however in the event of approval of our BLA for SER-109, we expect the potential decline in research and development expenses related to SER-109 as the majority of commercial manufacturing costs will be capitalized. We expect to continue to discover and develop additional product candidates, including SER-155, and pursue later stages of clinical development of our product candidates. We also expect to continue conducting analyses of data from our UC clinical stage programs to inform next steps for further development.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31,277</w:t>
            </w:r>
          </w:p>
        </w:tc>
        <w:tc>
          <w:tcPr>
            <w:tcW w:w="5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(1,494 )</w:t>
            </w:r>
          </w:p>
        </w:tc>
        <w:tc>
          <w:tcPr>
            <w:tcW w:w="0" w:type="dxa"/>
            <w:vAlign w:val="bottom"/>
          </w:tcPr>
          <w:p>
            <w:pPr>
              <w:spacing w:after="0"/>
              <w:rPr>
                <w:sz w:val="1"/>
                <w:szCs w:val="1"/>
                <w:color w:val="auto"/>
              </w:rPr>
            </w:pPr>
          </w:p>
        </w:tc>
      </w:tr>
      <w:tr>
        <w:trPr>
          <w:trHeight w:val="247"/>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Facility-related and other</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79,694</w:t>
            </w:r>
          </w:p>
        </w:tc>
        <w:tc>
          <w:tcPr>
            <w:tcW w:w="5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-187960</wp:posOffset>
            </wp:positionV>
            <wp:extent cx="6032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5143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were $79.7 million for the year ended December 31, 2022, compared to $69.3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The increase of $10.4 million was primarily due to the following:</w:t>
      </w:r>
    </w:p>
    <w:p>
      <w:pPr>
        <w:spacing w:after="0" w:line="99" w:lineRule="exact"/>
        <w:rPr>
          <w:sz w:val="20"/>
          <w:szCs w:val="20"/>
          <w:color w:val="auto"/>
        </w:rPr>
      </w:pPr>
    </w:p>
    <w:p>
      <w:pPr>
        <w:ind w:left="10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personnel-related costs of $7.3 million, due to an increase of $5.3 million in salaries, bonus, payroll taxes and employee benefit expenses, and a $2.0 million increase in stock-based compensation expense;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facility-related and other costs of $4.6 million due primarily to increases in licenses, computer expenses and office supplies of $5.4 million, offset by a decrease in information technology costs of $0.9 million; partially offset by</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professional fees of $1.5 million primarily due to a $2.0 million decrease in consulting and recruiting fees, offset by a $0.5 million increase in legal expenses.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(Profit) Loss Sharing - related party</w:t>
      </w:r>
    </w:p>
    <w:p>
      <w:pPr>
        <w:spacing w:after="0" w:line="119" w:lineRule="exact"/>
        <w:rPr>
          <w:sz w:val="20"/>
          <w:szCs w:val="20"/>
          <w:color w:val="auto"/>
        </w:rPr>
      </w:pPr>
    </w:p>
    <w:p>
      <w:pPr>
        <w:ind w:right="20" w:firstLine="578"/>
        <w:spacing w:after="0" w:line="254" w:lineRule="auto"/>
        <w:rPr>
          <w:sz w:val="20"/>
          <w:szCs w:val="20"/>
          <w:color w:val="auto"/>
        </w:rPr>
      </w:pPr>
      <w:r>
        <w:rPr>
          <w:rFonts w:ascii="Times New Roman" w:cs="Times New Roman" w:eastAsia="Times New Roman" w:hAnsi="Times New Roman"/>
          <w:sz w:val="18"/>
          <w:szCs w:val="18"/>
          <w:color w:val="auto"/>
        </w:rPr>
        <w:t>Collaboration (profit) loss sharing – related party was $1.0 million of expense for the year ended December 31, 2022, compared to $1.7 million of income for the year ended December 31, 2021. For the year ended December 31, 2022 we incurred $15.1 million of pre-launch expenses which we recorded within research and development expense or general and administrative expense based on the nature of the underlying expense, and our collaborative partner incurred $17.1 million of pre-launch expenses. Pre-launch expenses incurred by us and our collaborative partners increased from $5.6 million and $2.1 million, respectively, for the year ended December 31, 2021, due to 2022 being the first full year of the agreement. The $1.0 million of expense and $1.7 million of income recorded for the years ended December 31, 2022 and 2021, respectively, represent the sharing of 50% of the pre-launch expenses. These amounts represent expense to us in 2022 because our collaborative partner performed more of the pre-launch activities than we, and income to us in 2021 because we performed more of the pre-launch activities than our collaborative partner.</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Other (expense) income, net was $3.7 million of expense for the year ended December 31, 2022 compared to $1.1 million of expense for the year ended December 31, 2021. This increase was primarily driven by the increase in interest expense on the New Credit Facility, as a result of the increased outstanding balance and increasing interest rate throughout the year ended December 31,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Since our inception, we have generated revenue only from collaborations and have incurred recurring net losses. We anticipate that we will continue to incur losses for at least the next several years. Our research and development and general and administrative expenses may continue to increase and, as a result, we will need additional capital to fund our operations, which we may obtain from additional financings, public offerings, research funding, additional collaborations, contract and grant revenue or other sources.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2019, we entered into a common stock sales agreement, or the 2019 Sales Agreement, with Cowen to sell shares of our common stock with aggregate gross sales proceeds of up to $25.0 million, from time to time, through an "at the market" equity offering program, or ATM, under which Cowen acts as sales agent. In March 2020, in connection with filing an updated registration statement on Form S-3 (File No. 333-237033), we entered into a new common stock sales agreement, or the 2020 Sales Agreement, with Cowen on substantially the same terms as the 2019 Sales Agreement and terminated the 2019 Sales Agreement. In May 2021, we entered into a new common stock sales agreement, or the 2021 Sales Agreement, with Cowen to sell shares of our common stock with aggregate gross sales proceeds of up to $150.0 million, from time to time, through an ATM under which Cowen acts as sales agent, and terminated the 2020 Sales Agreement. During the year ended December 31, 2022, we sold approximately 655 thousand shares of common stock under the 2021 Sales Agreement, at an average price of approximately $7.26 per share, raising aggregate net proceeds of approximately $4.4 million after deducting an aggregate commission of approximately 3%. During the year ended December 31, 2021, we did not sell any shares of common stock under the 2020 Sales Agreement or the 2021 Sales Agreement. During the year ended December 31, 2020, we sold approximately 5.8 million shares of common stock under the 2019 Sales Agreement and the 2020 Sales Agreement, as applicable, at an average price of approximately $4.40 per share, raising aggregate net proceeds of approximately $24.8 million after deducting an aggregate commission of approximately 3%.</w:t>
      </w:r>
    </w:p>
    <w:p>
      <w:pPr>
        <w:spacing w:after="0" w:line="8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June 29, 2022, we entered into securities purchase agreements with new and existing investors and certain directors and officers in a registered direct offering, or the Registered Direct Offering, of an aggregate of 31,746,030 shares of our common stock at a purchase price of $3.15 per share for total net proceeds of approximately $96.7 million, after deducting placement agent’s fees and other estimated offering expenses. Net proceeds included an aggregate of $27.5 million received from Flagship Pioneering Fund VII, L.P. and Nutritional Health LTP Fund, L.P., affiliates of Flagship Pioneering, or Flagship, one of our significant stockholders, in exchange for 8,738,243 shares. The closing date of the Registered Direct Offering was July 5, 2022.</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2022, we had cash, cash equivalents and short- and long-term investments totaling $181.3 million and an accumulated deficit of $864.5 million. For </w:t>
      </w:r>
      <w:r>
        <w:rPr>
          <w:rFonts w:ascii="Times New Roman" w:cs="Times New Roman" w:eastAsia="Times New Roman" w:hAnsi="Times New Roman"/>
          <w:sz w:val="18"/>
          <w:szCs w:val="18"/>
          <w:color w:val="222222"/>
        </w:rPr>
        <w:t>the year ended December 31, 2022, we incurred a net loss of $250.2 million, and used cash in operations of $228.8 million. We expect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that our operating losses and negative cash flows will continue for the foreseeable future. We are </w:t>
      </w:r>
      <w:r>
        <w:rPr>
          <w:rFonts w:ascii="Times New Roman" w:cs="Times New Roman" w:eastAsia="Times New Roman" w:hAnsi="Times New Roman"/>
          <w:sz w:val="18"/>
          <w:szCs w:val="18"/>
          <w:color w:val="000000"/>
        </w:rPr>
        <w:t>eligible to receive contingent milestone payments under</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the 2021 License Agreement if certain development, regulatory approval or sales target milestones are achieved. In the event of the approval of our BLA for SER-109, which is currently under priority review by the FDA, we will receive an additional $125.0 million payment from Nestlé pursuant to the 2021 License Agreement (see Note 11, </w:t>
      </w:r>
      <w:r>
        <w:rPr>
          <w:rFonts w:ascii="Times New Roman" w:cs="Times New Roman" w:eastAsia="Times New Roman" w:hAnsi="Times New Roman"/>
          <w:sz w:val="18"/>
          <w:szCs w:val="18"/>
          <w:i w:val="1"/>
          <w:iCs w:val="1"/>
          <w:color w:val="000000"/>
        </w:rPr>
        <w:t>Collaboration Revenue</w:t>
      </w:r>
      <w:r>
        <w:rPr>
          <w:rFonts w:ascii="Times New Roman" w:cs="Times New Roman" w:eastAsia="Times New Roman" w:hAnsi="Times New Roman"/>
          <w:sz w:val="18"/>
          <w:szCs w:val="18"/>
          <w:color w:val="000000"/>
        </w:rPr>
        <w:t>, to the consolidated financial statements included elsewhere in this Annual Report on Form 10-K), and become eligible to receive a $25.0 million tranche under our New Credit Facility with Hercules, which becomes available upon the satisfaction of certain conditions, including FDA approval of SER-109. Additionally, following approval, we will be eligible to receive payments from Nestlé for the supply of SER-109. Following first commercial sale of SER-109, we will be entitled to share equally in its commercial profits and losses.</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Under applicable accounting standards, we have the responsibility to evaluate whether conditions or events raise substantial doubt about our ability to meet our future financial obligations as they become due within 12 months after the date the consolidated financial statements are issued. The receipt of certain contingent payments associated with the FDA approval of our BLA for SER-109, which include the $125.0 million milestone payment from Nestlé and the $25.0 million tranche under our New Credit Facility with Hercules, cannot be considered probable, as these events are outside of our control. Based on its currently available cash resources, we believe it is reasonably likely that we will require additional funding in early 2024. Accordingly, management has concluded that these circumstances raise substantial doubt about our ability to continue as a going concern. Substantial doubt about our ability to continue as a going concern may materially and adversely affect the price per share of our common stock, and it may be more difficult for us to obtain financing. If potential collaborators decline to do business with us or potential investors decline to participate in any future financings due to such concerns, our ability to increase our cash position may be limited. We will need to generate significant revenues to achieve profitability, and we may never do so. Because of the numerous risks and uncertainties associated with the development of our current and any future product candidates, the development of our platform and technology and because the extent to which we may enter into collaborations with third parties for development of any of our product candidates is unknown, we are unable to estimate the amounts of increased capital outlays and operating expenses required for completing the research and development of our product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Manufacturing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with Société des Produits Nestlé S.A. (Nestlé)</w:t>
      </w:r>
    </w:p>
    <w:p>
      <w:pPr>
        <w:spacing w:after="0" w:line="11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January 2016, we entered into the 2016 License Agreement with Nestec, Ltd., as succeeded by Société des Produits Nestlé S.A., or, together with NHSc Rx License GmbH, their affiliates, and their subsidiaries, Nestlé, for the development and commercialization of certain of our product candidates in development for the treatment and management of CDI and IBD, including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9" w:name="page80"/>
    <w:bookmarkEnd w:id="79"/>
    <w:p>
      <w:pPr>
        <w:spacing w:after="0" w:line="268" w:lineRule="auto"/>
        <w:rPr>
          <w:sz w:val="20"/>
          <w:szCs w:val="20"/>
          <w:color w:val="auto"/>
        </w:rPr>
      </w:pPr>
      <w:r>
        <w:rPr>
          <w:rFonts w:ascii="Times New Roman" w:cs="Times New Roman" w:eastAsia="Times New Roman" w:hAnsi="Times New Roman"/>
          <w:sz w:val="17"/>
          <w:szCs w:val="17"/>
          <w:color w:val="auto"/>
        </w:rPr>
        <w:t>UC and Crohn’s disease. In exchange for the license, Nestlé agreed to pay us an upfront cash payment of $120.0 million, which we received in February 2016. Nestlé has also agreed to pay us tiered royalties, at percentages ranging from the high single digits to high teens, of net sales of certain products based on our microbiome technology that are being developed for the treatment of CDI and IBD, including SER-109, SER-262, SER-287 and SER-301, or collectively, the 2016 Collaboration Products, in markets outside of the United States and Canada, or the 2016 Licensed Territory. We are eligible to receive up to $285.0 million in development milestone payments, $375.0 million in regulatory payments and up to an aggregate of $1.1 billion for the achievement of certain commercial milestones related to the sales of 2016 Collaboration Products. The full potential value of the up-front payment and milestone payments payable by Nestlé is over $1.9 billion, assuming all products receive regulatory approval and are successfully commercialized. In September 2016, we received a $10.0 million milestone payment associated with the initiation of the Phase 1b clinical study for SER-262 in CDI. In June 2017, we initiated a Phase 3 clinical study of SER-109 (ECOSPOR III) in patients with multiply recurrent CDI. In July 2017, we received $20.0 million based on the achievement of this milestone under the 2016 License Agreement. In November 2018, we executed a letter agreement with Nestlé, or the Letter Agreement, modifying certain terms of the 2016 License Agreement. Under the Letter Agreement, Nestlé agreed to pay us the $20.0 million Phase 3 milestone payment upon commencement of the Phase 2b study for SER-287. In December 2018, we received $40.0 million in milestone payments in connection with the commencement of the Phase 2b study for SER-287. In August 2020, we received $10.0 million from Nestlé in connection with the initiation of the Phase 1b SER-301 study. To date, we have received $80.0 million in development milestones under the 2016 License Agreement with Nestlé.</w:t>
      </w:r>
    </w:p>
    <w:p>
      <w:pPr>
        <w:spacing w:after="0" w:line="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For the development of 2016 Collaboration Products for IBD under a global development plan, we agreed to pay the costs of clinical trials of such products up to and including Phase 2 clinical trials, and 67% of the costs for Phase 3 and other clinical trials of such products, with Nestlé bearing the remaining 33% of such costs. The Letter Agreement also provides scenarios under which Nestlé’s reimbursement to us for certain Phase 3 development costs would be reduced or delayed depending on the outcomes of the SER-287 Phase 2b study. For other clinical development of 2016 Collaboration Products for IBD, we agreed to pay the costs of such activities to support approval in the United States and Canada, and Nestlé agreed to bear the cost of such activities to support approval of 2016 Collaboration Products in the 2016 Licensed Territory.</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With respect to development of 2016 Collaboration Products for CDI under a global development plan, we agreed to pay all costs of Phase 2 clinical trials for SER-109 and for Phase 3 clinical trials for SER-109. We agreed to bear all costs of conducting any Phase 1 or Phase 2 clinical trials under a global development plan for 2016 Collaboration Products other than SER-109 for CDI. We agreed to pay 67% and Nestlé agreed to pay 33% of other costs of Phase 3 clinical trials conducted for 2016 Collaboration Products other than SER-109 for CDI under a global development plan. For other clinical development of 2016 Collaboration Products for CDI, we agreed to pay costs of such development activities to support approval in the United States and Canada, and Nestlé agreed to bear the cost of such activities to support approval of 2016 Collaboration Products in the 2016 Licensed Territory.</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2016 License Agreement continues in effect until terminated by either party on the following bases: (i) Nestlé may terminate the 2016 License Agreement in the event of serious safety issues related to any of the 2016 Collaboration Products; (ii) we may terminate the 2016 License Agreement if Nestlé challenges the validity or enforceability of any of our licensed patents; and (iii) either party may terminate the 2016 License Agreement in the event of the other party’s uncured material breach or insolvency. Upon termination of the 2016 License Agreement, all licenses granted to Nestlé by us will terminate, and all rights in and to the 2016 Collaboration Products in the 2016 Licensed Territory will revert to us. If we commit a material breach of the 2016 License Agreement, Nestlé may elect not to terminate the 2016 License Agreement but instead apply specified adjustments to its payment obligations and other terms and conditions of the 2016 License Agreement.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with NHSc Rx License GmbH (Nestlé)</w:t>
      </w:r>
    </w:p>
    <w:p>
      <w:pPr>
        <w:spacing w:after="0" w:line="11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On July 1, 2021, we entered into a License Agreement, or the 2021 License Agreement, with NHSc Pharma Partners, succeeded by NHSc Rx License GmbH, or, together with Société des Produits Nestlé S.A., their affiliates, and their subsidiaries, Nestlé. Pursuant to the 2021 License Agreement, we granted to Nestlé, under certain of our patent rights and know how, a co-exclusive, sublicensable (under certain circumstances) license to develop, commercialize and conduct medical affairs activities for (i) therapeutic products based on our microbiome technology (including our SER-109 product candidate) that are developed by us or on our behalf for the treatment of CDI and recurrent CDI, as well as any other indications pursued for the products upon mutual agreement of the parties, or the 2021 Field, in the United States and Canada, or the 2021 Licensed Territory, and (ii) our SER-109 product candidate and any improvements and modifications thereto developed pursuant to the terms of the 2021 License Agreement, or the 2021 Collaboration Products, for any indications in the 2021 Licensed Territory.</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2021 License Agreement sets forth the parties’ respective obligations for development, regulatory, commercialization, medical affairs, and manufacturing and supply activities for the 2021 Collaboration Products with respect to the 2021 Field and the 2021 Licensed Territory. Pursuant to the 2021 License Agreement, we are responsible for, and will use commercially reasonable efforts in, conducting development of SER-109 in the 2021 Field in the United States until first regulatory approval for SER-109 is obtained in the 2021 Field in the United States and in accordance with a development and regulatory activity plan, at our cost, subject to certain exceptions specified in the 2021 License Agreement. We are also responsible for all regulatory affairs related to 2021 Collaboration Products in the 2021 Field in the 2021 Licensed Territory, at its cost, except that expenses incurred for regulatory activities approved by a joint steering committee pursuant to a life cycle management plan for 2021 Collaboration Products are shared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ind w:right="420"/>
        <w:spacing w:after="0" w:line="282" w:lineRule="auto"/>
        <w:rPr>
          <w:sz w:val="20"/>
          <w:szCs w:val="20"/>
          <w:color w:val="auto"/>
        </w:rPr>
      </w:pPr>
      <w:r>
        <w:rPr>
          <w:rFonts w:ascii="Times New Roman" w:cs="Times New Roman" w:eastAsia="Times New Roman" w:hAnsi="Times New Roman"/>
          <w:sz w:val="18"/>
          <w:szCs w:val="18"/>
          <w:color w:val="auto"/>
        </w:rPr>
        <w:t>equally between the parties. We will be solely responsible for manufacturing and supplying 2021 Collaboration Products for development in the 2021 Field in the 2021 Licensed Territory.</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Nestlé has the sole right to commercialize the 2021 Collaboration Products in the 2021 Licensed Territory in accordance with a commercialization plan, subject to our right to elect to provide up to a specified percentage of all promotional details for a certain target audience. Each party will use commercially reasonable efforts to commercialize the 2021 Collaboration Products in the 2021 Licensed Territory in accordance with the commercialization plan. Both parties will perform medical affairs activities for 2021 Collaboration Products in the 2021 Licensed Territory in accordance with a medical affairs plan. We will be solely responsible for the manufacturing and supply of 2021 Collaboration Products for commercialization under a supply agreement that will be entered into between the parties. We are responsible for commercialization and medical affairs activities costs incurred by the parties until first commercial sale of the first 2021 Collaboration Product in the 2021 Licensed Territory and in accordance with a pre-launch plan, up to a specified cap. Following first commercial sale of the first 2021 Collaboration Product, we will be entitled to share equally in its commercial profits and losses.</w:t>
      </w:r>
    </w:p>
    <w:p>
      <w:pPr>
        <w:spacing w:after="0" w:line="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exchange for the grant of the licenses under the 2021 License Agreement, Nestlé agreed to pay us a non-refundable, non-creditable and non-cancelable upfront payment of $175.0 million, which was received in July 2021. Nestlé also agreed to pay us an additional $125.0 million due upon FDA approval of SER-109, $10.0 million upon Canadian regulatory approval of SER-109, and sales target milestones payments totaling up to $225.0 million.</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2021 License Agreement continues in effect until all development and commercialization activities for all 2021 Collaboration Products in the 2021 Licensed Territory have permanently ceased. The 2021 License Agreement may be terminated by either party upon sixty days’ written notice for the other party’s material breach that remains uncured during such sixty-day period, or immediately upon written notice for the other party’s insolvency. Nestlé may also terminate the 2021 License Agreement at-will (i) with twelve months’ prior written notice, effective only on or after the third anniversary of first commercial sale of the first 2021 Collaboration Product in the 2021 Licensed Territory, (ii) if first commercial sale of the first 2021 Collaboration Product in the 2021 Licensed Territory has not occurred by the fifth anniversary of the effective date of the 2021 License Agreement, with one hundred eighty days’ prior written notice, which must be provided during a specified period set forth in the 2021 License Agreement, or (iii) if regulatory approval for SER-109 is not granted after submission by us of a filing seeking first regulatory approval as set forth in the development and regulatory activity plan, and the parties fail to agree on further development of SER-109 in accordance with the terms of the 2021 License Agreement, with one hundred eighty days’ prior written notice, which must be provided within a specified period set forth in the 2021 License Agreement. We may also terminate the 2021 License Agreement immediately upon written notice if Nestlé challenges any licensed patent in the 2021 Licensed Territory.</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Upon termination of the 2021 License Agreement, all licenses granted to Nestlé by us will terminate. If we commit a material breach of the 2021 License Agreement, Nestlé may elect not to terminate the 2021 License Agreement but instead apply specified adjustments to the payment terms and other terms and conditions of the 2021 License Agreement. The 2021 License Agreement contains customary representations and warranties by the parties, intellectual property provisions including ownership, patent prosecution, enforcement and defense, certain indemnification rights in favor of each party, and customary confidentiality provisions and limitations of liability.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 Term Manufacturing Agreement with Bacthera</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a Long Term Manufacturing Agreement with BacThera AG, or Bacthera, a joint venture between Chr. Hansen and a Lonza Group affiliate, which was amended on December 14, 2022, or the Bacthera Agreement. The Bacthera Agreement governs the general terms under which Bacthera, or one of its affiliates, will (i) construct a dedicated full-scale production suite for us at Bacthera’s Microbiome Center of Excellence in Visp, Switzerland, which is currently under construction; and (ii) provide manufacturing services to us for our SER-109 product and other products, as agreed to by the parties.</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Bacthera Agreement, we agreed to pay Bacthera a total of at least 256 million CHF (or approximately $277 million) for the initial term of the agreement, inclusive of the construction fees and annual operating fees. Bacthera is funding the majority of the construction costs and will own and control the manufacturing suite during construction. The construction fees that we are responsible for represent a small percentage of the overall construction costs and are payable upon the achievement of certain milestones related to the construction of the dedicated manufacturing suite. The annual operating fee includes the cost of a baseline annual batch production volume. We have also agreed to pay certain other ancillary fees and a per-batch fee in excess of the baseline batches. These fees are subject to adjustment during construction for certain items outside of Bacthera’s control and annually against an agreed index. We will supply the active pharmaceutical ingredients to Bacthera to enable it to perform the services and pay for certain other raw materials and manufacturing components, which will be acquired by Bacthera.</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Bacthera Agreement has an initial term that continues until the tenth anniversary of the earlier of (a) successful completion of construction and demonstration of Bacthera’s readiness for commercial production or (b) the commencement of manufacturing. The initial term is subject to renewals, which could extend the term to 16 years, and additional three-year terms thereafter. Each party has the ability to terminate the Bacthera Agreement upon the occurrence of certain customary conditions. We may also terminate the Bacthera Agreement for convenience after a defined period. In the event of a termination, we have certain financial obligations that would apply, and Bacthera has agreed to grant a license to Bacthera-developed manufacturing know how, if any, and provide technical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ind w:right="1160"/>
        <w:spacing w:after="0" w:line="282" w:lineRule="auto"/>
        <w:rPr>
          <w:sz w:val="20"/>
          <w:szCs w:val="20"/>
          <w:color w:val="auto"/>
        </w:rPr>
      </w:pPr>
      <w:r>
        <w:rPr>
          <w:rFonts w:ascii="Times New Roman" w:cs="Times New Roman" w:eastAsia="Times New Roman" w:hAnsi="Times New Roman"/>
          <w:sz w:val="18"/>
          <w:szCs w:val="18"/>
          <w:color w:val="auto"/>
        </w:rPr>
        <w:t>assistance to us, so that we could transfer the manufacturing operations to ourselves or a third party. The Bacthera Agreement also contains representations, warranties and indemnity obligations as well as limitations of liability that are customary for agreements of this type.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Loan and Security Agreement with Hercules</w:t>
      </w:r>
    </w:p>
    <w:p>
      <w:pPr>
        <w:spacing w:after="0" w:line="11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October 2019, we entered into a loan and security agreement with Hercules Capital, Inc., or Hercules, pursuant to which a term loan in an aggregate principal amount of up to $50.0 million, or the Original Credit Facility, was available to us in three tranches, subject to certain terms and conditions. We received the first tranche of $25.0 million upon signing the agreement on October 29, 2019, but did not borrow either of the second two tranches, which were available at different times upon Hercules’ approval until June 30, 2021.</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On April 16, 2020, we entered into an amendment to the Loan Agreement, or the First Amendment, permitting us to enter into a promissory note under the Paycheck Protection Program of the Coronavirus Aid, Relief and Economic Stability Act. On April 17, 2020 we issued a Promissory Note to Bank of America, NA, or the Loan, pursuant to which we received loan proceeds of $2.9 million, however, based on updated guidance related to this program, we decided to repay the full amount of the Loan, and repaid the Loan on May 4, 2020.</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Effective as of February 24, 2022, or the Effective Date, we entered into a Second Amendment to the Original Credit Facility (as amended by the First Amendment), or the New Credit Facility, pursuant to which term loans in an aggregate principal amount of up to $100.0 million have become available to us in five tranches including the first tranche under the Original Credit Facility, subject to certain terms and conditions.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first tranche in an aggregate principal amount of $25.0 million was outstanding as of the Effective Date, after taking into account reborrowing by us on the Effective Date of a previously-repaid principal amount of approximately $2.9 million. The second tranche in an aggregate principal amount of $12.5 million and the third tranche in an aggregate principal amount of $12.5 million have been advanced to us and were outstanding as of the Effective Date. The fourth tranche in an aggregate principal amount of $25.0 million is available upon satisfaction of certain conditions, including the approval by the FDA of a biologics license application in respect of SER-109, or the Regulatory Approval Milestone, by no later than December 15, 2023. The fifth tranche in an aggregate principal amount of up to $25.0 million is available through the Amortization Date (as defined below) upon satisfaction of certain conditions, including the Lenders’ investment committee approval.</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All advances outstanding under the New Credit Facility bear interest at a rate equal to the greater of either (i) the Prime Rate (as reported in The Wall Street Journal) plus 6.40%, and (ii) 9.65%. For all advances outstanding under the New Credit Facility, we will make interest only payments through December 31, 2023, extendable to December 31, 2024 upon satisfaction of certain conditions, such applicable date, the Amortization Date. The principal balance and interest of the advances will be repaid in equal monthly installments after the Amortization Date and continuing through October 1, 2024, extendable to October 1, 2025, upon satisfaction of certain conditions, such applicable date, the Maturity Date.</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prepay advances under the New Credit Facility, in whole or in part, at any time subject to a prepayment charge equal to: (a) 2.0% of amounts so prepaid, if such prepayment occurs during the first year following the Effective Date; (b) 1.5% of the amount so prepaid, if such prepayment occurs during the second year following the Effective Date, and (c) 1.0% of the amount so prepaid, if such prepayment occurs during the third year following the Effective Date.</w:t>
      </w:r>
    </w:p>
    <w:p>
      <w:pPr>
        <w:spacing w:after="0" w:line="72"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We will pay an end of term charge of 4.85% of the aggregate amount of the advances made under the Old Credit Facility on the earliest date of (i) November 1, 2023; (ii) the date that we prepay all of the outstanding principal in full, or (iii) the date the loan payments are accelerated due to an event of default. We will pay an additional end of term charge of 1.75% of the aggregate amount of the advances under the New Credit Facility (including the first tranche of $25.0 million) on the earliest date of (i) the Maturity Date; (ii) the date that we prepay all of the outstanding principal in full, or (iii) the date the loan payments are accelerated due to an event of default.</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Other terms of the New Credit Facility remain generally identical to those under the Old Credit Facility, with certain covenants amended by the Second Amendment to provide us with additional operational flexibility, including the ability for us to issue up to $350.0 million in convertible notes. The New Credit Facility includes a conditional liquidity covenant commencing on June 15, 2023, which ceases to apply if certain conditions including the Regulatory Approval Milestone are satisfied.</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New Credit Facility is secured by substantially all of our assets, other than our intellectual property. We have agreed to not pledge or secure our intellectual property to others.</w:t>
      </w:r>
    </w:p>
    <w:p>
      <w:pPr>
        <w:spacing w:after="0" w:line="5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outstanding principal under the New Credit Facility was $50.0 million and $24.1 million, respectively. For a further description of the New Credit Facility, see Note 8 to our consolidated financial statements included elsewhere in this Annual Report on Form 10-K.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sources and uses of cash, cash equivalents and restricted cash for the years ended December 31, 2022 and 2021.</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r>
      <w:tr>
        <w:trPr>
          <w:trHeight w:val="169"/>
        </w:trPr>
        <w:tc>
          <w:tcPr>
            <w:tcW w:w="6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 operating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(228,816 )</w:t>
            </w:r>
          </w:p>
        </w:tc>
        <w:tc>
          <w:tcPr>
            <w:tcW w:w="400" w:type="dxa"/>
            <w:vAlign w:val="bottom"/>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80" w:type="dxa"/>
            <w:vAlign w:val="bottom"/>
            <w:shd w:val="clear" w:color="auto" w:fill="CFF0FC"/>
          </w:tcPr>
          <w:p>
            <w:pPr>
              <w:spacing w:after="0"/>
              <w:rPr>
                <w:sz w:val="21"/>
                <w:szCs w:val="21"/>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82,428</w:t>
            </w:r>
          </w:p>
        </w:tc>
        <w:tc>
          <w:tcPr>
            <w:tcW w:w="220" w:type="dxa"/>
            <w:vAlign w:val="bottom"/>
          </w:tcPr>
          <w:p>
            <w:pPr>
              <w:spacing w:after="0"/>
              <w:rPr>
                <w:sz w:val="20"/>
                <w:szCs w:val="20"/>
                <w:color w:val="auto"/>
              </w:rPr>
            </w:pPr>
          </w:p>
        </w:tc>
        <w:tc>
          <w:tcPr>
            <w:tcW w:w="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64,088</w:t>
            </w:r>
          </w:p>
        </w:tc>
        <w:tc>
          <w:tcPr>
            <w:tcW w:w="80" w:type="dxa"/>
            <w:vAlign w:val="bottom"/>
          </w:tcPr>
          <w:p>
            <w:pPr>
              <w:spacing w:after="0"/>
              <w:rPr>
                <w:sz w:val="20"/>
                <w:szCs w:val="20"/>
                <w:color w:val="auto"/>
              </w:rPr>
            </w:pPr>
          </w:p>
        </w:tc>
      </w:tr>
      <w:tr>
        <w:trPr>
          <w:trHeight w:val="247"/>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129,602</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 xml:space="preserve">(16,786 </w:t>
            </w:r>
            <w:r>
              <w:rPr>
                <w:rFonts w:ascii="Times New Roman" w:cs="Times New Roman" w:eastAsia="Times New Roman" w:hAnsi="Times New Roman"/>
                <w:sz w:val="18"/>
                <w:szCs w:val="18"/>
                <w:color w:val="auto"/>
                <w:highlight w:val="white"/>
              </w:rPr>
              <w:t>)</w:t>
            </w:r>
          </w:p>
        </w:tc>
        <w:tc>
          <w:tcPr>
            <w:tcW w:w="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71,954</w:t>
            </w:r>
          </w:p>
        </w:tc>
        <w:tc>
          <w:tcPr>
            <w:tcW w:w="8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2022, net cash used in operating activities was $228.8 million, primarily due to net loss of $250.2 million and changes in our operating assets and liabilities of $18.4 million, partially offset by non-cash charges of $39.7 million. Non-cash charges consisted of $25.5 million of stock-based compensation expense, $5.2 million related to the amortization of right-of-use assets, $6.6 million of depreciation, $1.4 million of net amortization of premiums related to our investments and amortization of debt issuance costs, and collaboration loss sharing of $1.0 million related to the 2021 License Agreement with Nestlé. Changes in our operating assets and liabilities during the year ended December 31, 2022 primarily consisted of a $12.6 million increase in prepaid expenses and other current and non-current assets, a $7.1 million decrease in deferred revenue and a $4.2 million decrease in operating lease liabilities, partially offset by a $3.3 million increase in accrued expenses and other liabilities and a $2.2 million increase in accounts payable. The increase in prepaid expenses and other current and non-current assets was primarily due to the remittance of the second milestone payment pursuant to the Bacthera Agreement. The decrease in deferred revenue is due to recognition of revenue during the year for services performed under both the 2021 License Agreement and the 2016 License Agreement. The decrease in operating lease liabilities was due to the cash payment of lease obligations.</w:t>
      </w:r>
    </w:p>
    <w:p>
      <w:pPr>
        <w:spacing w:after="0" w:line="6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2021, net cash provided by operating activities was $6.7 million, primarily due to changes in our operating assets and liabilities of $41.5 million and non-cash charges of $30.7 million, partially offset by a net loss of $65.6 million. Non-cash charges consisted primarily of $20.2 million of stock-based compensation expense, $3.3 million related to the amortization of right-of-use assets, $5.9 million of depreciation, and $2.5 million of net amortization of premiums related to our investments, partially offset by collaboration profit sharing of $1.7 million related to the 2021 License Agreement with Nestlé. Changes in our operating assets and liabilities during the year ended December 31, 2021 primarily consisted of a $43.0 million increase in accrued expenses and other liabilities, a $9.4 million increase in accounts payable and a $9.4 million decrease in accounts receivable, partially offset by a $12.3 million increase in prepaid expenses and other current and non-current assets, a $4.4 million decrease in deferred revenue and a $3.6 million decrease in operating lease liabilities. The increase in accrued expenses and other current and long-term liabilities was primarily due to the liability established for pre-launch activities in conjunction with the 2021 License Agreement with Nestlé. The decrease in deferred revenue is due to recognition of revenue during the year, partially offset by an increase of $8.2 million, which represents the portion of the transaction price for the 2021 License Agreement allocated to the research and development services. The decrease in operating lease liabilities was due to the cash payment of lease obligations.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investing activities was $82.4 million, primarily due to maturities of investments of $140.5 million, partially offset by purchases of investments of $48.2 million and purchases of property and equipment of $9.8 million.</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net cash provided by investing activities was $64.1 million, primarily due to maturities of investments of $169.6 million, partially offset by purchases of investments of $96.0 million and purchases of property and equipment of $9.6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was $129.6 million, consisting of $96.7 million of net proceeds received from the Registered Direct Offering that we completed in July 2022, $27.6 million of proceeds received from the New Credit Facility, and $4.4 million from the issuance of common stock via our at the market equity program, net of issuance costs. We also received $1.0 million from the issuance of common stock associated with the exercise of stock options and $1.8 million in connection with the issuance of common stock under our 2015 Employee Stock Purchase Plan, or ESPP. These cash inflows were partially offset by principal payments under the Original Credit Facility of $1.9 million.</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net cash provided by financing activities was $1.2 million. This was a result of $1.3 million from the exercise of stock options and $0.8 million from the issuance of common stock under the ESPP, partially offset by $0.9 million of principal payments relating to our term loan.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3" w:name="page84"/>
    <w:bookmarkEnd w:id="8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expenses may increase substantially in connection with our ongoing clinical development activities and our research and development activities. In addition, we expect to continue to incur additional costs associated with operating as a public company. We anticipate that our expenses will increase substantially if and as we:</w:t>
      </w:r>
    </w:p>
    <w:p>
      <w:pPr>
        <w:spacing w:after="0" w:line="68"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clinical development, seek regulatory approval, and prepare for commercialization of SER-109 for patients with recurrent CDI;</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SER-155 to reduce incidences of gastrointestinal infections, bloodstream infections and GvHD in patients receiving allo-HSCT;</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evaluating preclinical stage programs to reduce incidence of infection, in indications such as cancer neutropenia, chronic liver disease, solid organ transplant, and antimicrobial resistant infections more broadly;</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translational research activities, informed by the SER-287 Phase 2b and SER-301 Phase 1b study data, to evaluate the potential to utilize biomarker-based patient selection and stratification in future clinical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our research discovery and development platforms and capabilities to advance our priority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manufacturing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augment our intellectual property portfolio and opportunistically acquire complementary intellectual property;</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and distribution infrastructure and scale-up manufacturing capabilities to commercialize any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our agreements with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68"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any resurgence or the emergence of new variants;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continued increase in inflation rates or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studies and preclinical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 research activities;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Additionally, market volatility resulting from macroeconomic conditions, the COVID-19 pandemic, or other factors could also adversely impact our ability to access capital as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ind w:right="20"/>
        <w:spacing w:after="0" w:line="256" w:lineRule="auto"/>
        <w:rPr>
          <w:sz w:val="20"/>
          <w:szCs w:val="20"/>
          <w:color w:val="auto"/>
        </w:rPr>
      </w:pPr>
      <w:r>
        <w:rPr>
          <w:rFonts w:ascii="Times New Roman" w:cs="Times New Roman" w:eastAsia="Times New Roman" w:hAnsi="Times New Roman"/>
          <w:sz w:val="18"/>
          <w:szCs w:val="18"/>
          <w:color w:val="auto"/>
        </w:rPr>
        <w:t>and when needed. To the extent that we raise additional capital through the sale of equity or convertible debt securities, our shareholders’ ownership interest will be diluted, and the terms of these securities may include liquidation or other preferences that adversely affect our shareholders’ rights as common stockholders. Our loan and security agreement with Hercules currently includes, and any additional debt financing and preferred equity financing, if available, may involve agreements that include, covenants limiting or restricting our ability to take specific actions, such as incurring additional debt, making capital expenditures or declaring dividends. Additional debt or preferred equity financing may also require the issuance of warrants, which could potentially dilute our shareholders’ ownership interest.</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in addition to our existing collaboration agreements,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noted above, the magnitude and duration of the COVID-19 pandemic and its impact on our liquidity and future funding requirements is uncertain as of the filing date of this Annual Report on Form 10-K as this continues to evolve globally. See “Risk Factors—Risks Related to Our Operations—The COVID-19 pandemic has adversely impacted and could continue to adversely impact, our business, including our preclinical studies and clinical trials, results of operations and financial condition” in Part I, Item 1A of this Annual Report on Form 10-K for a further discussion of the possible impact of the COVID-19 pandemic on our business.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discussed in Note 1 of the consolidated financial statements included elsewhere in this Annual Report on Form 10-K, we have the responsibility to evaluate whether conditions or events raise substantial doubt about our ability to meet our future financial obligations as they become due within 12 months after the date the consolidated financial statements are issued. The receipt of potential funding from future equity or debt issuances and certain contingent payments associated with the FDA approval of our BLA for SER-109, which is currently under priority review by the FDA, which include the potential to receive a $125.0 million milestone payment from Nestlé pursuant to the 2021 License Agreement, and a $25.0 million tranche under our New Credit Facility with Hercules, cannot be considered probable, as these events are outside of our control. Based on our currently available cash resources and our current level of operations and cash flow analysis for the 12-month period subsequent to the date of issuance of the consolidated financial statements, we believe it is reasonably likely that it will require additional funding in early 2024. Accordingly, management has concluded that these circumstances raise substantial doubt about our ability to continue as a going concern.</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arrangements include those related to our lease commitments, long-term debt, and long-term manufacturing agreements.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lease commitments reflect payments due under our operating lease agreements for our corporate headquarters, office and laboratory space,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donor collection facilities, that expire between May 2028 and April 2033. As of December 31, 2022, our contractual commitments for our leases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$187.2 million, of which $16.8 million is expected to be paid within one year, and $170.5 million will be paid over the remaining term of such leases.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commitments also include $5.5 million for leases that had not yet commenced as of December 31, 2022. For additional information on our leases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timing of future payments, please read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included in this Form 10-K.</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commitments due for our term loan under our arrangement with Hercules total $7.0 million in interest-only payments through January 1, 2024, and a backend fee of $1.2 million due in November 2023. Our remaining commitments are due through October 2024, and include principal and interest payments of $53.3 million, and an additional fee upon maturity of the loan of $0.9 million. The interest rate in effect at December 31, 2022 was 13.40%. See Note 8,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to the consolidated financial statements for further discussion of the Hercules term loan.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Bacthera Long Term Manufacturing Agreement</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commitments due under our long-term manufacturing agreement with Bacthera, inclusive of construction fees and annual operating fees, total $263.1 million, of which $65.5 million in construction fees are expected to be paid within one year, and the remaining $197.6 million in operating fees will be paid over the remaining 10 years, beginning in 2024 upon completion of the construction of the facility.</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5" w:name="page86"/>
    <w:bookmarkEnd w:id="85"/>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ind w:right="18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standards see Note 2, Summary of Significant Accounting Policies, to our consolidated financial statements included in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Interest Rate Fluctuation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 related to changes in interest rates.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our cash and cash equivalents consisted of cash and money market accounts. Our interest income is sensitive to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had outstanding borrowings under the New Credit Facility. We accrue interest at a rate equal to the greater of either</w:t>
      </w:r>
    </w:p>
    <w:p>
      <w:pPr>
        <w:spacing w:after="0" w:line="27" w:lineRule="exact"/>
        <w:rPr>
          <w:sz w:val="20"/>
          <w:szCs w:val="20"/>
          <w:color w:val="auto"/>
        </w:rPr>
      </w:pPr>
    </w:p>
    <w:p>
      <w:pPr>
        <w:ind w:right="400" w:firstLine="8"/>
        <w:spacing w:after="0" w:line="226" w:lineRule="exact"/>
        <w:tabs>
          <w:tab w:leader="none" w:pos="2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(as reported in The Wall Street Journal) plus 6.40%, and (ii) 9.65%. An immediate 10% change in the Prime Rate would not have a material impact on our debt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obligations, financial position or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as of the end of the period covered by this Annual Report on Form 10-K. Based on such evaluation, our principal executive officer and principal financial officer has concluded that as of December 31, 2022, our disclosure controls and procedures were effective at the reasonable assurance level.</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and 15d-15(f) under the Securities Exchange Act of 1934, as amended.</w:t>
      </w:r>
    </w:p>
    <w:p>
      <w:pPr>
        <w:spacing w:after="0" w:line="5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2022, our internal control over financial reporting was effective.</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PricewaterhouseCoopers LLP, an independent registered public accounting firm, as stated in their report included in this Annual Report on Form 10-K on page F-1.</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86" w:name="page87"/>
    <w:bookmarkEnd w:id="86"/>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225" w:right="7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20" w:type="dxa"/>
            <w:vAlign w:val="bottom"/>
            <w:gridSpan w:val="3"/>
          </w:tcPr>
          <w:p>
            <w:pPr>
              <w:jc w:val="center"/>
              <w:ind w:right="5132"/>
              <w:spacing w:after="0"/>
              <w:rPr>
                <w:sz w:val="20"/>
                <w:szCs w:val="20"/>
                <w:color w:val="auto"/>
              </w:rPr>
            </w:pPr>
            <w:r>
              <w:rPr>
                <w:rFonts w:ascii="Times New Roman" w:cs="Times New Roman" w:eastAsia="Times New Roman" w:hAnsi="Times New Roman"/>
                <w:sz w:val="18"/>
                <w:szCs w:val="18"/>
                <w:b w:val="1"/>
                <w:bCs w:val="1"/>
                <w:color w:val="auto"/>
                <w:w w:val="96"/>
              </w:rPr>
              <w:t>PART III</w:t>
            </w:r>
          </w:p>
        </w:tc>
      </w:tr>
      <w:tr>
        <w:trPr>
          <w:trHeight w:val="324"/>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24"/>
        </w:trPr>
        <w:tc>
          <w:tcPr>
            <w:tcW w:w="3320" w:type="dxa"/>
            <w:vAlign w:val="bottom"/>
          </w:tcPr>
          <w:p>
            <w:pPr>
              <w:spacing w:after="0"/>
              <w:rPr>
                <w:sz w:val="24"/>
                <w:szCs w:val="24"/>
                <w:color w:val="auto"/>
              </w:rPr>
            </w:pPr>
          </w:p>
        </w:tc>
        <w:tc>
          <w:tcPr>
            <w:tcW w:w="7920" w:type="dxa"/>
            <w:vAlign w:val="bottom"/>
            <w:gridSpan w:val="6"/>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Director Biographical Information</w:t>
            </w:r>
          </w:p>
        </w:tc>
      </w:tr>
      <w:tr>
        <w:trPr>
          <w:trHeight w:val="378"/>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Age</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42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Dennis A. Ausiello, M.D. (3)(4)</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77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45"/>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Grégory Behar (3)</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53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41"/>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Berenson (3)</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62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R. Biondi (2)</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53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41"/>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Willard H. Dere, M.D. (4)</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69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Claire M. Fraser, Ph.D. (1)(4)</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67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4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Kurt C. Graves (2)</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55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45"/>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N. Kender (1)(2)</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67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4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D. Shaff</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47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45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Meryl S. Zausner (1)(2)</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8"/>
                <w:szCs w:val="18"/>
                <w:color w:val="auto"/>
                <w:w w:val="99"/>
              </w:rPr>
              <w:t>66</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90"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audit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compensation and talent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nominating and corporate governance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science and clinical development committee.</w:t>
      </w:r>
    </w:p>
    <w:p>
      <w:pPr>
        <w:spacing w:after="0" w:line="11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Dennis A. Ausiello, M.D. </w:t>
      </w:r>
      <w:r>
        <w:rPr>
          <w:rFonts w:ascii="Times New Roman" w:cs="Times New Roman" w:eastAsia="Times New Roman" w:hAnsi="Times New Roman"/>
          <w:sz w:val="18"/>
          <w:szCs w:val="18"/>
          <w:color w:val="231F20"/>
        </w:rPr>
        <w:t>has served as a member of our board of directors since April 2015. Dr. Ausiello has served as the Jackson Distinguished Professor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 Physician-in-Chief Emeritus at Massachusetts General Hospital since 2013.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previously served on the board of directors of Pfizer Inc. from 2006 to 2020, where he currently serves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77" w:lineRule="exact"/>
        <w:rPr>
          <w:sz w:val="20"/>
          <w:szCs w:val="20"/>
          <w:color w:val="auto"/>
        </w:rPr>
      </w:pPr>
    </w:p>
    <w:p>
      <w:pPr>
        <w:jc w:val="both"/>
        <w:ind w:right="160"/>
        <w:spacing w:after="0" w:line="273" w:lineRule="auto"/>
        <w:rPr>
          <w:sz w:val="20"/>
          <w:szCs w:val="20"/>
          <w:color w:val="auto"/>
        </w:rPr>
      </w:pPr>
      <w:r>
        <w:rPr>
          <w:rFonts w:ascii="Times New Roman" w:cs="Times New Roman" w:eastAsia="Times New Roman" w:hAnsi="Times New Roman"/>
          <w:sz w:val="17"/>
          <w:szCs w:val="17"/>
          <w:i w:val="1"/>
          <w:iCs w:val="1"/>
          <w:color w:val="231F20"/>
        </w:rPr>
        <w:t xml:space="preserve">Grégory Behar </w:t>
      </w:r>
      <w:r>
        <w:rPr>
          <w:rFonts w:ascii="Times New Roman" w:cs="Times New Roman" w:eastAsia="Times New Roman" w:hAnsi="Times New Roman"/>
          <w:sz w:val="17"/>
          <w:szCs w:val="17"/>
          <w:color w:val="231F20"/>
        </w:rPr>
        <w:t>has served as a member of our board of directors since December 2014. Mr. Behar has served as Chief Executive Officer of Nestlé Health</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Science, a business unit of Société des Produits Nestlé S.A., a health sciences company, since July 2014. From August 2011 to May 2014, Mr. Behar was President and Chief Executive Officer of Boehringer Ingelheim Pharmaceuticals Inc. (USA), a pharmaceutical company. From 2010 to July 2011, Mr.</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231F20"/>
        </w:rPr>
        <w:t>Behar was Corporate Vice President Region NECAR (North European Union, Canada and Australasia) for Boehringer-Ingelheim GmbH, a pharmaceutical company. Mr. Behar has served on the boards of directors of Nestlé Health Science since July 2014, Axcella Health, Inc. since February 2016 and Sonova AG since April 2021 and previously served on the board of directors of Aimmune Therapeutics, Inc. from November 2016 until its acquisition in October 2020. Mr. Behar received his B.S. in Mechanical Engineering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Stephen Berenson </w:t>
      </w:r>
      <w:r>
        <w:rPr>
          <w:rFonts w:ascii="Times New Roman" w:cs="Times New Roman" w:eastAsia="Times New Roman" w:hAnsi="Times New Roman"/>
          <w:sz w:val="18"/>
          <w:szCs w:val="18"/>
          <w:color w:val="231F20"/>
        </w:rPr>
        <w:t>has served as Chairman of our board of directors since December 2019 and as a member of our board of directors since August 2019.</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Mr. Berenson has been a Managing Partner at Flagship Pioneering, a life sciences innovation firm which conceives, creates, resources and develops first-in-category life sciences companies, since June 2017. Prior to Flagship, Mr. Berenson spent 33 years in various roles as an investment banker at J.P. Morgan,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has served as chairman of the board of directors of Cellarity, a privately held company, since July 2021, and has served on the boards of directors of Moderna, Inc. since October 2017 and Repertoire Immune Medicines, a privately held company, since May 2021. Mr. Berenson received an S.B. in Mathematics from the Massachusetts Institute of Technology. We believe that Mr. Berenson is qualified to serve on our board of directors because of his extensive experience working with rapidly-growing companies across various industries.</w:t>
      </w:r>
    </w:p>
    <w:p>
      <w:pPr>
        <w:spacing w:after="0" w:line="77"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231F20"/>
        </w:rPr>
        <w:t xml:space="preserve">Paul R. Biondi </w:t>
      </w:r>
      <w:r>
        <w:rPr>
          <w:rFonts w:ascii="Times New Roman" w:cs="Times New Roman" w:eastAsia="Times New Roman" w:hAnsi="Times New Roman"/>
          <w:sz w:val="18"/>
          <w:szCs w:val="18"/>
          <w:color w:val="231F20"/>
        </w:rPr>
        <w:t>has served as a member of our board of directors since March 2020. Mr. Biondi is an Executive Partner and President of Pioneering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Medicines at Flagship Pioneering, roles he has held since November 2019. Mr. Biondi joined Flagship Pioneering</w:t>
      </w:r>
    </w:p>
    <w:p>
      <w:pPr>
        <w:sectPr>
          <w:pgSz w:w="11900" w:h="16838" w:orient="portrait"/>
          <w:cols w:equalWidth="0" w:num="1">
            <w:col w:w="11240"/>
          </w:cols>
          <w:pgMar w:left="320" w:top="117"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8" w:name="page89"/>
    <w:bookmarkEnd w:id="88"/>
    <w:p>
      <w:pPr>
        <w:ind w:right="180"/>
        <w:spacing w:after="0" w:line="256" w:lineRule="auto"/>
        <w:rPr>
          <w:sz w:val="20"/>
          <w:szCs w:val="20"/>
          <w:color w:val="auto"/>
        </w:rPr>
      </w:pPr>
      <w:r>
        <w:rPr>
          <w:rFonts w:ascii="Times New Roman" w:cs="Times New Roman" w:eastAsia="Times New Roman" w:hAnsi="Times New Roman"/>
          <w:sz w:val="18"/>
          <w:szCs w:val="18"/>
          <w:color w:val="231F20"/>
        </w:rPr>
        <w:t>following a seventeen-year tenure at Bristol-Myers Squibb, or BMS, a pharmaceutical company, where he was most recently the Senior Vice President of Strategy and Business Development from October 2015 to November 2019. Prior to serving in the role of Senior Vice President of Strategy, from 2002 to 2015, Mr. Biondi held a series of other leadership roles within BMS’ Research and Development organization overseeing strategy, portfolio, and project management, as well as clinical and business operations. Mr. Biondi holds a bachelor’s degree from Dartmouth College and an M.B.A. from the J.L. Kellogg School of Management at Northwestern University. We believe that Mr. Biondi is qualified to serve on our board of directors because of his extensive experience in biopharmaceutical strategy and corporate development.</w:t>
      </w:r>
    </w:p>
    <w:p>
      <w:pPr>
        <w:spacing w:after="0" w:line="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Willard H. Dere, M.D. </w:t>
      </w:r>
      <w:r>
        <w:rPr>
          <w:rFonts w:ascii="Times New Roman" w:cs="Times New Roman" w:eastAsia="Times New Roman" w:hAnsi="Times New Roman"/>
          <w:sz w:val="18"/>
          <w:szCs w:val="18"/>
          <w:color w:val="231F20"/>
        </w:rPr>
        <w:t>has served as a member our board of directors since July 2017. Dr. Dere has been Professor Emeritus, Department of Internal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Medicine, at the University of Utah School of Medicine since July 2022. Prior to retirement, and beginning in November 2014, Dr. Dere held multiple roles at the University of Utah Health Sciences Center, including Associate Vice President for Research, Co-Director of the Utah Clinical and Translational Science Institute, and Co-Director of the Center for Genomic Medicine. Prior to his professorship, from 2003 until 2014, Dr. Dere worked at Amgen, where he was Senior Vice President and head of Global Development, and led development programs in multiple therapeutic areas. From 1989 to 2014, he worked at Eli Lilly and led multiple development programs, and also worked in clinical pharmacology, regulatory affairs and safety. Dr. Dere has served on the boards of directors of BioMarin Pharmaceutical, Inc. since 2016 and Mersana Therapeutics, Inc. since 2018, and previously served on the boards of directors of Ocera Therapeutics and Radius Health.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231F20"/>
        </w:rPr>
        <w:t xml:space="preserve">Claire M. Fraser, Ph.D. </w:t>
      </w:r>
      <w:r>
        <w:rPr>
          <w:rFonts w:ascii="Times New Roman" w:cs="Times New Roman" w:eastAsia="Times New Roman" w:hAnsi="Times New Roman"/>
          <w:sz w:val="18"/>
          <w:szCs w:val="18"/>
          <w:color w:val="231F20"/>
        </w:rPr>
        <w:t>has served as a member of our board of directors since January 2023. Since 2007, Dr. Fraser has been the director of the Institute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for Genome Sciences and a Professor of Medicine and Microbiology and Immunology at the University of Maryland School of Medicine in Baltimore, Maryland. From 1998 to 2007, she served as president and director of The Institute for Genomic Research, a not-for-profit research organization engaged in human and microbial genomics studies. Dr. Fraser has served on the board of directors of Becton, Dickinson, and Company since 2006, and previously served as the Chair of the Board and a director of the American Association for the Advancement of Science. Dr. Fraser received her bachelor’s degree in Biology from Rensselaer Polytechnic Institute and her Ph.D. in Pharmacology from State University of New York-Buffalo. We believe Dr. Fraser is qualified to serve on our board of directors due to her extensive academic experience and her knowledge of the microbiome industry.</w:t>
      </w:r>
    </w:p>
    <w:p>
      <w:pPr>
        <w:spacing w:after="0" w:line="7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Kurt C. Graves </w:t>
      </w:r>
      <w:r>
        <w:rPr>
          <w:rFonts w:ascii="Times New Roman" w:cs="Times New Roman" w:eastAsia="Times New Roman" w:hAnsi="Times New Roman"/>
          <w:sz w:val="18"/>
          <w:szCs w:val="18"/>
          <w:color w:val="231F20"/>
        </w:rPr>
        <w:t>has served as a member of our board of directors since November 2015. Mr. Graves has served as the Executive Chairman of i20</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Therapeutics, Inc., a biotechnology company, since August 2021. Mr. Graves was previously the Chairman, President and Chief Executive Officer of Intarcia Therapeutics, Inc., a biotechnology company, from September 2010 to December 2020 and on its board of directors from August 2010 to December 2020. Previously, he served as Executive Vice President, Chief Commercial Officer and Head of Strategic Development at Vertex Pharmaceuticals Inc., or Vertex, from July 2007 to October 2009. Prior to joining Vertex, Mr. Graves held various leadership positions at Novartis Pharmaceuticals Corporation, or Novartis Corp., from 1999 to June 2007, including the Global General Medicines Business Unit Head and Chief Marketing Officer for the pharmaceuticals division of Novartis Corp. from September 2003 to June 2007. He served on the boards directors of Radius Health, Inc. from May 2011 to March 2020, and Achillion Pharmaceuticals, Inc. from June 2012 to January 2020.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7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i w:val="1"/>
          <w:iCs w:val="1"/>
          <w:color w:val="231F20"/>
        </w:rPr>
        <w:t xml:space="preserve">Richard N. Kender </w:t>
      </w:r>
      <w:r>
        <w:rPr>
          <w:rFonts w:ascii="Times New Roman" w:cs="Times New Roman" w:eastAsia="Times New Roman" w:hAnsi="Times New Roman"/>
          <w:sz w:val="18"/>
          <w:szCs w:val="18"/>
          <w:color w:val="231F20"/>
        </w:rPr>
        <w:t>has served as a member of our board of directors since October 2014. From October 1978 to September 2013, Mr. Kender held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positions in a variety of corporate areas at Merck &amp; Co., Inc., or Merck, a pharmaceutical company, most recently serving as Senior Vice President of Business Development and Corporate Licensing. Mr. Kender has served on the boards of directors of Poxel S.A. since March 2015 and Bicycle Therapeutics PLC since July 2019. He previously served on the boards of directors of INC Research Holdings, Inc. between December 2014 and August 2017, Abide Therapeutics, Inc., a privately held company, between December 2015 and May 2019, and ReViral Ltd., a privately held company, from November 2019 to June 2022.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Eric D. Shaff </w:t>
      </w:r>
      <w:r>
        <w:rPr>
          <w:rFonts w:ascii="Times New Roman" w:cs="Times New Roman" w:eastAsia="Times New Roman" w:hAnsi="Times New Roman"/>
          <w:sz w:val="18"/>
          <w:szCs w:val="18"/>
          <w:color w:val="231F20"/>
        </w:rPr>
        <w:t>has served as our President and Chief Executive Officer and a member of our board of directors since January 2019. Previously, he served as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our Chief Operating and Financial Officer and Executive Vice President from January 2018 until January 2019 and as our Chief Financial Officer from November 2014 until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has served on the board of directors of Sigilon Therapeutics, Inc. since November 2017.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ind w:right="60"/>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Meryl Zausner </w:t>
      </w:r>
      <w:r>
        <w:rPr>
          <w:rFonts w:ascii="Times New Roman" w:cs="Times New Roman" w:eastAsia="Times New Roman" w:hAnsi="Times New Roman"/>
          <w:sz w:val="18"/>
          <w:szCs w:val="18"/>
          <w:color w:val="231F20"/>
        </w:rPr>
        <w:t>has served as a member of our board of directors since August 2018. Ms. Zausner worked for Novartis Pharmaceuticals, Inc., or Novartis, a</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pharmaceutical company, from 1988 until her retirement in 2017, most recently serving as Chief Financial and Administrative Officer and a member of the Pharmaceutical Executive Committee and Global Finance Leadership Team of Novartis in the United States. At Novartis, she helped launch the Oncology Business Unit, as well as the company’s shared services organization. Prior to serving as Chief Financial and Administrative Officer, Ms. Zausner was a member of the Novartis Global Oncology leadership team, where she contributed to the development and commercialization of therapies, including Gleevec® (imatinib). Ms. Zausner previously served on the boards of directors of Goldfinch Bio, Inc., a privately held company, from February 2021 to December 2022, the Multiple Myeloma Research Foundation from September 2009 to June 2021, and Neon Therapeutics, Inc. from December 2017 to May 2020. Ms. Zausner received a B.S. in Accounting and Economics from the University at Albany, SUNY. We believe Ms. Zausner is qualified to serve on our board of directors because of her finance and leadership experience and knowledge of the pharmaceutical industry.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8380" w:type="dxa"/>
            <w:vAlign w:val="bottom"/>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r>
      <w:tr>
        <w:trPr>
          <w:trHeight w:val="65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42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D. Shaff</w:t>
            </w: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2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Head of Business</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Arkowitz</w:t>
            </w: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Paula A. Cloghessy</w:t>
            </w: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People Officer</w:t>
            </w:r>
          </w:p>
        </w:tc>
      </w:tr>
      <w:tr>
        <w:trPr>
          <w:trHeight w:val="4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J. DesRosier</w:t>
            </w: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S. Ege, Ph.D.</w:t>
            </w: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Technology Officer</w:t>
            </w:r>
          </w:p>
        </w:tc>
      </w:tr>
      <w:tr>
        <w:trPr>
          <w:trHeight w:val="4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Henn, Ph.D.</w:t>
            </w: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Scientific Officer</w:t>
            </w: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von Moltke, M.D.</w:t>
            </w: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Medical Officer</w:t>
            </w:r>
          </w:p>
        </w:tc>
      </w:tr>
      <w:tr>
        <w:trPr>
          <w:trHeight w:val="241"/>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Teresa L. Young, Ph.D.</w:t>
            </w:r>
          </w:p>
        </w:tc>
        <w:tc>
          <w:tcPr>
            <w:tcW w:w="1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0"/>
                <w:szCs w:val="20"/>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Commercial and Strategy Officer</w:t>
            </w:r>
          </w:p>
        </w:tc>
      </w:tr>
    </w:tbl>
    <w:p>
      <w:pPr>
        <w:spacing w:after="0" w:line="101"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Information concerning Eric D. Shaff, our President and Chief Executive Officer, may be found above in the section entitled “Director Biographical Information.”</w:t>
      </w:r>
    </w:p>
    <w:p>
      <w:pPr>
        <w:spacing w:after="0" w:line="5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Arkowitz </w:t>
      </w:r>
      <w:r>
        <w:rPr>
          <w:rFonts w:ascii="Times New Roman" w:cs="Times New Roman" w:eastAsia="Times New Roman" w:hAnsi="Times New Roman"/>
          <w:sz w:val="18"/>
          <w:szCs w:val="18"/>
          <w:color w:val="auto"/>
        </w:rPr>
        <w:t>has served as our Executive Vice President, Chief Financial Officer and Head of Business Development since June 2021. Previously,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Chief Financial Officer of Flexion Therapeutics, Inc., a biotechnology company, from May 2018 to May 2021. From September 2013 to May 2018, Mr. Arkowitz served as Chief Operating Officer and Chief Financial Officer at Visterra, Inc., a biotechnology company that was acquired by Otsuka Pharmaceutical Co. He also previously served as Chief Financial Officer at each of Mascoma Corporation, AMAG Pharmaceuticals Inc., and Idenix Pharmaceuticals LLC and held additional leadership positions within each company. Preceding his tenure at Idenix, Mr. Arkowitz spent more than 13 years at Merck &amp; Co., Inc. where he held roles of increasing responsibility, including Vice President and Controller of the U.S. operations, Controller of the global research and development division, and the Chief Financial Officer of Merck’s Canadian subsidiary. Mr. Arkowitz has served on the boards of directors of F-star Therapeutics, Inc. since November 2020 and Kineta, Inc. since December 2022, and previously served on the boards of directors of Yumanity Therapeutics, Inc., Spring Bank Pharmaceuticals, Inc. and Proteostasis Therapeutics, Inc. He obtained his B.A. in mathematics at Brandeis University and his M.B.A. in finance at Columbia University Business School.</w:t>
      </w:r>
    </w:p>
    <w:p>
      <w:pPr>
        <w:spacing w:after="0" w:line="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Paula A. Cloghessy </w:t>
      </w:r>
      <w:r>
        <w:rPr>
          <w:rFonts w:ascii="Times New Roman" w:cs="Times New Roman" w:eastAsia="Times New Roman" w:hAnsi="Times New Roman"/>
          <w:sz w:val="18"/>
          <w:szCs w:val="18"/>
          <w:color w:val="auto"/>
        </w:rPr>
        <w:t>has served as our Executive Vice President and Chief People Officer since February 2022. Previously, Ms. Cloghessy served in roles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seniority at Translate Bio, Inc., or Translate Bio, a biotechnology company acquired by Sanofi S.A., or Sanofi, a global biopharmaceutical company, from 2016 to December 2021, culminating in her role as Chief People Officer. In these roles, Ms. Cloghessy was responsible for leading human resources and organizational development and performance. Prior to Translate Bio, Ms. Cloghessy held senior roles at Joule Unlimited Technologies, Inc. and Interleukin Genetics, Inc. Ms. Cloghessy received her B.A. in Psychology from University of Massachusetts, Boston.</w:t>
      </w:r>
    </w:p>
    <w:p>
      <w:pPr>
        <w:spacing w:after="0" w:line="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Thomas J. DesRosier </w:t>
      </w:r>
      <w:r>
        <w:rPr>
          <w:rFonts w:ascii="Times New Roman" w:cs="Times New Roman" w:eastAsia="Times New Roman" w:hAnsi="Times New Roman"/>
          <w:sz w:val="18"/>
          <w:szCs w:val="18"/>
          <w:color w:val="auto"/>
        </w:rPr>
        <w:t>has served as our Chief Legal Officer, Executive Vice President, and Secretary since May 2016. Previously, he served as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Chief Legal and Administrative Officer and Secretary of ARIAD Pharmaceuticals, Inc., a biopharmaceutical company, from 2015 to 2016, Executive Vice President, Chief Legal and Administrative Officer and Secretary of Cubist Pharmaceuticals, Inc., or Cubist, a biopharmaceutical company, from 2014 to 2015 and Senior Vice President, Chief Legal Officer and Secretary of Cubist from 2013 to 2014. Before that, Mr. DesRosier served as Senior Vice President, General Counsel North America of Sanofi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privately held company and wholly-owned subsidiary of Otsuka Pharmaceutical Company, Ltd., since June 2017. Mr. DesRosier earned a B.A. in Chemistry from the University of Vermont and a J.D. from Wake Forest University School of Law.</w:t>
      </w:r>
    </w:p>
    <w:p>
      <w:pPr>
        <w:spacing w:after="0" w:line="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David S. Ege, Ph.D. </w:t>
      </w:r>
      <w:r>
        <w:rPr>
          <w:rFonts w:ascii="Times New Roman" w:cs="Times New Roman" w:eastAsia="Times New Roman" w:hAnsi="Times New Roman"/>
          <w:sz w:val="18"/>
          <w:szCs w:val="18"/>
          <w:color w:val="auto"/>
        </w:rPr>
        <w:t>has served as our Executive Vice President and Chief Technology Officer since October 2020. Previously, Dr. Ege served in a variety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technical and leadership roles in R&amp;D and manufacturing at Merck from November 2003 to October 2020, most recently as global lead for digital strategy in Merck’s Manufacturing Division from June 2019 to October 2020. From April 2015 to June 2019, Dr. Ege served as Executive Director of Vaccines &amp; Biologics Manufacturing at Merck’s plant in Elkton, Virginia,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0" w:name="page91"/>
    <w:bookmarkEnd w:id="90"/>
    <w:p>
      <w:pPr>
        <w:ind w:right="40"/>
        <w:spacing w:after="0" w:line="261" w:lineRule="auto"/>
        <w:rPr>
          <w:sz w:val="20"/>
          <w:szCs w:val="20"/>
          <w:color w:val="auto"/>
        </w:rPr>
      </w:pPr>
      <w:r>
        <w:rPr>
          <w:rFonts w:ascii="Times New Roman" w:cs="Times New Roman" w:eastAsia="Times New Roman" w:hAnsi="Times New Roman"/>
          <w:sz w:val="18"/>
          <w:szCs w:val="18"/>
          <w:color w:val="auto"/>
        </w:rPr>
        <w:t>where he led bulk manufacturing operations for Gardasil®, Gardasil9® and Cancidas®. He has contributed to the successful first-in-class licensure and launch of cervical cancer vaccines, Gardasil® (2006) and Gardasil9® (2014), and a breakthrough cancer immunotherapy, Keytruda® (2014). He graduated summa cum laude from Princeton with a B.S.E. in chemical engineering and earned his Ph.D. in chemical engineering from the University of Pennsylvania.</w:t>
      </w:r>
    </w:p>
    <w:p>
      <w:pPr>
        <w:spacing w:after="0" w:line="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Matthew Henn, Ph.D. </w:t>
      </w:r>
      <w:r>
        <w:rPr>
          <w:rFonts w:ascii="Times New Roman" w:cs="Times New Roman" w:eastAsia="Times New Roman" w:hAnsi="Times New Roman"/>
          <w:sz w:val="18"/>
          <w:szCs w:val="18"/>
          <w:color w:val="auto"/>
        </w:rPr>
        <w:t>has served as our Executive Vice President and Chief Scientific Officer since February 2019. Since joining our company at its launch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June 2012, he has held positions of increasing seniority, most recently as Executive Vice President, Head of Discovery and Microbiome R&amp;D from January 2018 to February 2019, and previously as Senior Vice President, Head of Discovery and Bioinformatics from June 2012 to January 2018. Prior to joining our company, he was the Director of Viral Genomics and Assistant Director of the Genome Sequencing Center for Infectious Diseases at the Broad Institute of the Massachusetts Institute of Technology and Harvard. He currently serves on the scientific advisory boards of the Forsyth Institute and Growcentia, Inc., an agricultural microbiome company. Dr. Henn earned his B.S. in Ecology and Evolutionary Sciences from the University of New Hampshire and his Ph.D. in Ecosystem Sciences from the University of California at Berkeley, where he was a NASA Earth Systems Sciences Fellow, and trained as a NSF Postdoctoral Fellow in Microbiology at Duke University.</w:t>
      </w:r>
    </w:p>
    <w:p>
      <w:pPr>
        <w:spacing w:after="0" w:line="7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Lisa von Moltke, M.D. </w:t>
      </w:r>
      <w:r>
        <w:rPr>
          <w:rFonts w:ascii="Times New Roman" w:cs="Times New Roman" w:eastAsia="Times New Roman" w:hAnsi="Times New Roman"/>
          <w:sz w:val="18"/>
          <w:szCs w:val="18"/>
          <w:color w:val="auto"/>
        </w:rPr>
        <w:t>has served as our Executive Vice President and Chief Medical Officer since March 2020. Previously, Dr. von Moltke worked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Alkermes, Inc., a pharmaceutical company, from June 2015 to December 2019, where she served in roles of increasing seniority, culminating as Senior Vice President and Head of Clinical Development. Beginning in June 2015, Dr. Moltke served as VP Clinical Pharmacology, DMPK and Bioanalytics, was promoted to Head of Clinical Development in November 2015, and became SVP in June 2018. Prior to joining Alkermes, Dr. von Moltke served as Vice President Clinical Pharmacology at Sanofi/Genzyme Corporation, a biotechnology company, from 2009 to 2015 and was US Head Clinical &amp; Exploratory Pharmacology Sciences (CEP) and Early Development. Starting in 2014 she was Head CEP for Japan and China regions. From 2006 to 2009, Dr. von Moltke was Head, Translational Medicine for the Takeda Oncology Company, a biopharmaceutical company, in Cambridge, MA. Dr. von Moltke has served on the board of directors of Cara Therapeutics, Inc. since November 2022. She has served as President of the American College of Clinical Pharmacology, and as the Editor-in-Chief of The Journal of Clinical Pharmacology. Dr. von Moltke earned a B.A. degree at Wellesley College and her M.D. from Michigan State University, College of Human Medicine.</w:t>
      </w:r>
    </w:p>
    <w:p>
      <w:pPr>
        <w:spacing w:after="0" w:line="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Teresa L. Young, Ph.D. </w:t>
      </w:r>
      <w:r>
        <w:rPr>
          <w:rFonts w:ascii="Times New Roman" w:cs="Times New Roman" w:eastAsia="Times New Roman" w:hAnsi="Times New Roman"/>
          <w:sz w:val="18"/>
          <w:szCs w:val="18"/>
          <w:color w:val="auto"/>
        </w:rPr>
        <w:t>has served as our Executive Vice President, Chief Commercial and Strategy Officer since June 2020. Previously, Dr. Young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Vice President, Global Commercial Strategy at Sage Therapeutics from March 2018 to June 2020, where she led development of Sage’s global commercial capabilities, including global marketing, insights and analytics and new product planning. Prior to that, she held commercial leadership roles of increasing responsibility at Bristol-Myers Squibb from November 2010 to March 2018, culminating in her role as Vice President and General Manager, Cardiovascular, in which she led the global ELIQUIS® business to become the company’s largest product by revenue. Earlier in her career, Dr. Young held marketing and sales roles at GlaxoSmithKline from June 1993 to November 2010, where she catalyzed growth for the company’s Urology, Diabetes and NeuroHealth organizations. Dr. Young is a member of the Women in Bio and Healthcare Businesswomen’s Association and served on the Advisory Board of the Healthcare Businesswomen’s Association. Dr. Young received her B.S. in pharmacy and her Ph.D. in healthcare marketing from the University of South Carolina.</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all officers, directors and employees, which is available on our website at www.serestherapeutics.com in the “Investors and News”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in the preceding sentence. The information contained on our website is not incorporated by reference into this Annual Report on Form 10-K.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640" w:firstLine="578"/>
        <w:spacing w:after="0" w:line="282" w:lineRule="auto"/>
        <w:rPr>
          <w:sz w:val="20"/>
          <w:szCs w:val="20"/>
          <w:color w:val="auto"/>
        </w:rPr>
      </w:pPr>
      <w:r>
        <w:rPr>
          <w:rFonts w:ascii="Times New Roman" w:cs="Times New Roman" w:eastAsia="Times New Roman" w:hAnsi="Times New Roman"/>
          <w:sz w:val="18"/>
          <w:szCs w:val="18"/>
          <w:color w:val="auto"/>
        </w:rPr>
        <w:t>The remainder of the information required to be disclosed by this item will be contained in the Proxy Statement for our Annual Meeting of Stockholders to be held in 2023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2023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2023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2023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2023 and is incorporated herein by reference.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“Index to Consolidated Financial Statements” on page F-1 below for the list of financial statements filed as part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or because the required information is given in the Consolidated Financial Statements or Notes thereto set forth below beginning on page F-1.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list of all exhibits filed as a part of this Annual Report on Form 10-K.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1"/>
        </w:trPr>
        <w:tc>
          <w:tcPr>
            <w:tcW w:w="10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40" w:type="dxa"/>
            <w:vAlign w:val="bottom"/>
            <w:gridSpan w:val="19"/>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1"/>
                <w:szCs w:val="11"/>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1"/>
                <w:szCs w:val="11"/>
                <w:color w:val="auto"/>
              </w:rPr>
            </w:pPr>
          </w:p>
        </w:tc>
        <w:tc>
          <w:tcPr>
            <w:tcW w:w="13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1"/>
                <w:szCs w:val="1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7"/>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19"/>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1"/>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660" w:type="dxa"/>
            <w:vAlign w:val="bottom"/>
            <w:tcBorders>
              <w:bottom w:val="single" w:sz="8" w:color="0000EE"/>
            </w:tcBorders>
            <w:gridSpan w:val="10"/>
          </w:tcPr>
          <w:p>
            <w:pPr>
              <w:spacing w:after="0"/>
              <w:rPr>
                <w:rFonts w:ascii="Times New Roman" w:cs="Times New Roman" w:eastAsia="Times New Roman" w:hAnsi="Times New Roman"/>
                <w:sz w:val="18"/>
                <w:szCs w:val="18"/>
                <w:color w:val="auto"/>
                <w:w w:val="99"/>
              </w:rPr>
            </w:pPr>
            <w:hyperlink r:id="rId118">
              <w:r>
                <w:rPr>
                  <w:rFonts w:ascii="Times New Roman" w:cs="Times New Roman" w:eastAsia="Times New Roman" w:hAnsi="Times New Roman"/>
                  <w:sz w:val="18"/>
                  <w:szCs w:val="18"/>
                  <w:color w:val="auto"/>
                  <w:w w:val="99"/>
                </w:rPr>
                <w:t>Restated Certificate of Incorporation</w:t>
              </w:r>
            </w:hyperlink>
          </w:p>
        </w:tc>
        <w:tc>
          <w:tcPr>
            <w:tcW w:w="2140" w:type="dxa"/>
            <w:vAlign w:val="bottom"/>
            <w:gridSpan w:val="16"/>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7/1/15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4800" w:type="dxa"/>
            <w:vAlign w:val="bottom"/>
            <w:gridSpan w:val="26"/>
          </w:tcPr>
          <w:p>
            <w:pPr>
              <w:spacing w:after="0"/>
              <w:rPr>
                <w:rFonts w:ascii="Times New Roman" w:cs="Times New Roman" w:eastAsia="Times New Roman" w:hAnsi="Times New Roman"/>
                <w:sz w:val="18"/>
                <w:szCs w:val="18"/>
                <w:color w:val="auto"/>
              </w:rPr>
            </w:pPr>
            <w:hyperlink r:id="rId119">
              <w:r>
                <w:rPr>
                  <w:rFonts w:ascii="Times New Roman" w:cs="Times New Roman" w:eastAsia="Times New Roman" w:hAnsi="Times New Roman"/>
                  <w:sz w:val="18"/>
                  <w:szCs w:val="18"/>
                  <w:color w:val="auto"/>
                </w:rPr>
                <w:t>Amended and Restated Bylaws</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12/7/20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448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120">
              <w:r>
                <w:rPr>
                  <w:rFonts w:ascii="Times New Roman" w:cs="Times New Roman" w:eastAsia="Times New Roman" w:hAnsi="Times New Roman"/>
                  <w:sz w:val="18"/>
                  <w:szCs w:val="18"/>
                  <w:color w:val="auto"/>
                </w:rPr>
                <w:t>Specimen Stock Certificate evidencing the shares of common</w:t>
              </w:r>
            </w:hyperlink>
          </w:p>
        </w:tc>
        <w:tc>
          <w:tcPr>
            <w:tcW w:w="320" w:type="dxa"/>
            <w:vAlign w:val="bottom"/>
            <w:gridSpan w:val="7"/>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6/16/15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6"/>
          </w:tcPr>
          <w:p>
            <w:pPr>
              <w:spacing w:after="0" w:line="196" w:lineRule="exact"/>
              <w:rPr>
                <w:rFonts w:ascii="Times New Roman" w:cs="Times New Roman" w:eastAsia="Times New Roman" w:hAnsi="Times New Roman"/>
                <w:sz w:val="18"/>
                <w:szCs w:val="18"/>
                <w:color w:val="auto"/>
              </w:rPr>
            </w:pPr>
            <w:hyperlink r:id="rId120">
              <w:r>
                <w:rPr>
                  <w:rFonts w:ascii="Times New Roman" w:cs="Times New Roman" w:eastAsia="Times New Roman" w:hAnsi="Times New Roman"/>
                  <w:sz w:val="18"/>
                  <w:szCs w:val="18"/>
                  <w:color w:val="auto"/>
                </w:rPr>
                <w:t>stock</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4800" w:type="dxa"/>
            <w:vAlign w:val="bottom"/>
            <w:gridSpan w:val="26"/>
          </w:tcPr>
          <w:p>
            <w:pPr>
              <w:spacing w:after="0"/>
              <w:rPr>
                <w:rFonts w:ascii="Times New Roman" w:cs="Times New Roman" w:eastAsia="Times New Roman" w:hAnsi="Times New Roman"/>
                <w:sz w:val="18"/>
                <w:szCs w:val="18"/>
                <w:color w:val="auto"/>
              </w:rPr>
            </w:pPr>
            <w:hyperlink r:id="rId121">
              <w:r>
                <w:rPr>
                  <w:rFonts w:ascii="Times New Roman" w:cs="Times New Roman" w:eastAsia="Times New Roman" w:hAnsi="Times New Roman"/>
                  <w:sz w:val="18"/>
                  <w:szCs w:val="18"/>
                  <w:color w:val="auto"/>
                </w:rPr>
                <w:t>Description of Capital Stock</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3/2/21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44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auto"/>
              </w:rPr>
              <w:t>2015 Incentive Award Plan, as amended and forms of award</w:t>
            </w:r>
          </w:p>
        </w:tc>
        <w:tc>
          <w:tcPr>
            <w:tcW w:w="380" w:type="dxa"/>
            <w:vAlign w:val="bottom"/>
            <w:gridSpan w:val="8"/>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agreements thereunder</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660" w:type="dxa"/>
            <w:vAlign w:val="bottom"/>
            <w:tcBorders>
              <w:bottom w:val="single" w:sz="8" w:color="0000EE"/>
            </w:tcBorders>
            <w:gridSpan w:val="10"/>
          </w:tcPr>
          <w:p>
            <w:pPr>
              <w:spacing w:after="0"/>
              <w:rPr>
                <w:rFonts w:ascii="Times New Roman" w:cs="Times New Roman" w:eastAsia="Times New Roman" w:hAnsi="Times New Roman"/>
                <w:sz w:val="18"/>
                <w:szCs w:val="18"/>
                <w:color w:val="auto"/>
                <w:w w:val="99"/>
              </w:rPr>
            </w:pPr>
            <w:hyperlink r:id="rId122">
              <w:r>
                <w:rPr>
                  <w:rFonts w:ascii="Times New Roman" w:cs="Times New Roman" w:eastAsia="Times New Roman" w:hAnsi="Times New Roman"/>
                  <w:sz w:val="18"/>
                  <w:szCs w:val="18"/>
                  <w:color w:val="auto"/>
                  <w:w w:val="99"/>
                </w:rPr>
                <w:t>2015 Employee Stock Purchase Plan</w:t>
              </w:r>
            </w:hyperlink>
          </w:p>
        </w:tc>
        <w:tc>
          <w:tcPr>
            <w:tcW w:w="2140" w:type="dxa"/>
            <w:vAlign w:val="bottom"/>
            <w:gridSpan w:val="16"/>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6/16/15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428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2012 Stock Incentive Plan, as amended and form of option</w:t>
              </w:r>
            </w:hyperlink>
          </w:p>
        </w:tc>
        <w:tc>
          <w:tcPr>
            <w:tcW w:w="520" w:type="dxa"/>
            <w:vAlign w:val="bottom"/>
            <w:gridSpan w:val="11"/>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5/27/15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agreement thereunder</w:t>
              </w:r>
            </w:hyperlink>
          </w:p>
        </w:tc>
        <w:tc>
          <w:tcPr>
            <w:tcW w:w="3160" w:type="dxa"/>
            <w:vAlign w:val="bottom"/>
            <w:gridSpan w:val="20"/>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6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auto"/>
              </w:rPr>
              <w:t>2022 Employment Inducement Award Plan and forms of award</w:t>
            </w:r>
          </w:p>
        </w:tc>
        <w:tc>
          <w:tcPr>
            <w:tcW w:w="18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agreements thereunder</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48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Non-Employee Director Compensation Program</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430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Lease Agreement, dated April 1, 2015, by and between the</w:t>
              </w:r>
            </w:hyperlink>
          </w:p>
        </w:tc>
        <w:tc>
          <w:tcPr>
            <w:tcW w:w="500" w:type="dxa"/>
            <w:vAlign w:val="bottom"/>
            <w:gridSpan w:val="10"/>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10.13</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5/27/15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124">
              <w:r>
                <w:rPr>
                  <w:rFonts w:ascii="Times New Roman" w:cs="Times New Roman" w:eastAsia="Times New Roman" w:hAnsi="Times New Roman"/>
                  <w:sz w:val="18"/>
                  <w:szCs w:val="18"/>
                  <w:color w:val="auto"/>
                  <w:w w:val="99"/>
                </w:rPr>
                <w:t>Registrant and ARE-MA Region No. 38, LLC</w:t>
              </w:r>
            </w:hyperlink>
          </w:p>
        </w:tc>
        <w:tc>
          <w:tcPr>
            <w:tcW w:w="146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4660" w:type="dxa"/>
            <w:vAlign w:val="bottom"/>
            <w:tcBorders>
              <w:bottom w:val="single" w:sz="8" w:color="0000EE"/>
            </w:tcBorders>
            <w:gridSpan w:val="24"/>
          </w:tcPr>
          <w:p>
            <w:pPr>
              <w:spacing w:after="0"/>
              <w:rPr>
                <w:rFonts w:ascii="Times New Roman" w:cs="Times New Roman" w:eastAsia="Times New Roman" w:hAnsi="Times New Roman"/>
                <w:sz w:val="18"/>
                <w:szCs w:val="18"/>
                <w:color w:val="auto"/>
                <w:w w:val="99"/>
              </w:rPr>
            </w:pPr>
            <w:hyperlink r:id="rId125">
              <w:r>
                <w:rPr>
                  <w:rFonts w:ascii="Times New Roman" w:cs="Times New Roman" w:eastAsia="Times New Roman" w:hAnsi="Times New Roman"/>
                  <w:sz w:val="18"/>
                  <w:szCs w:val="18"/>
                  <w:color w:val="auto"/>
                  <w:w w:val="99"/>
                </w:rPr>
                <w:t>Lease, dated November 11, 2015, by and between the Registrant</w:t>
              </w:r>
            </w:hyperlink>
          </w:p>
        </w:tc>
        <w:tc>
          <w:tcPr>
            <w:tcW w:w="140" w:type="dxa"/>
            <w:vAlign w:val="bottom"/>
            <w:gridSpan w:val="2"/>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10.13</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3/14/16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6"/>
          </w:tcPr>
          <w:p>
            <w:pPr>
              <w:spacing w:after="0" w:line="196" w:lineRule="exact"/>
              <w:rPr>
                <w:rFonts w:ascii="Times New Roman" w:cs="Times New Roman" w:eastAsia="Times New Roman" w:hAnsi="Times New Roman"/>
                <w:sz w:val="18"/>
                <w:szCs w:val="18"/>
                <w:color w:val="auto"/>
              </w:rPr>
            </w:pPr>
            <w:hyperlink r:id="rId125">
              <w:r>
                <w:rPr>
                  <w:rFonts w:ascii="Times New Roman" w:cs="Times New Roman" w:eastAsia="Times New Roman" w:hAnsi="Times New Roman"/>
                  <w:sz w:val="18"/>
                  <w:szCs w:val="18"/>
                  <w:color w:val="auto"/>
                </w:rPr>
                <w:t>and BMR-Sidney Research Campus, LLC</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440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First Amendment to Lease, dated December 9, 2022, by and</w:t>
              </w:r>
            </w:hyperlink>
          </w:p>
        </w:tc>
        <w:tc>
          <w:tcPr>
            <w:tcW w:w="400" w:type="dxa"/>
            <w:vAlign w:val="bottom"/>
            <w:gridSpan w:val="9"/>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12/14/22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between Registrant and BMR-Sidney Research Campus, LLC</w:t>
              </w:r>
            </w:hyperlink>
          </w:p>
        </w:tc>
        <w:tc>
          <w:tcPr>
            <w:tcW w:w="28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6"/>
          </w:tcPr>
          <w:p>
            <w:pPr>
              <w:spacing w:after="0" w:line="196" w:lineRule="exact"/>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(f/k/a BMR 200-Sidney Street LLC)</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gridSpan w:val="4"/>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460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Second Amended and Restated Employment Agreement, dated</w:t>
              </w:r>
            </w:hyperlink>
          </w:p>
        </w:tc>
        <w:tc>
          <w:tcPr>
            <w:tcW w:w="200" w:type="dxa"/>
            <w:vAlign w:val="bottom"/>
            <w:gridSpan w:val="4"/>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January 29, 2021, by and between the Registrant and Eric D.</w:t>
              </w:r>
            </w:hyperlink>
          </w:p>
        </w:tc>
        <w:tc>
          <w:tcPr>
            <w:tcW w:w="38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127">
              <w:r>
                <w:rPr>
                  <w:rFonts w:ascii="Times New Roman" w:cs="Times New Roman" w:eastAsia="Times New Roman" w:hAnsi="Times New Roman"/>
                  <w:sz w:val="18"/>
                  <w:szCs w:val="18"/>
                  <w:color w:val="auto"/>
                  <w:w w:val="97"/>
                </w:rPr>
                <w:t>Shaff</w:t>
              </w:r>
            </w:hyperlink>
          </w:p>
        </w:tc>
        <w:tc>
          <w:tcPr>
            <w:tcW w:w="4400" w:type="dxa"/>
            <w:vAlign w:val="bottom"/>
            <w:gridSpan w:val="2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462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128">
              <w:r>
                <w:rPr>
                  <w:rFonts w:ascii="Times New Roman" w:cs="Times New Roman" w:eastAsia="Times New Roman" w:hAnsi="Times New Roman"/>
                  <w:sz w:val="18"/>
                  <w:szCs w:val="18"/>
                  <w:color w:val="auto"/>
                </w:rPr>
                <w:t>Amended and Restated Employment Agreement, dated January</w:t>
              </w:r>
            </w:hyperlink>
          </w:p>
        </w:tc>
        <w:tc>
          <w:tcPr>
            <w:tcW w:w="180" w:type="dxa"/>
            <w:vAlign w:val="bottom"/>
            <w:gridSpan w:val="3"/>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128">
              <w:r>
                <w:rPr>
                  <w:rFonts w:ascii="Times New Roman" w:cs="Times New Roman" w:eastAsia="Times New Roman" w:hAnsi="Times New Roman"/>
                  <w:sz w:val="18"/>
                  <w:szCs w:val="18"/>
                  <w:color w:val="auto"/>
                </w:rPr>
                <w:t>29, 2021 by and between the Registrant and Thomas J.</w:t>
              </w:r>
            </w:hyperlink>
          </w:p>
        </w:tc>
        <w:tc>
          <w:tcPr>
            <w:tcW w:w="80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128">
              <w:r>
                <w:rPr>
                  <w:rFonts w:ascii="Times New Roman" w:cs="Times New Roman" w:eastAsia="Times New Roman" w:hAnsi="Times New Roman"/>
                  <w:sz w:val="18"/>
                  <w:szCs w:val="18"/>
                  <w:color w:val="auto"/>
                  <w:w w:val="98"/>
                </w:rPr>
                <w:t>DesRosier</w:t>
              </w:r>
            </w:hyperlink>
          </w:p>
        </w:tc>
        <w:tc>
          <w:tcPr>
            <w:tcW w:w="4040" w:type="dxa"/>
            <w:vAlign w:val="bottom"/>
            <w:gridSpan w:val="2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460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Second Amended and Restated Employment Agreement, dated</w:t>
              </w:r>
            </w:hyperlink>
          </w:p>
        </w:tc>
        <w:tc>
          <w:tcPr>
            <w:tcW w:w="200" w:type="dxa"/>
            <w:vAlign w:val="bottom"/>
            <w:gridSpan w:val="4"/>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January 29, 2021, by and between the Registrant and Matthew</w:t>
              </w:r>
            </w:hyperlink>
          </w:p>
        </w:tc>
        <w:tc>
          <w:tcPr>
            <w:tcW w:w="26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6"/>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R. Henn, Ph.D.</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462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130">
              <w:r>
                <w:rPr>
                  <w:rFonts w:ascii="Times New Roman" w:cs="Times New Roman" w:eastAsia="Times New Roman" w:hAnsi="Times New Roman"/>
                  <w:sz w:val="18"/>
                  <w:szCs w:val="18"/>
                  <w:color w:val="auto"/>
                </w:rPr>
                <w:t>Amended and Restated Employment Agreement, dated January</w:t>
              </w:r>
            </w:hyperlink>
          </w:p>
        </w:tc>
        <w:tc>
          <w:tcPr>
            <w:tcW w:w="180" w:type="dxa"/>
            <w:vAlign w:val="bottom"/>
            <w:gridSpan w:val="3"/>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8/3/21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30">
              <w:r>
                <w:rPr>
                  <w:rFonts w:ascii="Times New Roman" w:cs="Times New Roman" w:eastAsia="Times New Roman" w:hAnsi="Times New Roman"/>
                  <w:sz w:val="18"/>
                  <w:szCs w:val="18"/>
                  <w:color w:val="auto"/>
                </w:rPr>
                <w:t>29, 2021, by and between the Registrant and David S. Ege,</w:t>
              </w:r>
            </w:hyperlink>
          </w:p>
        </w:tc>
        <w:tc>
          <w:tcPr>
            <w:tcW w:w="50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7"/>
              </w:rPr>
            </w:pPr>
            <w:hyperlink r:id="rId130">
              <w:r>
                <w:rPr>
                  <w:rFonts w:ascii="Times New Roman" w:cs="Times New Roman" w:eastAsia="Times New Roman" w:hAnsi="Times New Roman"/>
                  <w:sz w:val="18"/>
                  <w:szCs w:val="18"/>
                  <w:color w:val="auto"/>
                  <w:w w:val="97"/>
                </w:rPr>
                <w:t>Ph.D.</w:t>
              </w:r>
            </w:hyperlink>
          </w:p>
        </w:tc>
        <w:tc>
          <w:tcPr>
            <w:tcW w:w="4380" w:type="dxa"/>
            <w:vAlign w:val="bottom"/>
            <w:gridSpan w:val="23"/>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466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131">
              <w:r>
                <w:rPr>
                  <w:rFonts w:ascii="Times New Roman" w:cs="Times New Roman" w:eastAsia="Times New Roman" w:hAnsi="Times New Roman"/>
                  <w:sz w:val="18"/>
                  <w:szCs w:val="18"/>
                  <w:color w:val="auto"/>
                </w:rPr>
                <w:t>Letter Agreement, dated November 4, 2021, by and between the</w:t>
              </w:r>
            </w:hyperlink>
          </w:p>
        </w:tc>
        <w:tc>
          <w:tcPr>
            <w:tcW w:w="140" w:type="dxa"/>
            <w:vAlign w:val="bottom"/>
            <w:gridSpan w:val="2"/>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11/10/21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1">
              <w:r>
                <w:rPr>
                  <w:rFonts w:ascii="Times New Roman" w:cs="Times New Roman" w:eastAsia="Times New Roman" w:hAnsi="Times New Roman"/>
                  <w:sz w:val="18"/>
                  <w:szCs w:val="18"/>
                  <w:color w:val="auto"/>
                </w:rPr>
                <w:t>Registrant and David S. Ege, Ph.D.</w:t>
              </w:r>
            </w:hyperlink>
          </w:p>
        </w:tc>
        <w:tc>
          <w:tcPr>
            <w:tcW w:w="218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620" w:type="dxa"/>
            <w:vAlign w:val="bottom"/>
            <w:tcBorders>
              <w:bottom w:val="single" w:sz="8" w:color="0000EE"/>
            </w:tcBorders>
            <w:gridSpan w:val="31"/>
          </w:tcPr>
          <w:p>
            <w:pPr>
              <w:spacing w:after="0"/>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Amended and Restated Employment Agreement, dated January</w:t>
              </w:r>
            </w:hyperlink>
          </w:p>
        </w:tc>
        <w:tc>
          <w:tcPr>
            <w:tcW w:w="40" w:type="dxa"/>
            <w:vAlign w:val="bottom"/>
          </w:tcPr>
          <w:p>
            <w:pPr>
              <w:spacing w:after="0"/>
              <w:rPr>
                <w:sz w:val="17"/>
                <w:szCs w:val="17"/>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196"/>
        </w:trPr>
        <w:tc>
          <w:tcPr>
            <w:tcW w:w="1180" w:type="dxa"/>
            <w:vAlign w:val="bottom"/>
          </w:tcPr>
          <w:p>
            <w:pPr>
              <w:spacing w:after="0"/>
              <w:rPr>
                <w:sz w:val="17"/>
                <w:szCs w:val="17"/>
                <w:color w:val="auto"/>
              </w:rPr>
            </w:pPr>
          </w:p>
        </w:tc>
        <w:tc>
          <w:tcPr>
            <w:tcW w:w="44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w w:val="99"/>
              </w:rPr>
            </w:pPr>
            <w:hyperlink r:id="rId133">
              <w:r>
                <w:rPr>
                  <w:rFonts w:ascii="Times New Roman" w:cs="Times New Roman" w:eastAsia="Times New Roman" w:hAnsi="Times New Roman"/>
                  <w:sz w:val="18"/>
                  <w:szCs w:val="18"/>
                  <w:color w:val="auto"/>
                  <w:w w:val="99"/>
                </w:rPr>
                <w:t>29, 2021, by and between the Registrant and Teresa L. Young</w:t>
              </w:r>
            </w:hyperlink>
          </w:p>
        </w:tc>
        <w:tc>
          <w:tcPr>
            <w:tcW w:w="18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620" w:type="dxa"/>
            <w:vAlign w:val="bottom"/>
            <w:tcBorders>
              <w:bottom w:val="single" w:sz="8" w:color="0000EE"/>
            </w:tcBorders>
            <w:gridSpan w:val="31"/>
          </w:tcPr>
          <w:p>
            <w:pPr>
              <w:spacing w:after="0"/>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Amended and Restated Employment Agreement, dated January</w:t>
              </w:r>
            </w:hyperlink>
          </w:p>
        </w:tc>
        <w:tc>
          <w:tcPr>
            <w:tcW w:w="4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196"/>
        </w:trPr>
        <w:tc>
          <w:tcPr>
            <w:tcW w:w="1180" w:type="dxa"/>
            <w:vAlign w:val="bottom"/>
          </w:tcPr>
          <w:p>
            <w:pPr>
              <w:spacing w:after="0"/>
              <w:rPr>
                <w:sz w:val="17"/>
                <w:szCs w:val="17"/>
                <w:color w:val="auto"/>
              </w:rPr>
            </w:pPr>
          </w:p>
        </w:tc>
        <w:tc>
          <w:tcPr>
            <w:tcW w:w="45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29, 2021, by and between the Registrant and Lisa von Moltke,</w:t>
              </w:r>
            </w:hyperlink>
          </w:p>
        </w:tc>
        <w:tc>
          <w:tcPr>
            <w:tcW w:w="1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660" w:type="dxa"/>
            <w:vAlign w:val="bottom"/>
            <w:gridSpan w:val="32"/>
          </w:tcPr>
          <w:p>
            <w:pPr>
              <w:spacing w:after="0" w:line="19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M.D.</w:t>
              </w:r>
            </w:hyperlink>
          </w:p>
        </w:tc>
        <w:tc>
          <w:tcPr>
            <w:tcW w:w="5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54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Employment Agreement, dated May 10, 2021 by and between</w:t>
              </w:r>
            </w:hyperlink>
          </w:p>
        </w:tc>
        <w:tc>
          <w:tcPr>
            <w:tcW w:w="120" w:type="dxa"/>
            <w:vAlign w:val="bottom"/>
            <w:gridSpan w:val="4"/>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1180" w:type="dxa"/>
            <w:vAlign w:val="bottom"/>
          </w:tcPr>
          <w:p>
            <w:pPr>
              <w:spacing w:after="0"/>
              <w:rPr>
                <w:sz w:val="17"/>
                <w:szCs w:val="17"/>
                <w:color w:val="auto"/>
              </w:rPr>
            </w:pPr>
          </w:p>
        </w:tc>
        <w:tc>
          <w:tcPr>
            <w:tcW w:w="4660" w:type="dxa"/>
            <w:vAlign w:val="bottom"/>
            <w:gridSpan w:val="32"/>
          </w:tcPr>
          <w:p>
            <w:pPr>
              <w:spacing w:after="0" w:line="196" w:lineRule="exact"/>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the Registrant and David Arkowitz</w:t>
              </w:r>
            </w:hyperlink>
          </w:p>
        </w:tc>
        <w:tc>
          <w:tcPr>
            <w:tcW w:w="5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0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136">
              <w:r>
                <w:rPr>
                  <w:rFonts w:ascii="Times New Roman" w:cs="Times New Roman" w:eastAsia="Times New Roman" w:hAnsi="Times New Roman"/>
                  <w:sz w:val="18"/>
                  <w:szCs w:val="18"/>
                  <w:color w:val="auto"/>
                </w:rPr>
                <w:t>Employment Agreement, dated January 5, 2022, by and</w:t>
              </w:r>
            </w:hyperlink>
          </w:p>
        </w:tc>
        <w:tc>
          <w:tcPr>
            <w:tcW w:w="580" w:type="dxa"/>
            <w:vAlign w:val="bottom"/>
            <w:gridSpan w:val="15"/>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196"/>
        </w:trPr>
        <w:tc>
          <w:tcPr>
            <w:tcW w:w="1180" w:type="dxa"/>
            <w:vAlign w:val="bottom"/>
          </w:tcPr>
          <w:p>
            <w:pPr>
              <w:spacing w:after="0"/>
              <w:rPr>
                <w:sz w:val="17"/>
                <w:szCs w:val="17"/>
                <w:color w:val="auto"/>
              </w:rPr>
            </w:pPr>
          </w:p>
        </w:tc>
        <w:tc>
          <w:tcPr>
            <w:tcW w:w="4660" w:type="dxa"/>
            <w:vAlign w:val="bottom"/>
            <w:gridSpan w:val="32"/>
          </w:tcPr>
          <w:p>
            <w:pPr>
              <w:spacing w:after="0" w:line="196" w:lineRule="exact"/>
              <w:rPr>
                <w:rFonts w:ascii="Times New Roman" w:cs="Times New Roman" w:eastAsia="Times New Roman" w:hAnsi="Times New Roman"/>
                <w:sz w:val="18"/>
                <w:szCs w:val="18"/>
                <w:color w:val="auto"/>
              </w:rPr>
            </w:pPr>
            <w:hyperlink r:id="rId136">
              <w:r>
                <w:rPr>
                  <w:rFonts w:ascii="Times New Roman" w:cs="Times New Roman" w:eastAsia="Times New Roman" w:hAnsi="Times New Roman"/>
                  <w:sz w:val="18"/>
                  <w:szCs w:val="18"/>
                  <w:color w:val="auto"/>
                </w:rPr>
                <w:t>between the Registrant and Paula Cloghessy</w:t>
              </w:r>
            </w:hyperlink>
          </w:p>
        </w:tc>
        <w:tc>
          <w:tcPr>
            <w:tcW w:w="5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660" w:type="dxa"/>
            <w:vAlign w:val="bottom"/>
            <w:tcBorders>
              <w:bottom w:val="single" w:sz="8" w:color="0000EE"/>
            </w:tcBorders>
            <w:gridSpan w:val="32"/>
          </w:tcPr>
          <w:p>
            <w:pPr>
              <w:spacing w:after="0"/>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Loan and Security Agreement, dated October 29, 2019, between</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118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137">
              <w:r>
                <w:rPr>
                  <w:rFonts w:ascii="Times New Roman" w:cs="Times New Roman" w:eastAsia="Times New Roman" w:hAnsi="Times New Roman"/>
                  <w:sz w:val="18"/>
                  <w:szCs w:val="18"/>
                  <w:color w:val="auto"/>
                  <w:w w:val="99"/>
                </w:rPr>
                <w:t>the Registrant and Hercules Capital, Inc.</w:t>
              </w:r>
            </w:hyperlink>
          </w:p>
        </w:tc>
        <w:tc>
          <w:tcPr>
            <w:tcW w:w="1720" w:type="dxa"/>
            <w:vAlign w:val="bottom"/>
            <w:gridSpan w:val="20"/>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24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First Amendment to Loan and Security Agreement by and</w:t>
              </w:r>
            </w:hyperlink>
          </w:p>
        </w:tc>
        <w:tc>
          <w:tcPr>
            <w:tcW w:w="420" w:type="dxa"/>
            <w:vAlign w:val="bottom"/>
            <w:gridSpan w:val="14"/>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196"/>
        </w:trPr>
        <w:tc>
          <w:tcPr>
            <w:tcW w:w="1180" w:type="dxa"/>
            <w:vAlign w:val="bottom"/>
          </w:tcPr>
          <w:p>
            <w:pPr>
              <w:spacing w:after="0"/>
              <w:rPr>
                <w:sz w:val="17"/>
                <w:szCs w:val="17"/>
                <w:color w:val="auto"/>
              </w:rPr>
            </w:pPr>
          </w:p>
        </w:tc>
        <w:tc>
          <w:tcPr>
            <w:tcW w:w="4660" w:type="dxa"/>
            <w:vAlign w:val="bottom"/>
            <w:gridSpan w:val="32"/>
          </w:tcPr>
          <w:p>
            <w:pPr>
              <w:spacing w:after="0" w:line="196"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between the Registrant and Hercules Capital, Inc., dated April</w:t>
              </w:r>
            </w:hyperlink>
          </w:p>
        </w:tc>
        <w:tc>
          <w:tcPr>
            <w:tcW w:w="5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auto"/>
                <w:w w:val="98"/>
              </w:rPr>
            </w:pPr>
            <w:hyperlink r:id="rId138">
              <w:r>
                <w:rPr>
                  <w:rFonts w:ascii="Times New Roman" w:cs="Times New Roman" w:eastAsia="Times New Roman" w:hAnsi="Times New Roman"/>
                  <w:sz w:val="18"/>
                  <w:szCs w:val="18"/>
                  <w:color w:val="auto"/>
                  <w:w w:val="98"/>
                </w:rPr>
                <w:t>16, 2020</w:t>
              </w:r>
            </w:hyperlink>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40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Second Amendment to Loan and Security Agreement, dated</w:t>
              </w:r>
            </w:hyperlink>
          </w:p>
        </w:tc>
        <w:tc>
          <w:tcPr>
            <w:tcW w:w="260" w:type="dxa"/>
            <w:vAlign w:val="bottom"/>
            <w:gridSpan w:val="8"/>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196"/>
        </w:trPr>
        <w:tc>
          <w:tcPr>
            <w:tcW w:w="1180" w:type="dxa"/>
            <w:vAlign w:val="bottom"/>
          </w:tcPr>
          <w:p>
            <w:pPr>
              <w:spacing w:after="0"/>
              <w:rPr>
                <w:sz w:val="17"/>
                <w:szCs w:val="17"/>
                <w:color w:val="auto"/>
              </w:rPr>
            </w:pPr>
          </w:p>
        </w:tc>
        <w:tc>
          <w:tcPr>
            <w:tcW w:w="46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February 24, 2022 by and between the Registrant and Hercules</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139">
              <w:r>
                <w:rPr>
                  <w:rFonts w:ascii="Times New Roman" w:cs="Times New Roman" w:eastAsia="Times New Roman" w:hAnsi="Times New Roman"/>
                  <w:sz w:val="18"/>
                  <w:szCs w:val="18"/>
                  <w:color w:val="auto"/>
                  <w:w w:val="99"/>
                </w:rPr>
                <w:t>Capital, Inc.</w:t>
              </w:r>
            </w:hyperlink>
          </w:p>
        </w:tc>
        <w:tc>
          <w:tcPr>
            <w:tcW w:w="3760" w:type="dxa"/>
            <w:vAlign w:val="bottom"/>
            <w:gridSpan w:val="28"/>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52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Collaboration and License Agreement, dated January 9, 2016,</w:t>
              </w:r>
            </w:hyperlink>
          </w:p>
        </w:tc>
        <w:tc>
          <w:tcPr>
            <w:tcW w:w="140" w:type="dxa"/>
            <w:vAlign w:val="bottom"/>
            <w:gridSpan w:val="5"/>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196"/>
        </w:trPr>
        <w:tc>
          <w:tcPr>
            <w:tcW w:w="1180" w:type="dxa"/>
            <w:vAlign w:val="bottom"/>
          </w:tcPr>
          <w:p>
            <w:pPr>
              <w:spacing w:after="0"/>
              <w:rPr>
                <w:sz w:val="17"/>
                <w:szCs w:val="17"/>
                <w:color w:val="auto"/>
              </w:rPr>
            </w:pPr>
          </w:p>
        </w:tc>
        <w:tc>
          <w:tcPr>
            <w:tcW w:w="45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by and between the Registrant and Société des Produits Nestlé</w:t>
              </w:r>
            </w:hyperlink>
          </w:p>
        </w:tc>
        <w:tc>
          <w:tcPr>
            <w:tcW w:w="1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660" w:type="dxa"/>
            <w:vAlign w:val="bottom"/>
            <w:gridSpan w:val="32"/>
          </w:tcPr>
          <w:p>
            <w:pPr>
              <w:spacing w:after="0" w:line="196" w:lineRule="exact"/>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S.A.</w:t>
              </w:r>
            </w:hyperlink>
          </w:p>
        </w:tc>
        <w:tc>
          <w:tcPr>
            <w:tcW w:w="5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660" w:type="dxa"/>
            <w:vAlign w:val="bottom"/>
            <w:tcBorders>
              <w:bottom w:val="single" w:sz="8" w:color="0000EE"/>
            </w:tcBorders>
            <w:gridSpan w:val="32"/>
          </w:tcPr>
          <w:p>
            <w:pPr>
              <w:spacing w:after="0"/>
              <w:rPr>
                <w:rFonts w:ascii="Times New Roman" w:cs="Times New Roman" w:eastAsia="Times New Roman" w:hAnsi="Times New Roman"/>
                <w:sz w:val="18"/>
                <w:szCs w:val="18"/>
                <w:color w:val="auto"/>
              </w:rPr>
            </w:pPr>
            <w:hyperlink r:id="rId141">
              <w:r>
                <w:rPr>
                  <w:rFonts w:ascii="Times New Roman" w:cs="Times New Roman" w:eastAsia="Times New Roman" w:hAnsi="Times New Roman"/>
                  <w:sz w:val="18"/>
                  <w:szCs w:val="18"/>
                  <w:color w:val="auto"/>
                </w:rPr>
                <w:t>Amendment No. 1 to the Collaboration and License Agreement,</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196"/>
        </w:trPr>
        <w:tc>
          <w:tcPr>
            <w:tcW w:w="1180" w:type="dxa"/>
            <w:vAlign w:val="bottom"/>
          </w:tcPr>
          <w:p>
            <w:pPr>
              <w:spacing w:after="0"/>
              <w:rPr>
                <w:sz w:val="17"/>
                <w:szCs w:val="17"/>
                <w:color w:val="auto"/>
              </w:rPr>
            </w:pPr>
          </w:p>
        </w:tc>
        <w:tc>
          <w:tcPr>
            <w:tcW w:w="42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141">
              <w:r>
                <w:rPr>
                  <w:rFonts w:ascii="Times New Roman" w:cs="Times New Roman" w:eastAsia="Times New Roman" w:hAnsi="Times New Roman"/>
                  <w:sz w:val="18"/>
                  <w:szCs w:val="18"/>
                  <w:color w:val="auto"/>
                </w:rPr>
                <w:t>dated August 10, 2016, by and between the Registrant and</w:t>
              </w:r>
            </w:hyperlink>
          </w:p>
        </w:tc>
        <w:tc>
          <w:tcPr>
            <w:tcW w:w="40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8"/>
              </w:rPr>
            </w:pPr>
            <w:hyperlink r:id="rId141">
              <w:r>
                <w:rPr>
                  <w:rFonts w:ascii="Times New Roman" w:cs="Times New Roman" w:eastAsia="Times New Roman" w:hAnsi="Times New Roman"/>
                  <w:sz w:val="18"/>
                  <w:szCs w:val="18"/>
                  <w:color w:val="auto"/>
                  <w:w w:val="98"/>
                </w:rPr>
                <w:t>Nestec Ltd.</w:t>
              </w:r>
            </w:hyperlink>
          </w:p>
        </w:tc>
        <w:tc>
          <w:tcPr>
            <w:tcW w:w="3820" w:type="dxa"/>
            <w:vAlign w:val="bottom"/>
            <w:gridSpan w:val="29"/>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54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142">
              <w:r>
                <w:rPr>
                  <w:rFonts w:ascii="Times New Roman" w:cs="Times New Roman" w:eastAsia="Times New Roman" w:hAnsi="Times New Roman"/>
                  <w:sz w:val="18"/>
                  <w:szCs w:val="18"/>
                  <w:color w:val="auto"/>
                </w:rPr>
                <w:t>Letter Agreement dated October 30, 2018, by and between the</w:t>
              </w:r>
            </w:hyperlink>
          </w:p>
        </w:tc>
        <w:tc>
          <w:tcPr>
            <w:tcW w:w="120" w:type="dxa"/>
            <w:vAlign w:val="bottom"/>
            <w:gridSpan w:val="4"/>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196"/>
        </w:trPr>
        <w:tc>
          <w:tcPr>
            <w:tcW w:w="1180" w:type="dxa"/>
            <w:vAlign w:val="bottom"/>
          </w:tcPr>
          <w:p>
            <w:pPr>
              <w:spacing w:after="0"/>
              <w:rPr>
                <w:sz w:val="17"/>
                <w:szCs w:val="17"/>
                <w:color w:val="auto"/>
              </w:rPr>
            </w:pPr>
          </w:p>
        </w:tc>
        <w:tc>
          <w:tcPr>
            <w:tcW w:w="4660" w:type="dxa"/>
            <w:vAlign w:val="bottom"/>
            <w:gridSpan w:val="32"/>
          </w:tcPr>
          <w:p>
            <w:pPr>
              <w:spacing w:after="0" w:line="196" w:lineRule="exact"/>
              <w:rPr>
                <w:rFonts w:ascii="Times New Roman" w:cs="Times New Roman" w:eastAsia="Times New Roman" w:hAnsi="Times New Roman"/>
                <w:sz w:val="18"/>
                <w:szCs w:val="18"/>
                <w:color w:val="auto"/>
              </w:rPr>
            </w:pPr>
            <w:hyperlink r:id="rId142">
              <w:r>
                <w:rPr>
                  <w:rFonts w:ascii="Times New Roman" w:cs="Times New Roman" w:eastAsia="Times New Roman" w:hAnsi="Times New Roman"/>
                  <w:sz w:val="18"/>
                  <w:szCs w:val="18"/>
                  <w:color w:val="auto"/>
                </w:rPr>
                <w:t>Registrant and Nestec Ltd.</w:t>
              </w:r>
            </w:hyperlink>
          </w:p>
        </w:tc>
        <w:tc>
          <w:tcPr>
            <w:tcW w:w="5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56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143">
              <w:r>
                <w:rPr>
                  <w:rFonts w:ascii="Times New Roman" w:cs="Times New Roman" w:eastAsia="Times New Roman" w:hAnsi="Times New Roman"/>
                  <w:sz w:val="18"/>
                  <w:szCs w:val="18"/>
                  <w:color w:val="auto"/>
                </w:rPr>
                <w:t>Securities Purchase Agreement, dated August 12, 2020 by and</w:t>
              </w:r>
            </w:hyperlink>
          </w:p>
        </w:tc>
        <w:tc>
          <w:tcPr>
            <w:tcW w:w="100" w:type="dxa"/>
            <w:vAlign w:val="bottom"/>
            <w:gridSpan w:val="3"/>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1180" w:type="dxa"/>
            <w:vAlign w:val="bottom"/>
          </w:tcPr>
          <w:p>
            <w:pPr>
              <w:spacing w:after="0"/>
              <w:rPr>
                <w:sz w:val="17"/>
                <w:szCs w:val="17"/>
                <w:color w:val="auto"/>
              </w:rPr>
            </w:pPr>
          </w:p>
        </w:tc>
        <w:tc>
          <w:tcPr>
            <w:tcW w:w="43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143">
              <w:r>
                <w:rPr>
                  <w:rFonts w:ascii="Times New Roman" w:cs="Times New Roman" w:eastAsia="Times New Roman" w:hAnsi="Times New Roman"/>
                  <w:sz w:val="18"/>
                  <w:szCs w:val="18"/>
                  <w:color w:val="auto"/>
                </w:rPr>
                <w:t>between the Company and Société des Produits Nestlé S.A.</w:t>
              </w:r>
            </w:hyperlink>
          </w:p>
        </w:tc>
        <w:tc>
          <w:tcPr>
            <w:tcW w:w="34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36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144">
              <w:r>
                <w:rPr>
                  <w:rFonts w:ascii="Times New Roman" w:cs="Times New Roman" w:eastAsia="Times New Roman" w:hAnsi="Times New Roman"/>
                  <w:sz w:val="18"/>
                  <w:szCs w:val="18"/>
                  <w:color w:val="auto"/>
                </w:rPr>
                <w:t>License Agreement, dated July 1, 2021, by and between the</w:t>
              </w:r>
            </w:hyperlink>
          </w:p>
        </w:tc>
        <w:tc>
          <w:tcPr>
            <w:tcW w:w="300" w:type="dxa"/>
            <w:vAlign w:val="bottom"/>
            <w:gridSpan w:val="9"/>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196"/>
        </w:trPr>
        <w:tc>
          <w:tcPr>
            <w:tcW w:w="1180" w:type="dxa"/>
            <w:vAlign w:val="bottom"/>
          </w:tcPr>
          <w:p>
            <w:pPr>
              <w:spacing w:after="0"/>
              <w:rPr>
                <w:sz w:val="17"/>
                <w:szCs w:val="17"/>
                <w:color w:val="auto"/>
              </w:rPr>
            </w:pPr>
          </w:p>
        </w:tc>
        <w:tc>
          <w:tcPr>
            <w:tcW w:w="4660" w:type="dxa"/>
            <w:vAlign w:val="bottom"/>
            <w:gridSpan w:val="32"/>
          </w:tcPr>
          <w:p>
            <w:pPr>
              <w:spacing w:after="0" w:line="196" w:lineRule="exact"/>
              <w:rPr>
                <w:rFonts w:ascii="Times New Roman" w:cs="Times New Roman" w:eastAsia="Times New Roman" w:hAnsi="Times New Roman"/>
                <w:sz w:val="18"/>
                <w:szCs w:val="18"/>
                <w:color w:val="auto"/>
              </w:rPr>
            </w:pPr>
            <w:hyperlink r:id="rId144">
              <w:r>
                <w:rPr>
                  <w:rFonts w:ascii="Times New Roman" w:cs="Times New Roman" w:eastAsia="Times New Roman" w:hAnsi="Times New Roman"/>
                  <w:sz w:val="18"/>
                  <w:szCs w:val="18"/>
                  <w:color w:val="auto"/>
                </w:rPr>
                <w:t>Registrant and NHSc Pharma Partners</w:t>
              </w:r>
            </w:hyperlink>
          </w:p>
        </w:tc>
        <w:tc>
          <w:tcPr>
            <w:tcW w:w="5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430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Amendment No. 1 to License Agreement, dated March 24,</w:t>
              </w:r>
            </w:hyperlink>
          </w:p>
        </w:tc>
        <w:tc>
          <w:tcPr>
            <w:tcW w:w="360" w:type="dxa"/>
            <w:vAlign w:val="bottom"/>
            <w:gridSpan w:val="11"/>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196"/>
        </w:trPr>
        <w:tc>
          <w:tcPr>
            <w:tcW w:w="1180" w:type="dxa"/>
            <w:vAlign w:val="bottom"/>
          </w:tcPr>
          <w:p>
            <w:pPr>
              <w:spacing w:after="0"/>
              <w:rPr>
                <w:sz w:val="17"/>
                <w:szCs w:val="17"/>
                <w:color w:val="auto"/>
              </w:rPr>
            </w:pPr>
          </w:p>
        </w:tc>
        <w:tc>
          <w:tcPr>
            <w:tcW w:w="46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auto"/>
                <w:w w:val="99"/>
              </w:rPr>
            </w:pPr>
            <w:hyperlink r:id="rId145">
              <w:r>
                <w:rPr>
                  <w:rFonts w:ascii="Times New Roman" w:cs="Times New Roman" w:eastAsia="Times New Roman" w:hAnsi="Times New Roman"/>
                  <w:sz w:val="18"/>
                  <w:szCs w:val="18"/>
                  <w:color w:val="auto"/>
                  <w:w w:val="99"/>
                </w:rPr>
                <w:t>2022, by and between the Registrant and NHSc Pharma Partners</w:t>
              </w:r>
            </w:hyperlink>
          </w:p>
        </w:tc>
        <w:tc>
          <w:tcPr>
            <w:tcW w:w="52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42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Long Term Manufacturing Agreement, dated November 8,</w:t>
              </w:r>
            </w:hyperlink>
          </w:p>
        </w:tc>
        <w:tc>
          <w:tcPr>
            <w:tcW w:w="380" w:type="dxa"/>
            <w:vAlign w:val="bottom"/>
            <w:gridSpan w:val="12"/>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196"/>
        </w:trPr>
        <w:tc>
          <w:tcPr>
            <w:tcW w:w="1180" w:type="dxa"/>
            <w:vAlign w:val="bottom"/>
          </w:tcPr>
          <w:p>
            <w:pPr>
              <w:spacing w:after="0"/>
              <w:rPr>
                <w:sz w:val="17"/>
                <w:szCs w:val="17"/>
                <w:color w:val="auto"/>
              </w:rPr>
            </w:pPr>
          </w:p>
        </w:tc>
        <w:tc>
          <w:tcPr>
            <w:tcW w:w="40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w w:val="99"/>
              </w:rPr>
            </w:pPr>
            <w:hyperlink r:id="rId146">
              <w:r>
                <w:rPr>
                  <w:rFonts w:ascii="Times New Roman" w:cs="Times New Roman" w:eastAsia="Times New Roman" w:hAnsi="Times New Roman"/>
                  <w:sz w:val="18"/>
                  <w:szCs w:val="18"/>
                  <w:color w:val="auto"/>
                  <w:w w:val="99"/>
                </w:rPr>
                <w:t>2021, by and between the Registrant and BacThera AG</w:t>
              </w:r>
            </w:hyperlink>
          </w:p>
        </w:tc>
        <w:tc>
          <w:tcPr>
            <w:tcW w:w="66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44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auto"/>
              </w:rPr>
              <w:t>Amendment to Long Term Manufacturing Agreement, dated</w:t>
            </w:r>
          </w:p>
        </w:tc>
        <w:tc>
          <w:tcPr>
            <w:tcW w:w="24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rPr>
              <w:t>December 14, 2022, by and between the Registrant and</w:t>
            </w:r>
          </w:p>
        </w:tc>
        <w:tc>
          <w:tcPr>
            <w:tcW w:w="62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BacThera AG</w:t>
            </w:r>
          </w:p>
        </w:tc>
        <w:tc>
          <w:tcPr>
            <w:tcW w:w="3640" w:type="dxa"/>
            <w:vAlign w:val="bottom"/>
            <w:gridSpan w:val="27"/>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320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Form of Non-Affiliate Purchase Agreement</w:t>
              </w:r>
            </w:hyperlink>
          </w:p>
        </w:tc>
        <w:tc>
          <w:tcPr>
            <w:tcW w:w="1460" w:type="dxa"/>
            <w:vAlign w:val="bottom"/>
            <w:gridSpan w:val="19"/>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4660" w:type="dxa"/>
            <w:vAlign w:val="bottom"/>
            <w:gridSpan w:val="32"/>
          </w:tcPr>
          <w:p>
            <w:pPr>
              <w:spacing w:after="0"/>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Form of Affiliate Purchase Agreement</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20"/>
        </w:trPr>
        <w:tc>
          <w:tcPr>
            <w:tcW w:w="1180" w:type="dxa"/>
            <w:vAlign w:val="bottom"/>
          </w:tcPr>
          <w:p>
            <w:pPr>
              <w:spacing w:after="0" w:line="20" w:lineRule="exact"/>
              <w:rPr>
                <w:sz w:val="1"/>
                <w:szCs w:val="1"/>
                <w:color w:val="auto"/>
              </w:rPr>
            </w:pPr>
          </w:p>
        </w:tc>
        <w:tc>
          <w:tcPr>
            <w:tcW w:w="2560" w:type="dxa"/>
            <w:vAlign w:val="bottom"/>
            <w:gridSpan w:val="8"/>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436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Placement Agency Agreement, dated June 29, 2022, by and</w:t>
              </w:r>
            </w:hyperlink>
          </w:p>
        </w:tc>
        <w:tc>
          <w:tcPr>
            <w:tcW w:w="300" w:type="dxa"/>
            <w:vAlign w:val="bottom"/>
            <w:gridSpan w:val="9"/>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1180" w:type="dxa"/>
            <w:vAlign w:val="bottom"/>
          </w:tcPr>
          <w:p>
            <w:pPr>
              <w:spacing w:after="0"/>
              <w:rPr>
                <w:sz w:val="17"/>
                <w:szCs w:val="17"/>
                <w:color w:val="auto"/>
              </w:rPr>
            </w:pPr>
          </w:p>
        </w:tc>
        <w:tc>
          <w:tcPr>
            <w:tcW w:w="37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w w:val="99"/>
              </w:rPr>
            </w:pPr>
            <w:hyperlink r:id="rId149">
              <w:r>
                <w:rPr>
                  <w:rFonts w:ascii="Times New Roman" w:cs="Times New Roman" w:eastAsia="Times New Roman" w:hAnsi="Times New Roman"/>
                  <w:sz w:val="18"/>
                  <w:szCs w:val="18"/>
                  <w:color w:val="auto"/>
                  <w:w w:val="99"/>
                </w:rPr>
                <w:t>between Registrant and J.P. Morgan Securities LLC</w:t>
              </w:r>
            </w:hyperlink>
          </w:p>
        </w:tc>
        <w:tc>
          <w:tcPr>
            <w:tcW w:w="92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4600" w:type="dxa"/>
            <w:vAlign w:val="bottom"/>
            <w:tcBorders>
              <w:bottom w:val="single" w:sz="8" w:color="0000EE"/>
            </w:tcBorders>
            <w:gridSpan w:val="30"/>
          </w:tcPr>
          <w:p>
            <w:pPr>
              <w:spacing w:after="0"/>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Supply Agreement, dated September 15, 2015, by and between</w:t>
              </w:r>
            </w:hyperlink>
          </w:p>
        </w:tc>
        <w:tc>
          <w:tcPr>
            <w:tcW w:w="60" w:type="dxa"/>
            <w:vAlign w:val="bottom"/>
            <w:gridSpan w:val="2"/>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196"/>
        </w:trPr>
        <w:tc>
          <w:tcPr>
            <w:tcW w:w="1180" w:type="dxa"/>
            <w:vAlign w:val="bottom"/>
          </w:tcPr>
          <w:p>
            <w:pPr>
              <w:spacing w:after="0"/>
              <w:rPr>
                <w:sz w:val="17"/>
                <w:szCs w:val="17"/>
                <w:color w:val="auto"/>
              </w:rPr>
            </w:pPr>
          </w:p>
        </w:tc>
        <w:tc>
          <w:tcPr>
            <w:tcW w:w="44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w w:val="99"/>
              </w:rPr>
            </w:pPr>
            <w:hyperlink r:id="rId150">
              <w:r>
                <w:rPr>
                  <w:rFonts w:ascii="Times New Roman" w:cs="Times New Roman" w:eastAsia="Times New Roman" w:hAnsi="Times New Roman"/>
                  <w:sz w:val="18"/>
                  <w:szCs w:val="18"/>
                  <w:color w:val="auto"/>
                  <w:w w:val="99"/>
                </w:rPr>
                <w:t>Registrant and GenIbet BioPharmaceuticals, SA, as amended</w:t>
              </w:r>
            </w:hyperlink>
          </w:p>
        </w:tc>
        <w:tc>
          <w:tcPr>
            <w:tcW w:w="24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860" w:type="dxa"/>
            <w:vAlign w:val="bottom"/>
            <w:tcBorders>
              <w:bottom w:val="single" w:sz="8" w:color="0000EE"/>
            </w:tcBorders>
            <w:gridSpan w:val="11"/>
          </w:tcPr>
          <w:p>
            <w:pPr>
              <w:spacing w:after="0"/>
              <w:rPr>
                <w:rFonts w:ascii="Times New Roman" w:cs="Times New Roman" w:eastAsia="Times New Roman" w:hAnsi="Times New Roman"/>
                <w:sz w:val="18"/>
                <w:szCs w:val="18"/>
                <w:color w:val="auto"/>
                <w:w w:val="99"/>
              </w:rPr>
            </w:pPr>
            <w:hyperlink r:id="rId151">
              <w:r>
                <w:rPr>
                  <w:rFonts w:ascii="Times New Roman" w:cs="Times New Roman" w:eastAsia="Times New Roman" w:hAnsi="Times New Roman"/>
                  <w:sz w:val="18"/>
                  <w:szCs w:val="18"/>
                  <w:color w:val="auto"/>
                  <w:w w:val="99"/>
                </w:rPr>
                <w:t>Subsidiaries of Seres Therapeutics, Inc.</w:t>
              </w:r>
            </w:hyperlink>
          </w:p>
        </w:tc>
        <w:tc>
          <w:tcPr>
            <w:tcW w:w="1800" w:type="dxa"/>
            <w:vAlign w:val="bottom"/>
            <w:gridSpan w:val="21"/>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0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rPr>
              <w:t>Consent of PricewaterhouseCoopers LLP, Independent</w:t>
            </w:r>
          </w:p>
        </w:tc>
        <w:tc>
          <w:tcPr>
            <w:tcW w:w="660" w:type="dxa"/>
            <w:vAlign w:val="bottom"/>
            <w:gridSpan w:val="17"/>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46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auto"/>
              </w:rPr>
              <w:t>Registered Public Accounting Firm</w:t>
            </w:r>
          </w:p>
        </w:tc>
        <w:tc>
          <w:tcPr>
            <w:tcW w:w="520" w:type="dxa"/>
            <w:vAlign w:val="bottom"/>
          </w:tcPr>
          <w:p>
            <w:pPr>
              <w:spacing w:after="0"/>
              <w:rPr>
                <w:sz w:val="17"/>
                <w:szCs w:val="17"/>
                <w:color w:val="auto"/>
              </w:rPr>
            </w:pPr>
          </w:p>
        </w:tc>
      </w:tr>
      <w:tr>
        <w:trPr>
          <w:trHeight w:val="574"/>
        </w:trPr>
        <w:tc>
          <w:tcPr>
            <w:tcW w:w="1180" w:type="dxa"/>
            <w:vAlign w:val="bottom"/>
          </w:tcPr>
          <w:p>
            <w:pPr>
              <w:spacing w:after="0"/>
              <w:rPr>
                <w:sz w:val="24"/>
                <w:szCs w:val="24"/>
                <w:color w:val="auto"/>
              </w:rPr>
            </w:pPr>
          </w:p>
        </w:tc>
        <w:tc>
          <w:tcPr>
            <w:tcW w:w="2560" w:type="dxa"/>
            <w:vAlign w:val="bottom"/>
            <w:tcBorders>
              <w:top w:val="single" w:sz="8" w:color="0000EE"/>
            </w:tcBorders>
            <w:gridSpan w:val="8"/>
          </w:tcPr>
          <w:p>
            <w:pPr>
              <w:spacing w:after="0"/>
              <w:rPr>
                <w:sz w:val="24"/>
                <w:szCs w:val="24"/>
                <w:color w:val="auto"/>
              </w:rPr>
            </w:pPr>
          </w:p>
        </w:tc>
        <w:tc>
          <w:tcPr>
            <w:tcW w:w="1960" w:type="dxa"/>
            <w:vAlign w:val="bottom"/>
            <w:gridSpan w:val="19"/>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3/2/21</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3/2/21</w:t>
            </w:r>
          </w:p>
        </w:tc>
      </w:tr>
      <w:tr>
        <w:trPr>
          <w:trHeight w:val="783"/>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5/20/21</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3/1/22</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11/4/19</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7/28/20</w:t>
            </w:r>
          </w:p>
        </w:tc>
      </w:tr>
      <w:tr>
        <w:trPr>
          <w:trHeight w:val="783"/>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3/1/22</w:t>
            </w:r>
          </w:p>
        </w:tc>
      </w:tr>
      <w:tr>
        <w:trPr>
          <w:trHeight w:val="783"/>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5/16/16</w:t>
            </w:r>
          </w:p>
        </w:tc>
      </w:tr>
      <w:tr>
        <w:trPr>
          <w:trHeight w:val="783"/>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3/6/19</w:t>
            </w:r>
          </w:p>
        </w:tc>
      </w:tr>
      <w:tr>
        <w:trPr>
          <w:trHeight w:val="783"/>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3/6/19</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8/14/20</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11/10/21</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5/4/222</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3/1/22</w:t>
            </w:r>
          </w:p>
        </w:tc>
      </w:tr>
    </w:tbl>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6/30/22</w:t>
            </w:r>
          </w:p>
        </w:tc>
      </w:tr>
      <w:tr>
        <w:trPr>
          <w:trHeight w:val="351"/>
        </w:trPr>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6/30/22</w:t>
            </w:r>
          </w:p>
        </w:tc>
      </w:tr>
      <w:tr>
        <w:trPr>
          <w:trHeight w:val="351"/>
        </w:trPr>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6/30/22</w:t>
            </w:r>
          </w:p>
        </w:tc>
      </w:tr>
      <w:tr>
        <w:trPr>
          <w:trHeight w:val="567"/>
        </w:trPr>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11/2/22</w:t>
            </w:r>
          </w:p>
        </w:tc>
      </w:tr>
      <w:tr>
        <w:trPr>
          <w:trHeight w:val="567"/>
        </w:trPr>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21.1</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3/2/20</w:t>
            </w:r>
          </w:p>
        </w:tc>
      </w:tr>
    </w:tbl>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6360" w:space="720"/>
            <w:col w:w="3620"/>
          </w:cols>
          <w:pgMar w:left="340" w:top="122" w:right="85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2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Rule 13a-14(a)/15d-14(a) Certification of Chief Executive</w:t>
            </w:r>
          </w:p>
        </w:tc>
        <w:tc>
          <w:tcPr>
            <w:tcW w:w="2760" w:type="dxa"/>
            <w:vAlign w:val="bottom"/>
          </w:tcPr>
          <w:p>
            <w:pPr>
              <w:spacing w:after="0"/>
              <w:rPr>
                <w:sz w:val="17"/>
                <w:szCs w:val="17"/>
                <w:color w:val="auto"/>
              </w:rPr>
            </w:pP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180" w:type="dxa"/>
            <w:vAlign w:val="bottom"/>
          </w:tcPr>
          <w:p>
            <w:pPr>
              <w:spacing w:after="0"/>
              <w:rPr>
                <w:sz w:val="17"/>
                <w:szCs w:val="17"/>
                <w:color w:val="auto"/>
              </w:rPr>
            </w:pPr>
          </w:p>
        </w:tc>
        <w:tc>
          <w:tcPr>
            <w:tcW w:w="70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Officer</w:t>
            </w:r>
          </w:p>
        </w:tc>
        <w:tc>
          <w:tcPr>
            <w:tcW w:w="2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Rule 13a-14(a)/15d-14(a) Certification of Chief Financial</w:t>
            </w:r>
          </w:p>
        </w:tc>
        <w:tc>
          <w:tcPr>
            <w:tcW w:w="2820" w:type="dxa"/>
            <w:vAlign w:val="bottom"/>
            <w:gridSpan w:val="2"/>
          </w:tcPr>
          <w:p>
            <w:pPr>
              <w:spacing w:after="0"/>
              <w:rPr>
                <w:sz w:val="24"/>
                <w:szCs w:val="24"/>
                <w:color w:val="auto"/>
              </w:rPr>
            </w:pP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180" w:type="dxa"/>
            <w:vAlign w:val="bottom"/>
          </w:tcPr>
          <w:p>
            <w:pPr>
              <w:spacing w:after="0"/>
              <w:rPr>
                <w:sz w:val="17"/>
                <w:szCs w:val="17"/>
                <w:color w:val="auto"/>
              </w:rPr>
            </w:pPr>
          </w:p>
        </w:tc>
        <w:tc>
          <w:tcPr>
            <w:tcW w:w="70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Officer</w:t>
            </w:r>
          </w:p>
        </w:tc>
        <w:tc>
          <w:tcPr>
            <w:tcW w:w="2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Section 1350 Certification of Chief Executive Officer</w:t>
            </w:r>
          </w:p>
        </w:tc>
        <w:tc>
          <w:tcPr>
            <w:tcW w:w="3140" w:type="dxa"/>
            <w:vAlign w:val="bottom"/>
            <w:gridSpan w:val="3"/>
          </w:tcPr>
          <w:p>
            <w:pPr>
              <w:spacing w:after="0"/>
              <w:rPr>
                <w:sz w:val="24"/>
                <w:szCs w:val="24"/>
                <w:color w:val="auto"/>
              </w:rPr>
            </w:pPr>
          </w:p>
        </w:tc>
        <w:tc>
          <w:tcPr>
            <w:tcW w:w="254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w:t>
            </w: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1350 Certification of Chief Financial Officer</w:t>
            </w:r>
          </w:p>
        </w:tc>
        <w:tc>
          <w:tcPr>
            <w:tcW w:w="254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18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5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180" w:type="dxa"/>
            <w:vAlign w:val="bottom"/>
          </w:tcPr>
          <w:p>
            <w:pPr>
              <w:spacing w:after="0"/>
              <w:rPr>
                <w:sz w:val="18"/>
                <w:szCs w:val="18"/>
                <w:color w:val="auto"/>
              </w:rPr>
            </w:pP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 are</w:t>
            </w:r>
          </w:p>
        </w:tc>
        <w:tc>
          <w:tcPr>
            <w:tcW w:w="254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2540" w:type="dxa"/>
            <w:vAlign w:val="bottom"/>
          </w:tcPr>
          <w:p>
            <w:pPr>
              <w:spacing w:after="0"/>
              <w:rPr>
                <w:sz w:val="20"/>
                <w:szCs w:val="20"/>
                <w:color w:val="auto"/>
              </w:rPr>
            </w:pP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33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180" w:type="dxa"/>
            <w:vAlign w:val="bottom"/>
          </w:tcPr>
          <w:p>
            <w:pPr>
              <w:spacing w:after="0"/>
              <w:rPr>
                <w:sz w:val="20"/>
                <w:szCs w:val="20"/>
                <w:color w:val="auto"/>
              </w:rPr>
            </w:pP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2540" w:type="dxa"/>
            <w:vAlign w:val="bottom"/>
          </w:tcPr>
          <w:p>
            <w:pPr>
              <w:spacing w:after="0"/>
              <w:rPr>
                <w:sz w:val="20"/>
                <w:szCs w:val="20"/>
                <w:color w:val="auto"/>
              </w:rPr>
            </w:pP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33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180" w:type="dxa"/>
            <w:vAlign w:val="bottom"/>
          </w:tcPr>
          <w:p>
            <w:pPr>
              <w:spacing w:after="0"/>
              <w:rPr>
                <w:sz w:val="20"/>
                <w:szCs w:val="20"/>
                <w:color w:val="auto"/>
              </w:rPr>
            </w:pP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2540" w:type="dxa"/>
            <w:vAlign w:val="bottom"/>
          </w:tcPr>
          <w:p>
            <w:pPr>
              <w:spacing w:after="0"/>
              <w:rPr>
                <w:sz w:val="20"/>
                <w:szCs w:val="20"/>
                <w:color w:val="auto"/>
              </w:rPr>
            </w:pPr>
          </w:p>
        </w:tc>
      </w:tr>
      <w:tr>
        <w:trPr>
          <w:trHeight w:val="33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180" w:type="dxa"/>
            <w:vAlign w:val="bottom"/>
          </w:tcPr>
          <w:p>
            <w:pPr>
              <w:spacing w:after="0"/>
              <w:rPr>
                <w:sz w:val="20"/>
                <w:szCs w:val="20"/>
                <w:color w:val="auto"/>
              </w:rPr>
            </w:pP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2540" w:type="dxa"/>
            <w:vAlign w:val="bottom"/>
          </w:tcPr>
          <w:p>
            <w:pPr>
              <w:spacing w:after="0"/>
              <w:rPr>
                <w:sz w:val="20"/>
                <w:szCs w:val="20"/>
                <w:color w:val="auto"/>
              </w:rPr>
            </w:pPr>
          </w:p>
        </w:tc>
      </w:tr>
      <w:tr>
        <w:trPr>
          <w:trHeight w:val="33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180" w:type="dxa"/>
            <w:vAlign w:val="bottom"/>
          </w:tcPr>
          <w:p>
            <w:pPr>
              <w:spacing w:after="0"/>
              <w:rPr>
                <w:sz w:val="20"/>
                <w:szCs w:val="20"/>
                <w:color w:val="auto"/>
              </w:rPr>
            </w:pP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2540" w:type="dxa"/>
            <w:vAlign w:val="bottom"/>
          </w:tcPr>
          <w:p>
            <w:pPr>
              <w:spacing w:after="0"/>
              <w:rPr>
                <w:sz w:val="20"/>
                <w:szCs w:val="20"/>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sz w:val="20"/>
          <w:szCs w:val="20"/>
          <w:color w:val="auto"/>
        </w:rPr>
      </w:pPr>
    </w:p>
    <w:p>
      <w:pPr>
        <w:ind w:firstLine="8"/>
        <w:spacing w:after="0" w:line="250" w:lineRule="auto"/>
        <w:tabs>
          <w:tab w:leader="none" w:pos="1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redacted portions of this exhibit. Redacted portions of this exhibit have been filed separately with the SEC.</w:t>
      </w: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pursuant to Regulation S-K, Item 601(b)(10)(iv). Such omitted information is both (i) not material and (ii) the type that the Registrant treats as private or confidential.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0" w:lineRule="exact"/>
        <w:rPr>
          <w:sz w:val="20"/>
          <w:szCs w:val="20"/>
          <w:color w:val="auto"/>
        </w:rPr>
      </w:pPr>
    </w:p>
    <w:p>
      <w:pPr>
        <w:ind w:left="20"/>
        <w:spacing w:after="0"/>
        <w:tabs>
          <w:tab w:leader="none" w:pos="5820" w:val="left"/>
          <w:tab w:leader="none" w:pos="6340" w:val="left"/>
        </w:tabs>
        <w:rPr>
          <w:sz w:val="20"/>
          <w:szCs w:val="20"/>
          <w:color w:val="auto"/>
        </w:rPr>
      </w:pPr>
      <w:r>
        <w:rPr>
          <w:rFonts w:ascii="Times New Roman" w:cs="Times New Roman" w:eastAsia="Times New Roman" w:hAnsi="Times New Roman"/>
          <w:sz w:val="18"/>
          <w:szCs w:val="18"/>
          <w:color w:val="auto"/>
        </w:rPr>
        <w:t>Date: March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26035</wp:posOffset>
            </wp:positionV>
            <wp:extent cx="3111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Eric D. Shaff</w:t>
      </w:r>
    </w:p>
    <w:p>
      <w:pPr>
        <w:spacing w:after="0" w:line="3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117" w:right="359" w:bottom="1440" w:gutter="0" w:footer="0" w:header="0"/>
        </w:sectPr>
      </w:pP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Signature</w:t>
            </w:r>
          </w:p>
        </w:tc>
        <w:tc>
          <w:tcPr>
            <w:tcW w:w="374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231F20"/>
              </w:rPr>
              <w:t>Title</w:t>
            </w:r>
          </w:p>
        </w:tc>
      </w:tr>
      <w:tr>
        <w:trPr>
          <w:trHeight w:val="395"/>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D. Shaff</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President, Chief Executive Officer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Eric D. Shaff</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and Director</w:t>
            </w:r>
          </w:p>
        </w:tc>
      </w:tr>
      <w:tr>
        <w:trPr>
          <w:trHeight w:val="238"/>
        </w:trPr>
        <w:tc>
          <w:tcPr>
            <w:tcW w:w="4140" w:type="dxa"/>
            <w:vAlign w:val="bottom"/>
          </w:tcPr>
          <w:p>
            <w:pPr>
              <w:spacing w:after="0"/>
              <w:rPr>
                <w:sz w:val="20"/>
                <w:szCs w:val="20"/>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(Principal Executive Officer)</w:t>
            </w:r>
          </w:p>
        </w:tc>
      </w:tr>
      <w:tr>
        <w:trPr>
          <w:trHeight w:val="225"/>
        </w:trPr>
        <w:tc>
          <w:tcPr>
            <w:tcW w:w="414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w w:val="98"/>
              </w:rPr>
              <w:t>Executive Vice President, Chief Financial Officer,</w:t>
            </w:r>
          </w:p>
        </w:tc>
      </w:tr>
      <w:tr>
        <w:trPr>
          <w:trHeight w:val="241"/>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Arkowitz</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and Head of Business Development</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Arkowitz</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(Principal Financial and Accounting Officer)</w:t>
            </w:r>
          </w:p>
        </w:tc>
      </w:tr>
      <w:tr>
        <w:trPr>
          <w:trHeight w:val="421"/>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231F20"/>
              </w:rPr>
              <w:t>Stephen Berenson</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Chairman of the Board</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Stephen Berenson</w:t>
            </w:r>
          </w:p>
        </w:tc>
        <w:tc>
          <w:tcPr>
            <w:tcW w:w="3740" w:type="dxa"/>
            <w:vAlign w:val="bottom"/>
          </w:tcPr>
          <w:p>
            <w:pPr>
              <w:spacing w:after="0"/>
              <w:rPr>
                <w:sz w:val="20"/>
                <w:szCs w:val="20"/>
                <w:color w:val="auto"/>
              </w:rPr>
            </w:pPr>
          </w:p>
        </w:tc>
      </w:tr>
      <w:tr>
        <w:trPr>
          <w:trHeight w:val="39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A. Ausiello</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Dennis A. Ausiello, M.D.</w:t>
            </w:r>
          </w:p>
        </w:tc>
        <w:tc>
          <w:tcPr>
            <w:tcW w:w="3740" w:type="dxa"/>
            <w:vAlign w:val="bottom"/>
          </w:tcPr>
          <w:p>
            <w:pPr>
              <w:spacing w:after="0"/>
              <w:rPr>
                <w:sz w:val="20"/>
                <w:szCs w:val="20"/>
                <w:color w:val="auto"/>
              </w:rPr>
            </w:pPr>
          </w:p>
        </w:tc>
      </w:tr>
      <w:tr>
        <w:trPr>
          <w:trHeight w:val="400"/>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Grégory Behar</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Grégory Behar</w:t>
            </w:r>
          </w:p>
        </w:tc>
        <w:tc>
          <w:tcPr>
            <w:tcW w:w="3740" w:type="dxa"/>
            <w:vAlign w:val="bottom"/>
          </w:tcPr>
          <w:p>
            <w:pPr>
              <w:spacing w:after="0"/>
              <w:rPr>
                <w:sz w:val="19"/>
                <w:szCs w:val="19"/>
                <w:color w:val="auto"/>
              </w:rPr>
            </w:pPr>
          </w:p>
        </w:tc>
      </w:tr>
      <w:tr>
        <w:trPr>
          <w:trHeight w:val="488"/>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R. Biondi</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R. Biondi</w:t>
            </w:r>
          </w:p>
        </w:tc>
        <w:tc>
          <w:tcPr>
            <w:tcW w:w="3740" w:type="dxa"/>
            <w:vAlign w:val="bottom"/>
          </w:tcPr>
          <w:p>
            <w:pPr>
              <w:spacing w:after="0"/>
              <w:rPr>
                <w:sz w:val="20"/>
                <w:szCs w:val="20"/>
                <w:color w:val="auto"/>
              </w:rPr>
            </w:pPr>
          </w:p>
        </w:tc>
      </w:tr>
      <w:tr>
        <w:trPr>
          <w:trHeight w:val="488"/>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Willard H. Dere</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Willard H. Dere, M.D.</w:t>
            </w:r>
          </w:p>
        </w:tc>
        <w:tc>
          <w:tcPr>
            <w:tcW w:w="3740" w:type="dxa"/>
            <w:vAlign w:val="bottom"/>
          </w:tcPr>
          <w:p>
            <w:pPr>
              <w:spacing w:after="0"/>
              <w:rPr>
                <w:sz w:val="20"/>
                <w:szCs w:val="20"/>
                <w:color w:val="auto"/>
              </w:rPr>
            </w:pPr>
          </w:p>
        </w:tc>
      </w:tr>
      <w:tr>
        <w:trPr>
          <w:trHeight w:val="39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Claire M. Fraser</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Claire M. Fraser, Ph.D.</w:t>
            </w:r>
          </w:p>
        </w:tc>
        <w:tc>
          <w:tcPr>
            <w:tcW w:w="3740" w:type="dxa"/>
            <w:vAlign w:val="bottom"/>
          </w:tcPr>
          <w:p>
            <w:pPr>
              <w:spacing w:after="0"/>
              <w:rPr>
                <w:sz w:val="20"/>
                <w:szCs w:val="20"/>
                <w:color w:val="auto"/>
              </w:rPr>
            </w:pPr>
          </w:p>
        </w:tc>
      </w:tr>
      <w:tr>
        <w:trPr>
          <w:trHeight w:val="39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/s/ Kurt C. Graves</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Kurt C. Graves</w:t>
            </w:r>
          </w:p>
        </w:tc>
        <w:tc>
          <w:tcPr>
            <w:tcW w:w="3740" w:type="dxa"/>
            <w:vAlign w:val="bottom"/>
          </w:tcPr>
          <w:p>
            <w:pPr>
              <w:spacing w:after="0"/>
              <w:rPr>
                <w:sz w:val="20"/>
                <w:szCs w:val="20"/>
                <w:color w:val="auto"/>
              </w:rPr>
            </w:pPr>
          </w:p>
        </w:tc>
      </w:tr>
      <w:tr>
        <w:trPr>
          <w:trHeight w:val="39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N. Kender</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Richard N. Kender</w:t>
            </w:r>
          </w:p>
        </w:tc>
        <w:tc>
          <w:tcPr>
            <w:tcW w:w="3740" w:type="dxa"/>
            <w:vAlign w:val="bottom"/>
          </w:tcPr>
          <w:p>
            <w:pPr>
              <w:spacing w:after="0"/>
              <w:rPr>
                <w:sz w:val="20"/>
                <w:szCs w:val="20"/>
                <w:color w:val="auto"/>
              </w:rPr>
            </w:pPr>
          </w:p>
        </w:tc>
      </w:tr>
      <w:tr>
        <w:trPr>
          <w:trHeight w:val="488"/>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Meryl S. Zausner</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Meryl S. Zausner</w:t>
            </w:r>
          </w:p>
        </w:tc>
        <w:tc>
          <w:tcPr>
            <w:tcW w:w="3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Date</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7, 2023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7, 2023</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7, 2023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7, 2023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7, 2023</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7, 2023</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7, 2023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7, 2023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7, 2023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7, 2023</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7, 2023</w:t>
      </w:r>
    </w:p>
    <w:p>
      <w:pPr>
        <w:spacing w:after="0" w:line="475" w:lineRule="exact"/>
        <w:rPr>
          <w:sz w:val="20"/>
          <w:szCs w:val="20"/>
          <w:color w:val="auto"/>
        </w:rPr>
      </w:pPr>
    </w:p>
    <w:p>
      <w:pPr>
        <w:sectPr>
          <w:pgSz w:w="11900" w:h="16838" w:orient="portrait"/>
          <w:cols w:equalWidth="0" w:num="2">
            <w:col w:w="8840" w:space="720"/>
            <w:col w:w="1660"/>
          </w:cols>
          <w:pgMar w:left="320" w:top="117" w:right="359" w:bottom="1440" w:gutter="0" w:footer="0" w:header="0"/>
          <w:type w:val="continuous"/>
        </w:sect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5560" w:type="dxa"/>
            <w:vAlign w:val="bottom"/>
            <w:tcBorders>
              <w:bottom w:val="single" w:sz="8" w:color="0000FF"/>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840" w:type="dxa"/>
            <w:vAlign w:val="bottom"/>
            <w:gridSpan w:val="4"/>
          </w:tcPr>
          <w:p>
            <w:pPr>
              <w:spacing w:after="0"/>
              <w:rPr>
                <w:sz w:val="15"/>
                <w:szCs w:val="15"/>
                <w:color w:val="auto"/>
              </w:rPr>
            </w:pPr>
          </w:p>
        </w:tc>
        <w:tc>
          <w:tcPr>
            <w:tcW w:w="840" w:type="dxa"/>
            <w:vAlign w:val="bottom"/>
          </w:tcPr>
          <w:p>
            <w:pPr>
              <w:ind w:left="580"/>
              <w:spacing w:after="0" w:line="182" w:lineRule="exact"/>
              <w:rPr>
                <w:sz w:val="20"/>
                <w:szCs w:val="20"/>
                <w:color w:val="auto"/>
              </w:rPr>
            </w:pPr>
            <w:r>
              <w:rPr>
                <w:rFonts w:ascii="Times New Roman" w:cs="Times New Roman" w:eastAsia="Times New Roman" w:hAnsi="Times New Roman"/>
                <w:sz w:val="18"/>
                <w:szCs w:val="18"/>
                <w:color w:val="auto"/>
                <w:w w:val="95"/>
              </w:rPr>
              <w:t>F-2</w:t>
            </w:r>
          </w:p>
        </w:tc>
      </w:tr>
      <w:tr>
        <w:trPr>
          <w:trHeight w:val="223"/>
        </w:trPr>
        <w:tc>
          <w:tcPr>
            <w:tcW w:w="104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3"/>
        </w:trPr>
        <w:tc>
          <w:tcPr>
            <w:tcW w:w="87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2022, 2021 and 2020</w:t>
            </w:r>
          </w:p>
        </w:tc>
        <w:tc>
          <w:tcPr>
            <w:tcW w:w="166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F-5</w:t>
            </w:r>
          </w:p>
        </w:tc>
      </w:tr>
      <w:tr>
        <w:trPr>
          <w:trHeight w:val="223"/>
        </w:trPr>
        <w:tc>
          <w:tcPr>
            <w:tcW w:w="104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 as of December 31, 2022, 2021 and 2020</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F-6</w:t>
            </w:r>
          </w:p>
        </w:tc>
      </w:tr>
      <w:tr>
        <w:trPr>
          <w:trHeight w:val="223"/>
        </w:trPr>
        <w:tc>
          <w:tcPr>
            <w:tcW w:w="724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3160" w:type="dxa"/>
            <w:vAlign w:val="bottom"/>
            <w:gridSpan w:val="2"/>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F-7</w:t>
            </w:r>
          </w:p>
        </w:tc>
      </w:tr>
      <w:tr>
        <w:trPr>
          <w:trHeight w:val="223"/>
        </w:trPr>
        <w:tc>
          <w:tcPr>
            <w:tcW w:w="692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80" w:type="dxa"/>
            <w:vAlign w:val="bottom"/>
            <w:gridSpan w:val="3"/>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F-8</w:t>
            </w:r>
          </w:p>
        </w:tc>
      </w:tr>
      <w:tr>
        <w:trPr>
          <w:trHeight w:val="682"/>
        </w:trPr>
        <w:tc>
          <w:tcPr>
            <w:tcW w:w="3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574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F-1</w:t>
            </w:r>
          </w:p>
        </w:tc>
        <w:tc>
          <w:tcPr>
            <w:tcW w:w="84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Seres Therapeutics,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Seres Therapeutics, Inc. and its subsidiaries (the “Company”) as of December 31, 2022 and 2021, and the related consolidated statements of operations and comprehensive loss, of stockholders' equity (deficit)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4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the Company’s Ability to Continue as a Going Concern</w:t>
      </w:r>
    </w:p>
    <w:p>
      <w:pPr>
        <w:spacing w:after="0" w:line="20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losses and negative cash flows from operations since its inception and needs to raise additional capital to fund future operations,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0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ind w:right="320"/>
        <w:spacing w:after="0" w:line="282" w:lineRule="auto"/>
        <w:rPr>
          <w:sz w:val="20"/>
          <w:szCs w:val="20"/>
          <w:color w:val="auto"/>
        </w:rPr>
      </w:pPr>
      <w:r>
        <w:rPr>
          <w:rFonts w:ascii="Times New Roman" w:cs="Times New Roman" w:eastAsia="Times New Roman" w:hAnsi="Times New Roman"/>
          <w:sz w:val="18"/>
          <w:szCs w:val="18"/>
          <w:color w:val="auto"/>
        </w:rPr>
        <w:t>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Collaboration and License Agreement with Société des Produits Nestlé S.A. (Nestlé) Recognized Under an Input Method</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described in Notes 2 and 11 to the consolidated financial statements, the Company recognizes revenue arising from a collaboration and license agreement with Nestlé, which totaled $3.0 million for the year ended December 31, 2022. The promised goods and services represent one combined performance obligation and the entire transaction price was allocated to that single combined performance obligation. When management concludes that a contract should be accounted for as a combined performance obligation and recognized over-time, management must then determine the period over which revenue should be recognized and the method by which to measure revenue. Management generally recognizes revenue using a cost-based input method, which measures the extent of progress towards completion based on the ratio of actual costs incurred to the total estimated costs expected upon satisfying the performance obligation.</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for the collaboration and license agreement with Nestlé recognized under an input method is a critical audit matter are the significant judgment by management when determining the total estimated costs expected upon satisfying the performance obligation, which in turn led to significant auditor judgment, subjectivity and effort in performing procedures to evaluate the total estimated costs expected upon satisfying the performance obligation.</w:t>
      </w:r>
    </w:p>
    <w:p>
      <w:pPr>
        <w:spacing w:after="0" w:line="1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arising from the collaboration and license agreement with Nestlé, including controls over the total estimated costs expected upon satisfying the performance obligation. These procedures also included, among others, evaluating and testing management’s process for determining the total estimated costs expected upon satisfying the performance obligation, which included testing actual costs incurred and evaluating the reasonableness of estimated costs to satisfy the performance obligation. Evaluating the reasonableness of estimated costs to satisfy the performance obligation involved assessing management’s ability to reasonably estimate costs to satisfy the performance obligation by (i) evaluating the appropriateness of changes to management’s estimates of total costs to satisfy the performance obligation; (ii) performing a comparison of management’s prior period cost estimates to actual costs incurred; and (iii) evaluating whether the cost estimates used by management were reasonable considering consistency with industry and company-specific data.</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163,030</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180,002</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 term investments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110,704</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28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100" w:type="dxa"/>
            <w:vAlign w:val="bottom"/>
            <w:tcBorders>
              <w:bottom w:val="single" w:sz="8" w:color="CFF0FC"/>
            </w:tcBorders>
          </w:tcPr>
          <w:p>
            <w:pPr>
              <w:spacing w:after="0"/>
              <w:rPr>
                <w:sz w:val="20"/>
                <w:szCs w:val="20"/>
                <w:color w:val="auto"/>
              </w:rPr>
            </w:pPr>
          </w:p>
        </w:tc>
      </w:tr>
      <w:tr>
        <w:trPr>
          <w:trHeight w:val="241"/>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194,764</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303,628</w:t>
            </w:r>
          </w:p>
        </w:tc>
        <w:tc>
          <w:tcPr>
            <w:tcW w:w="100" w:type="dxa"/>
            <w:vAlign w:val="bottom"/>
            <w:shd w:val="clear" w:color="auto" w:fill="CFF0FC"/>
          </w:tcPr>
          <w:p>
            <w:pPr>
              <w:spacing w:after="0"/>
              <w:rPr>
                <w:sz w:val="20"/>
                <w:szCs w:val="20"/>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17,938</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110,984</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investments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investments</w:t>
            </w:r>
          </w:p>
        </w:tc>
        <w:tc>
          <w:tcPr>
            <w:tcW w:w="36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r>
      <w:tr>
        <w:trPr>
          <w:trHeight w:val="247"/>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348,784</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354,859</w:t>
            </w:r>
          </w:p>
        </w:tc>
        <w:tc>
          <w:tcPr>
            <w:tcW w:w="100" w:type="dxa"/>
            <w:vAlign w:val="bottom"/>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 (1)</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45,094</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 term portion of note payable, net of discount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shd w:val="clear" w:color="auto" w:fill="CFF0FC"/>
          </w:tcPr>
          <w:p>
            <w:pPr>
              <w:spacing w:after="0"/>
              <w:rPr>
                <w:sz w:val="21"/>
                <w:szCs w:val="21"/>
                <w:color w:val="auto"/>
              </w:rPr>
            </w:pPr>
          </w:p>
        </w:tc>
      </w:tr>
      <w:tr>
        <w:trPr>
          <w:trHeight w:val="232"/>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85,596</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 term portion of note payable, net of discount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 - related party</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92,430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86,998</w:t>
            </w:r>
          </w:p>
        </w:tc>
        <w:tc>
          <w:tcPr>
            <w:tcW w:w="100" w:type="dxa"/>
            <w:vAlign w:val="bottom"/>
            <w:shd w:val="clear" w:color="auto" w:fill="CFF0FC"/>
          </w:tcPr>
          <w:p>
            <w:pPr>
              <w:spacing w:after="0"/>
              <w:rPr>
                <w:sz w:val="21"/>
                <w:szCs w:val="2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 (2)</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00" w:type="dxa"/>
            <w:vAlign w:val="bottom"/>
          </w:tcPr>
          <w:p>
            <w:pPr>
              <w:spacing w:after="0"/>
              <w:rPr>
                <w:sz w:val="21"/>
                <w:szCs w:val="21"/>
                <w:color w:val="auto"/>
              </w:rPr>
            </w:pPr>
          </w:p>
        </w:tc>
      </w:tr>
      <w:tr>
        <w:trPr>
          <w:trHeight w:val="237"/>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338,001</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December 31, 2022 and 2021;</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shares issued and outstanding at December 31, 2022 and 2021, respectively</w:t>
            </w:r>
          </w:p>
        </w:tc>
        <w:tc>
          <w:tcPr>
            <w:tcW w:w="36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200,000,000 shares authorized at December 31, 2022 and 2021;</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125,222,273 and 91,889,418 shares issued and outstanding at December 31, 2022 and 2021,</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875,181</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745,829</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4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r>
      <w:tr>
        <w:trPr>
          <w:trHeight w:val="243"/>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(864,511 )</w:t>
            </w:r>
          </w:p>
        </w:tc>
        <w:tc>
          <w:tcPr>
            <w:tcW w:w="44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(614,354 )</w:t>
            </w:r>
          </w:p>
        </w:tc>
      </w:tr>
      <w:tr>
        <w:trPr>
          <w:trHeight w:val="237"/>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348,784</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354,859</w:t>
            </w:r>
          </w:p>
        </w:tc>
        <w:tc>
          <w:tcPr>
            <w:tcW w:w="100" w:type="dxa"/>
            <w:vAlign w:val="bottom"/>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-5151120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-5151120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-4062730</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-1851025</wp:posOffset>
            </wp:positionV>
            <wp:extent cx="6858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55" w:lineRule="exact"/>
        <w:rPr>
          <w:sz w:val="20"/>
          <w:szCs w:val="20"/>
          <w:color w:val="auto"/>
        </w:rPr>
      </w:pPr>
    </w:p>
    <w:p>
      <w:pPr>
        <w:ind w:left="200" w:hanging="192"/>
        <w:spacing w:after="0"/>
        <w:tabs>
          <w:tab w:leader="none" w:pos="200"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related party amounts of $34,770 and $21,098 at December 31, 2022 and December 31, 2021, respectively (see Note 11)</w:t>
      </w:r>
    </w:p>
    <w:p>
      <w:pPr>
        <w:spacing w:after="0" w:line="15" w:lineRule="exact"/>
        <w:rPr>
          <w:rFonts w:ascii="Times New Roman" w:cs="Times New Roman" w:eastAsia="Times New Roman" w:hAnsi="Times New Roman"/>
          <w:sz w:val="24"/>
          <w:szCs w:val="24"/>
          <w:color w:val="auto"/>
          <w:vertAlign w:val="superscript"/>
        </w:rPr>
      </w:pPr>
    </w:p>
    <w:p>
      <w:pPr>
        <w:ind w:left="200" w:hanging="192"/>
        <w:spacing w:after="0" w:line="186" w:lineRule="auto"/>
        <w:tabs>
          <w:tab w:leader="none" w:pos="200"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related party amounts of $0 and $10,585 at December 31, 2022 and December 31, 2021, respectively (see Note 11)</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143,857</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spacing w:after="0"/>
              <w:rPr>
                <w:sz w:val="21"/>
                <w:szCs w:val="21"/>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w:t>
            </w:r>
          </w:p>
        </w:tc>
        <w:tc>
          <w:tcPr>
            <w:tcW w:w="100" w:type="dxa"/>
            <w:vAlign w:val="bottom"/>
          </w:tcPr>
          <w:p>
            <w:pPr>
              <w:spacing w:after="0"/>
              <w:rPr>
                <w:sz w:val="21"/>
                <w:szCs w:val="21"/>
                <w:color w:val="auto"/>
              </w:rPr>
            </w:pPr>
          </w:p>
        </w:tc>
      </w:tr>
      <w:tr>
        <w:trPr>
          <w:trHeight w:val="237"/>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144,927</w:t>
            </w: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33,215</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172,920</w:t>
            </w:r>
          </w:p>
        </w:tc>
        <w:tc>
          <w:tcPr>
            <w:tcW w:w="1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141,891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90,570</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30,775</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Collaboration (profit) loss sharing - related party</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(1,732 )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209,420</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121,345</w:t>
            </w:r>
          </w:p>
        </w:tc>
        <w:tc>
          <w:tcPr>
            <w:tcW w:w="100" w:type="dxa"/>
            <w:vAlign w:val="bottom"/>
          </w:tcPr>
          <w:p>
            <w:pPr>
              <w:spacing w:after="0"/>
              <w:rPr>
                <w:sz w:val="21"/>
                <w:szCs w:val="21"/>
                <w:color w:val="auto"/>
              </w:rPr>
            </w:pPr>
          </w:p>
        </w:tc>
      </w:tr>
      <w:tr>
        <w:trPr>
          <w:trHeight w:val="237"/>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(64,493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(6,020 )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(2,910 )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(2,924 )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(1,045 )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21"/>
                <w:szCs w:val="2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(3,667 )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(1,085 )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(997 )</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(65,578</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(0.72 )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0"/>
        </w:trPr>
        <w:tc>
          <w:tcPr>
            <w:tcW w:w="6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108,077,043</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91,702,866</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79,789,220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investments, net of tax of $0</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(12 )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3"/>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21"/>
                <w:szCs w:val="21"/>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(250,109 )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(65,591 )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(89,174 )</w:t>
            </w:r>
          </w:p>
        </w:tc>
      </w:tr>
      <w:tr>
        <w:trPr>
          <w:trHeight w:val="20"/>
        </w:trPr>
        <w:tc>
          <w:tcPr>
            <w:tcW w:w="6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-2125345</wp:posOffset>
            </wp:positionV>
            <wp:extent cx="7747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-2125345</wp:posOffset>
            </wp:positionV>
            <wp:extent cx="6858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-1499235</wp:posOffset>
            </wp:positionV>
            <wp:extent cx="7747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-1499235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-839470</wp:posOffset>
            </wp:positionV>
            <wp:extent cx="208280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2082800" cy="1797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196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96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Par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1"/>
                <w:szCs w:val="11"/>
                <w:color w:val="auto"/>
              </w:rPr>
            </w:pPr>
          </w:p>
        </w:tc>
        <w:tc>
          <w:tcPr>
            <w:tcW w:w="1200" w:type="dxa"/>
            <w:vAlign w:val="bottom"/>
            <w:gridSpan w:val="3"/>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12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70,143,252</w:t>
            </w:r>
          </w:p>
        </w:tc>
        <w:tc>
          <w:tcPr>
            <w:tcW w:w="260" w:type="dxa"/>
            <w:vAlign w:val="bottom"/>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21"/>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411,255</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(459,649</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(48,324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404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from public</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offering, net of commissions, underwriting</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discounts and offering costs of $288</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12,075,000</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243,736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from Securities Purchase</w:t>
            </w: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Agreement, net of offering costs - related party of</w:t>
            </w: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$100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959,002</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19,899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4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from at the market equity</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offering, net of issuance costs of $673</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5,787,681</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2,214,011</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14,419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4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upon vesting of RSUs, net</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of tax withholdings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under ESPP plan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155,293</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(47 )</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28"/>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(89,127 )</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(89,127 )</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7"/>
                <w:szCs w:val="17"/>
                <w:b w:val="1"/>
                <w:bCs w:val="1"/>
                <w:color w:val="auto"/>
              </w:rPr>
              <w:t>Balance at December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91,459,239</w:t>
            </w:r>
          </w:p>
        </w:tc>
        <w:tc>
          <w:tcPr>
            <w:tcW w:w="2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723,482</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4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(548,776</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174,750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329,112</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under ESPP plan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100,417</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4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upon vesting of RSUs, net</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of tax withholdings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20,222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(13 )</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32"/>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(65,578 )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(65,578 )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91,889,418</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745,829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(60 )</w:t>
            </w: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(614,354 )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326,864</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4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upon vesting of RSUs and</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PSUs,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of tax withholdings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282,401</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322,560</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4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net of issuance costs of</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$3,279</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31,746,030</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from at the market equity</w:t>
            </w: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offering,</w:t>
            </w: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net of issuance costs of $310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655,000</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(250,157 )</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(250,157 )</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125,222,273</w:t>
            </w:r>
          </w:p>
        </w:tc>
        <w:tc>
          <w:tcPr>
            <w:tcW w:w="2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top w:val="single" w:sz="8" w:color="auto"/>
              <w:bottom w:val="single" w:sz="8" w:color="auto"/>
            </w:tcBorders>
            <w:shd w:val="clear" w:color="auto" w:fill="CFF0FC"/>
          </w:tcPr>
          <w:p>
            <w:pPr>
              <w:jc w:val="right"/>
              <w:ind w:right="521"/>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875,181</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(864,511</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10,783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-3419475</wp:posOffset>
            </wp:positionV>
            <wp:extent cx="77470" cy="2832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7470" cy="28321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-3419475</wp:posOffset>
            </wp:positionV>
            <wp:extent cx="77470" cy="283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7470" cy="28321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-3419475</wp:posOffset>
            </wp:positionV>
            <wp:extent cx="68580" cy="2832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-3419475</wp:posOffset>
            </wp:positionV>
            <wp:extent cx="68580" cy="2832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-3419475</wp:posOffset>
            </wp:positionV>
            <wp:extent cx="68580" cy="283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2832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-2279650</wp:posOffset>
            </wp:positionV>
            <wp:extent cx="7747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-2279650</wp:posOffset>
            </wp:positionV>
            <wp:extent cx="7747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-2279650</wp:posOffset>
            </wp:positionV>
            <wp:extent cx="6858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-2279650</wp:posOffset>
            </wp:positionV>
            <wp:extent cx="6858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-2279650</wp:posOffset>
            </wp:positionV>
            <wp:extent cx="6858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-24765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-8255</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(250,157 )</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(65,578 )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(89,127 )</w:t>
            </w:r>
          </w:p>
        </w:tc>
      </w:tr>
      <w:tr>
        <w:trPr>
          <w:trHeight w:val="215"/>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w:t>
            </w: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4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premiums on investments</w:t>
            </w:r>
          </w:p>
        </w:tc>
        <w:tc>
          <w:tcPr>
            <w:tcW w:w="4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Collaboration (profit) loss sharing - related party</w:t>
            </w:r>
          </w:p>
        </w:tc>
        <w:tc>
          <w:tcPr>
            <w:tcW w:w="4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(1,732 )</w:t>
            </w: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and non-current assets</w:t>
            </w:r>
          </w:p>
        </w:tc>
        <w:tc>
          <w:tcPr>
            <w:tcW w:w="4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(12,599 )</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(12,337 )</w:t>
            </w: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(2,186 )</w:t>
            </w:r>
          </w:p>
        </w:tc>
      </w:tr>
      <w:tr>
        <w:trPr>
          <w:trHeight w:val="239"/>
        </w:trPr>
        <w:tc>
          <w:tcPr>
            <w:tcW w:w="6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(7,602 )</w:t>
            </w:r>
          </w:p>
        </w:tc>
      </w:tr>
      <w:tr>
        <w:trPr>
          <w:trHeight w:val="247"/>
        </w:trPr>
        <w:tc>
          <w:tcPr>
            <w:tcW w:w="65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4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(7,128 )</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(4,357 )</w:t>
            </w: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(11,565 )</w:t>
            </w:r>
          </w:p>
        </w:tc>
      </w:tr>
      <w:tr>
        <w:trPr>
          <w:trHeight w:val="239"/>
        </w:trPr>
        <w:tc>
          <w:tcPr>
            <w:tcW w:w="6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(1,159 )</w:t>
            </w:r>
          </w:p>
        </w:tc>
      </w:tr>
      <w:tr>
        <w:trPr>
          <w:trHeight w:val="247"/>
        </w:trPr>
        <w:tc>
          <w:tcPr>
            <w:tcW w:w="65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(4,203 )</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(3,550 )</w:t>
            </w: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(4,456 )</w:t>
            </w:r>
          </w:p>
        </w:tc>
      </w:tr>
      <w:tr>
        <w:trPr>
          <w:trHeight w:val="243"/>
        </w:trPr>
        <w:tc>
          <w:tcPr>
            <w:tcW w:w="6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and long-term liabilities (3)</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43,025</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21"/>
                <w:szCs w:val="21"/>
                <w:color w:val="auto"/>
              </w:rPr>
            </w:pPr>
          </w:p>
        </w:tc>
      </w:tr>
      <w:tr>
        <w:trPr>
          <w:trHeight w:val="237"/>
        </w:trPr>
        <w:tc>
          <w:tcPr>
            <w:tcW w:w="6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(9,821 )</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(9,566 )</w:t>
            </w: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(591 )</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(48,221 )</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(95,971 )</w:t>
            </w:r>
          </w:p>
        </w:tc>
        <w:tc>
          <w:tcPr>
            <w:tcW w:w="3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(218,284 )</w:t>
            </w:r>
          </w:p>
        </w:tc>
      </w:tr>
      <w:tr>
        <w:trPr>
          <w:trHeight w:val="247"/>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4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169,625</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64,088</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(158,891 )</w:t>
            </w: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243,748</w:t>
            </w:r>
          </w:p>
        </w:tc>
        <w:tc>
          <w:tcPr>
            <w:tcW w:w="100" w:type="dxa"/>
            <w:vAlign w:val="bottom"/>
          </w:tcPr>
          <w:p>
            <w:pPr>
              <w:spacing w:after="0"/>
              <w:rPr>
                <w:sz w:val="20"/>
                <w:szCs w:val="20"/>
                <w:color w:val="auto"/>
              </w:rPr>
            </w:pPr>
          </w:p>
        </w:tc>
      </w:tr>
      <w:tr>
        <w:trPr>
          <w:trHeight w:val="215"/>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Securities Purchase Agreement, net of issuance costs -</w:t>
            </w: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related party</w:t>
            </w:r>
          </w:p>
        </w:tc>
        <w:tc>
          <w:tcPr>
            <w:tcW w:w="4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note payable</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at the market equity offering, net of issuance costs</w:t>
            </w:r>
          </w:p>
        </w:tc>
        <w:tc>
          <w:tcPr>
            <w:tcW w:w="4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24,773</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restricted common stock</w:t>
            </w:r>
          </w:p>
        </w:tc>
        <w:tc>
          <w:tcPr>
            <w:tcW w:w="4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4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(1,907 )</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(948 )</w:t>
            </w: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5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129,602</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303,424</w:t>
            </w:r>
          </w:p>
        </w:tc>
        <w:tc>
          <w:tcPr>
            <w:tcW w:w="100" w:type="dxa"/>
            <w:vAlign w:val="bottom"/>
            <w:tcBorders>
              <w:top w:val="single" w:sz="8" w:color="CFF0FC"/>
            </w:tcBorders>
          </w:tcPr>
          <w:p>
            <w:pPr>
              <w:spacing w:after="0"/>
              <w:rPr>
                <w:sz w:val="20"/>
                <w:szCs w:val="20"/>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4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71,954</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50,923</w:t>
            </w: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38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4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188,002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116,049</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171,215</w:t>
            </w:r>
          </w:p>
        </w:tc>
        <w:tc>
          <w:tcPr>
            <w:tcW w:w="100" w:type="dxa"/>
            <w:vAlign w:val="bottom"/>
          </w:tcPr>
          <w:p>
            <w:pPr>
              <w:spacing w:after="0"/>
              <w:rPr>
                <w:sz w:val="20"/>
                <w:szCs w:val="20"/>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188,002</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116,049</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Pr>
          <w:p>
            <w:pPr>
              <w:spacing w:after="0"/>
              <w:rPr>
                <w:sz w:val="20"/>
                <w:szCs w:val="20"/>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20"/>
                <w:szCs w:val="20"/>
                <w:color w:val="auto"/>
              </w:rPr>
            </w:pPr>
          </w:p>
        </w:tc>
      </w:tr>
      <w:tr>
        <w:trPr>
          <w:trHeight w:val="21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w:t>
            </w: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2"/>
        </w:trPr>
        <w:tc>
          <w:tcPr>
            <w:tcW w:w="6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4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Pr>
          <w:p>
            <w:pPr>
              <w:spacing w:after="0"/>
              <w:rPr>
                <w:sz w:val="20"/>
                <w:szCs w:val="20"/>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r>
      <w:tr>
        <w:trPr>
          <w:trHeight w:val="250"/>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arising from obtaining right-of-use assets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91,412</w:t>
            </w:r>
          </w:p>
        </w:tc>
        <w:tc>
          <w:tcPr>
            <w:tcW w:w="1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rent reclassified to right-of-use assets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tcPr>
          <w:p>
            <w:pPr>
              <w:spacing w:after="0"/>
              <w:rPr>
                <w:sz w:val="20"/>
                <w:szCs w:val="20"/>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-4340225</wp:posOffset>
            </wp:positionV>
            <wp:extent cx="7747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-4340225</wp:posOffset>
            </wp:positionV>
            <wp:extent cx="68580"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-4340225</wp:posOffset>
            </wp:positionV>
            <wp:extent cx="68580"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-3714115</wp:posOffset>
            </wp:positionV>
            <wp:extent cx="7747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-3714115</wp:posOffset>
            </wp:positionV>
            <wp:extent cx="685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-3714115</wp:posOffset>
            </wp:positionV>
            <wp:extent cx="685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-2016760</wp:posOffset>
            </wp:positionV>
            <wp:extent cx="7747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-2016760</wp:posOffset>
            </wp:positionV>
            <wp:extent cx="685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-2016760</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-1382395</wp:posOffset>
            </wp:positionV>
            <wp:extent cx="7747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-1382395</wp:posOffset>
            </wp:positionV>
            <wp:extent cx="685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-1382395</wp:posOffset>
            </wp:positionV>
            <wp:extent cx="685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3" w:lineRule="exact"/>
        <w:rPr>
          <w:sz w:val="20"/>
          <w:szCs w:val="20"/>
          <w:color w:val="auto"/>
        </w:rPr>
      </w:pPr>
    </w:p>
    <w:p>
      <w:pPr>
        <w:ind w:left="200" w:hanging="192"/>
        <w:spacing w:after="0"/>
        <w:tabs>
          <w:tab w:leader="none" w:pos="200"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related party amounts of $3,087 and $31,683 at December 31, 2022 and 2021 respectively (see Note 11)</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62"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microbiome therapeutics company developing a novel class of biological drugs, which are designed to treat disease by modulating the microbiome to restore health by repairing the function of a disrupted microbiome to a non-disease state. The Company’s lead product candidate, SER-109, is designed to reduce further recurrences of </w:t>
      </w:r>
      <w:r>
        <w:rPr>
          <w:rFonts w:ascii="Times New Roman" w:cs="Times New Roman" w:eastAsia="Times New Roman" w:hAnsi="Times New Roman"/>
          <w:sz w:val="18"/>
          <w:szCs w:val="18"/>
          <w:i w:val="1"/>
          <w:iCs w:val="1"/>
          <w:color w:val="auto"/>
        </w:rPr>
        <w:t>Clostridioides difficile</w:t>
      </w:r>
      <w:r>
        <w:rPr>
          <w:rFonts w:ascii="Times New Roman" w:cs="Times New Roman" w:eastAsia="Times New Roman" w:hAnsi="Times New Roman"/>
          <w:sz w:val="18"/>
          <w:szCs w:val="18"/>
          <w:color w:val="auto"/>
        </w:rPr>
        <w:t xml:space="preserve"> infection (“CDI”), a debilitating infection of the colon, in patients who have received antibiotic therapy for recurrent CDI by restructuring the colonic microbiome and changing its function. If approved by the U.S. Food and Drug Administration (“FDA”), the Company believes SER-109 will be a first-in-field oral microbiome drug. Building upon SER-109, the Company is developing therapeutic candidates, such as SER-155, to specifically target infections and antimicrobial resistance. SER-155, a microbiome therapeutic candidate consisting of a consortium of cultivated bacteria, is designed to reduce incidences of gastrointestinal infections, bloodstream infections and graft versus host disease ("GvHD”) in patients receiving allogeneic hematopoietic stem cell transplantation (“allo-HSCT”). The Company is progressing additional preclinical stage programs to evaluate how microbiome therapeutics may reduce incidence of infection, which the Company refers to as Infection Protection, in indications such as cancer neutropenia, chronic liver disease, solid organ transplant, and antimicrobial resistant infections more broadly in settings of high-risk such as intensive care units. The Company is also continuing its research activities in ulcerative colitis ("UC"), including evaluating the potential to utilize biomarker-based patient selection and stratification for future studies. In addition, the Company continues to leverage microbiome pharmacokinetic and pharmacodynamic data from across its clinical and preclinical portfolios, using its reverse translational microbiome therapeutic development platform to conduct research on various indications, including inflammatory and immune diseases, cancer, and metabolic diseases. The Company has built and deploys a reverse translational platform for the discovery and development of microbiome therapeutics. This platform incorporates high-resolution analysis of human clinical data to identify microbiome biomarkers associated with disease and non-disease states; preclinical screening using human cell-based assays and in vitro/ex vivo and in vivo disease models customized for microbiome therapeutics; and microbiological capabilities and a strain library that spans broad biological and functional breadth to both identify specific microbes and microbial metabolites that are associated with disease and to design consortia of bacteria with specific pharmacological properties.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assumes that the Company will continue as a going concern and that contemplates the realization of assets and satisfaction of liabilities and commitments in the normal course of business. As of December 31, 2022, the Company had an accumulated deficit of $864,511 and cash, cash equivalents and short- and long-term investments of $181,341.</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 Company operates in an environment of rapid change in technology and substantial competition from pharmaceutical and biotechnology companies. In addition, the Company is dependent upon the services of its employees and consultants.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 candidate developed will obtain necessary government regulatory approval or that any approved product will be commercially viable. Even if the Company’s product development efforts are successful, it is uncertain when, if ever, the Company will generate significant revenue from product sales.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Company's primary focus in recent months has been and will continue to be supporting the Biologics License Application ("BLA") submission for our lead product candidate, SER-109, and continuing to prepare for potential commercialization, including the manufacture of SER-109, until and continuing after the Prescription Drug User Fee Act ("PDUFA") target action date set by the FDA of April 26, 2023. The Company has commenced manufacture of SER-109 in consideration of potential commercialization, which requires capital and resources. Successful execution of the pre-commercialization activities required by our collaboration agreement with Société des Produits Nestlé S.A., successor in interest to Nestec Ltd., and NHSc Rx License GmbH, a significant stockholder of the Company and successor in interest to NHSc Pharma Partners (collectively, and together with their affiliates and subsidiaries, “Nestlé”), requires continued investment in readying for launch. Still, there can be no assurance that the BLA for SER-109, which is currently under priority review by the FDA, will be approved, that the FDA will complete its review of the BLA in the anticipated timeline, or that, in the event of approval, the demand for SER-109 will be sufficient to meet the Company's forecasted cash needs without raising significant additional capital.</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Company also has a credit facility (the "New Credit Facility") pursuant to a Loan and Security Agreement (the “Loan Agreement”) with Hercules Capital, Inc. ("Hercules," see Note 8,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which is collateralized by substantially all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Company’s assets excluding intellectual property. The Company is currently in compliance with the financial covenants in the New Credit Facility. The New Credit Facility includes a conditional liquidity covenant commencing on June 15, 2023, which ceases to apply if certain conditions are satisfied. Violation of any covenant under the New Credit Facility provides Hercules with the option to accelerate repayment of amounts borrowed and terminate its commitment to extend further credit, among other remedies as defined in the New Credit Facility.</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Primarily as a result of the increased and costly efforts to prepare for potential commercialization of SER-109, in conjunction with the Company's research and development efforts for other preclinical and product candidates, for </w:t>
      </w:r>
      <w:r>
        <w:rPr>
          <w:rFonts w:ascii="Times New Roman" w:cs="Times New Roman" w:eastAsia="Times New Roman" w:hAnsi="Times New Roman"/>
          <w:sz w:val="18"/>
          <w:szCs w:val="18"/>
          <w:color w:val="222222"/>
        </w:rPr>
        <w:t>the year ended December 31, 2022, the Company incurred a net loss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$250,157, and had net operating cash outflows of $228,816. The Company expects that its operating losses and negative cash flows will continue for the foreseeable future. </w:t>
      </w:r>
      <w:r>
        <w:rPr>
          <w:rFonts w:ascii="Times New Roman" w:cs="Times New Roman" w:eastAsia="Times New Roman" w:hAnsi="Times New Roman"/>
          <w:sz w:val="18"/>
          <w:szCs w:val="18"/>
          <w:color w:val="000000"/>
        </w:rPr>
        <w:t>The Company is eligible to receive contingent milestone payments under its license agreement with Nestlé executed in July 2021 (see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Note 11, </w:t>
      </w:r>
      <w:r>
        <w:rPr>
          <w:rFonts w:ascii="Times New Roman" w:cs="Times New Roman" w:eastAsia="Times New Roman" w:hAnsi="Times New Roman"/>
          <w:sz w:val="18"/>
          <w:szCs w:val="18"/>
          <w:i w:val="1"/>
          <w:iCs w:val="1"/>
          <w:color w:val="000000"/>
        </w:rPr>
        <w:t>Collaboration Revenue</w:t>
      </w:r>
      <w:r>
        <w:rPr>
          <w:rFonts w:ascii="Times New Roman" w:cs="Times New Roman" w:eastAsia="Times New Roman" w:hAnsi="Times New Roman"/>
          <w:sz w:val="18"/>
          <w:szCs w:val="18"/>
          <w:color w:val="000000"/>
        </w:rPr>
        <w:t>) if certain development, regulatory approval or sales target milestones are achieved. Upon approval of the BLA, the Company is entitled to receive an additional $125,000 payment from Nestlé, and a $25,000 tranche under the New Credit Facility, which becomes available upon the satisfaction of certain conditions, including FDA approval of SER-109. Additionally, following FDA approval, the Company will be eligible to receive payments from Nestlé for the supply of SER-109. In the event of commercial sale of SER-109, the Company will be entitled to share equally in its commercial profits and losses. The payments under the 2021 License Agreement and the additional tranche under the New Credit Facility are uncertain and there is no assurance that the Company will receive any of them, because they are contingent upon approval of the Company's BLA, which is currently under priority review by the FDA. Based on the Company's currently available cash resources, current and forecasted level of operations, and forecasted cash flows for the 12 month period subsequent to the date of issuance of these consolidated financial statements, in the absence of approval of SER-109 by the FDA, and therefore, without the receipt of the approval milestone and other payments to which it is entitled to receive as a result thereof, the Company believes it is reasonably likely that it will require additional funding in early 2024. These factors raise substantial doubt about the Company’s ability to continue as a going concern.</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Management's plans to mitigate the conditions that raise substantial doubt about the Company’s ability to continue as a going concern include continuing to seek regulatory approval of the BLA for SER-109 and therefore earning the $125,000 milestone payment from Nestlé and becoming eligible for the $25,000 tranche under the New Credit Facility, as well as the ability to commercialize SER-109 and receive payments from Nestlé for the supply of SER-109, and share equally in commercial profits and losses with Nestlé pursuant to the 2021 License Agreement. Management may also seek to raise additional capital through financing or other transactions, including the Company's at the market equity offering. Because certain elements of the Company’s operating plan are outside of the Company’s control, primarily the approval of its BLA for SER-109, which has not occurred as of the issuance of these consolidated financial statements, and the ability to raise capital through an equity or other financing, those elements cannot be considered probable according to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xml:space="preserve"> ("ASC 205-40"), and therefore cannot be considered in the evaluation of mitigating factors. As a result, management has concluded that substantial doubt exists about the Company’s ability to continue as a going concern for 12 months from the date these consolidated financial statements are issued.</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 and include the accounts of the Company and its wholly owned subsidiaries after elimination of all intercompany accounts and transactions.</w:t>
      </w:r>
    </w:p>
    <w:p>
      <w:pPr>
        <w:spacing w:after="0" w:line="280" w:lineRule="exact"/>
        <w:rPr>
          <w:sz w:val="20"/>
          <w:szCs w:val="20"/>
          <w:color w:val="auto"/>
        </w:rPr>
      </w:pPr>
    </w:p>
    <w:p>
      <w:pPr>
        <w:ind w:right="7340" w:firstLine="8"/>
        <w:spacing w:after="0" w:line="378" w:lineRule="auto"/>
        <w:tabs>
          <w:tab w:leader="none" w:pos="509"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In these consolidated financial statements, the Company uses estimates and assumptions related to revenue recognition and the accrual of research and development expenses. Estimates are periodically reviewed in light of changes in circumstances, facts and experience. Actual results could differ from the Company’s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90 days or less at acquisition date to be cash equivalents. Cash equivalents, which consist of money market accounts, commercial paper and corporate bonds purchased with original maturities of less than 90 days from the date of purchase, are stated at fair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classifies all of its marketable debt securities as available-for-sale securities. Accordingly, these marketable debt securities are recorded at fair value and unrealized gains and losses are reported as a separate component of accumulated other comprehensive loss in stockholders’ equity (deficit), unless the Company has determined that the security has experienced a credit loss, or the Company expects to sell the security prior to the recovery of its unrealized losses. In such cases a security is considered impaired, and adjusted through a charge to the consolidated statement of operations and comprehensive loss. The cost of securities sold is determined on a specific identification basis, and realized gains and losses are included in other income (expense) within the consolidated statement of operations and comprehensive loss. No credit losses were recorded during the years ended December 31, 2022, 2021, and 2020.</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classifies its available-for-sale marketable debt securities as current assets on the consolidated balance sheet if they mature within one year from the balance sheet date. Any available-for-sale marketable debt securities with maturities greater than one year from the balance sheet date are classified as long-term assets on the consolidated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Investments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held investments of $1,401 as of December 31, 2022 and 2021, in a separate restricted bank account as a security deposit for the lease of the Company’s headquarters in Cambridge, Massachusetts. The Company has classified these deposits as long-term restricted investments on its consolidated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held restricted cash of $8,185 and $8,000 as of December 31, 2022 and 2021, respectively, which represents cash held for the benefit of the landlord for the Company's other leases. The Company has classified the restricted cash as long-term on its consolidated balance sheet as the underlying leases are greater than 1 year.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and restricted cash were comprised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70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163,030</w:t>
            </w:r>
          </w:p>
        </w:tc>
        <w:tc>
          <w:tcPr>
            <w:tcW w:w="10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171,215</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188,002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and investments. The Company has all cash, cash equivalents and investments balances at accredited financial institutions, in amounts that exceed federally insured limits. The Company does not believe that it is subject to unusual credit risk beyond the normal credit risk associated with commercial banking relationships.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in accordance with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cash equivalents and investments are carried at fair value, determined according to the fair value hierarchy described above. The Company’s investments in certificates of deposit are carried at amortized cost, which approximates fair value. The carrying values of the Company’s prepaid expenses and other current and non-current assets, accounts payable and accrued expenses approximate their respective fair values due to the short-term nature of these assets and liabilities. The carrying value of the Company’s long-term debt approximates its fair value (a level 2 measurement) at each balance sheet date due to its variable interest rate, which approximates a market interest 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useful life of the asset, which are as follows:</w:t>
      </w:r>
    </w:p>
    <w:p>
      <w:pPr>
        <w:spacing w:after="0" w:line="156"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w:t>
            </w:r>
          </w:p>
        </w:tc>
      </w:tr>
      <w:tr>
        <w:trPr>
          <w:trHeight w:val="187"/>
        </w:trPr>
        <w:tc>
          <w:tcPr>
            <w:tcW w:w="664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furniture and office equipment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5"/>
        </w:trPr>
        <w:tc>
          <w:tcPr>
            <w:tcW w:w="664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Lesser of useful life</w:t>
            </w:r>
          </w:p>
        </w:tc>
      </w:tr>
      <w:tr>
        <w:trPr>
          <w:trHeight w:val="24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or lease term</w:t>
            </w:r>
          </w:p>
        </w:tc>
      </w:tr>
    </w:tbl>
    <w:p>
      <w:pPr>
        <w:spacing w:after="0" w:line="19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and equipment and right-of-use assets associated with our lease agreements. All of the Company's long-lived assets are to be held and used and have definitive lives and accordingly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Contract Costs and Accruals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and prepaid balances at the end of any reporting period. Actual results could differ from the Company’s estimates. The Company’s historical accrual estimates have not been materially different from the actual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non-employees, and directors based on the fair value on the date of the grant and recognizes compensation expense of those awards over the requisite service period, which is generally the vesting period of the respective award. Generally, the Company issues stock options, restricted stock units and restricted stock awards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of stock-based awards as they occur rather than applying an estimated forfeiture rate to stock-based compensation expense.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each stock option grant is estimated on the date of grant using the Black- Scholes option-pricing model. The Company estimates its expected common stock volatility based on its historical common stock volatility for the same time period. The Company uses the simplified method prescribed by Securities and Exchange Commission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of options granted to employees, non-employees and directors.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guidance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applies to all contracts with customers, except those contracts that are within the scope of other guidance, such as leases, insurance, and financial instruments. The Company enters into agreements that are within the scope of ASC 606, under which the Company licenses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an entity recognizes revenue when its customer obtains control of promised goods or services, in an amount that reflects the consideration which the entity expects to receive in exchange for those goods or services. When determining the timing and extent of revenue recognition for arrangements that the Company determines are within the scope of ASC 606, the Company performs the following five steps:</w:t>
      </w:r>
    </w:p>
    <w:p>
      <w:pPr>
        <w:spacing w:after="0" w:line="82" w:lineRule="exact"/>
        <w:rPr>
          <w:sz w:val="20"/>
          <w:szCs w:val="20"/>
          <w:color w:val="auto"/>
        </w:rPr>
      </w:pPr>
    </w:p>
    <w:p>
      <w:pPr>
        <w:ind w:left="1500" w:hanging="743"/>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6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only applies the five-step model to contracts when it is probable that the entity will collect the consideration to which it is entitled in exchange for the goods or services transferred to the customer.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the Company’s intellectual property and/or research and development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2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determines the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for deferred revenue.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does not assess whether a contract has a significant financing component if the expectation at contract inception is that the period between payment by the customer and the transfer of the promised goods or services to the customer will be one year or less. Incremental costs of obtaining a contract are expensed as and when incurred if the expected period over which the Company would have amortized the asset is one year or less, or the amount is immaterial.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Arrangements with collaborators may include licenses to intellectual property, research and development services, manufacturing services for clinical and commercial supply, and participation on joint steering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development of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When the Company concludes that a contract should be accounted for as a combined performance obligation and recognized over time, the Company must then determine the period over which revenue should be recognized and the method by which to measure revenue. The Company generally recognizes revenue using a cost-based input method.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of intellectual property</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revenue allocated to the license when the license is transferred to the customer and the customer is able to use and benefit from the license. For licenses that are bundled with other promises, the Company utilizes judgment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The Company evaluates the measure of progress each reporting period and, if necessary, adjusts the measure of progress and related revenue recognition.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developmental and regulatory milestone payments, the Company evaluates 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evaluates each milestone to determine when and 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To date, the Company has not recognized any revenue related to sales-based royalties or milestone payments based on the level of sales.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supply services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arrangements that include a promise of supply of clinical or commercial product, the Company determines if the supply is a promise in the contract or a future obligation at the customer’s option. If determined to be a promise at inception of the contract, the Company evaluates the promise to determine whether it is a separate performance obligation or a component of a bundled performance obligation. If determined to be an option, the Company determines if the option provides a material right to the customer and if so, accounts for the option as a separate performance obligation. If determined to be an option but not a material right, the Company accounts for the option as a separate contract when the customer elects to exercise the option.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government contracts that reimburse the Company for certain allowable costs for funded projects. For contracts with government agencies, when the Company has concluded that it is the principal in conducting the research and development expenses, and where the funding arrangement is considered central to the Company’s ongoing operations, the Company classifies the recognized funding received as revenue.</w:t>
      </w:r>
    </w:p>
    <w:p>
      <w:pPr>
        <w:spacing w:after="0" w:line="22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concluded to recognize funding received as revenue, rather than as a reduction of research and development expenses, because the Company is the principal in conducting the research and development activities and these contracts are central to its ongoing operations. Revenue is recognized as the qualifying expenses related to the contracts are incurred. Revenue recognized upon incurring qualifying expenses in advance of receipt of funding is recorded in the Company’s consolidated balance sheet as accounts receivable. The related costs incurred by the Company are included in research and development expense in the Company’s consolidated statements of operations and comprehensive loss.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Profit and Loss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analyze our collaboration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which includes determining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we first determine which elements of the collaboration are deemed to be within the scope of ASC 808 and those that are more reflective of a vendor-customer relationship and therefore within the scope of ASC 606. For those elements of the arrangement that are accounted for pursuant to ASC 606, we apply the five-step model prescribed in ASC 606, as described above. For elements of collaboration arrangements that are accounted for pursuant to ASC 808, an appropriate recognition method is determined and applied consistently, generally by analogy to ASC 606. In arrangements where we do not deem our collaborator to be our customer, up-front payments from our collaborator are presented in the consolidated balance sheets as liabilities, and adjusted as we perform activities pursuant to the collaboration arrangement. As the Company and its collaborator perform activities pursuant to the arrangement, amounts due to or from the Company or the collaborator, based on the relative contributions of activities of each party, are recognized in the consolidated statements of operations and comprehensive loss as an increase or reduction in operating expenses based on the nature of the payments.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Company’s singular focus is on developing microbiome therapeutics to treat the modulation of the colonic microbiome. Revenue to date has been generated solely through the Company's agreements with its collaborators, all of which has been earned in the United States. All tangible assets are held in the United States.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For the years ended December 31, 2022, 2021 and 2020, other comprehensive income (loss) consisted of changes in unrealized gains (losses) from available-for-sale investments and a currency translation adjustment.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 common stockholders. The two-class method is an earnings allocation formula that treats a participating security as having rights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earnings that otherwise would have been available to common stockholders. However, the two-class method does not impact the net loss per share of common stock as the Company was in a net loss position for each of the periods presented.</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convertible preferred stock contractually entitle the holders of such shares to participate in dividends but do not contractually require the holders of such shares to participate in losses of the Company. Similarly, restricted stock awards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or contains a lease at inception.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the consolidated balance sheet for all leases with an initial lease term of greater than 12 months. Leases with an initial term of 12 months or less are not recorded on the balance sheet, but payments are recognized as expense on a straight-line basis over the lease term. The Company has elected not to record a right-of-use asset or lease liability for leases with terms of 12 months or less.</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lease qualifies as a finance lease if any of the following criteria are met at the inception of the lease: (i) there is a transfer of ownership of the leased asset to the Company by the end of the lease term, (ii) the Company holds an option to purchase the leased asset that it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w:t>
      </w:r>
    </w:p>
    <w:p>
      <w:pPr>
        <w:spacing w:after="0" w:line="3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3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the rate implicit is not readily determinable, the Company utilizes an estimate of its incremental borrowing rate based upon the available information at the lease commencement date. Operating lease assets are further adjusted for prepaid or accrued lease payments. Operating lease payments are expensed using the straight-line method as an operating expense over the lease term. The Company’s lease terms may include options to extend or terminate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Right-of-use assets and lease liabilities are reassessed and remeasured when amendments to the terms of the lease agreement require reassessment and remeasurement of the lease payments and other inputs to the calculation of right-of-use assets and lease liabilities. The Company accounts for remeasurements and modifications to lease liabilities using the present value of remaining lease payments and estimated incremental borrowing rate at the date of remeasurement. The adjustment to the lease liability is recognized as a gain or loss in operating expenses, or as an adjustment to the right-of-use asset, as appropriate, based on the terms and conditions within the lease that are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Measurement of Credit Losses on Financial Instruments (‘‘ASU 2016-13’’), which requires the measurement and recognition of expected credit losses for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may result in earlier recognition of credit losses. In November 2018, the FASB issued ASU No. 2018-19, </w:t>
      </w:r>
      <w:r>
        <w:rPr>
          <w:rFonts w:ascii="Times New Roman" w:cs="Times New Roman" w:eastAsia="Times New Roman" w:hAnsi="Times New Roman"/>
          <w:sz w:val="18"/>
          <w:szCs w:val="18"/>
          <w:i w:val="1"/>
          <w:iCs w:val="1"/>
          <w:color w:val="auto"/>
        </w:rPr>
        <w:t>Codification Improvements to Topic 326, Financial Instruments—Credit Losses</w:t>
      </w:r>
      <w:r>
        <w:rPr>
          <w:rFonts w:ascii="Times New Roman" w:cs="Times New Roman" w:eastAsia="Times New Roman" w:hAnsi="Times New Roman"/>
          <w:sz w:val="18"/>
          <w:szCs w:val="18"/>
          <w:color w:val="auto"/>
        </w:rPr>
        <w:t xml:space="preserve">, which narrowed the scope and changed the effective date for non-public entities for ASU 2016-13. The FASB subsequently issued supplemental guidance within ASU No. 2019-05, </w:t>
      </w:r>
      <w:r>
        <w:rPr>
          <w:rFonts w:ascii="Times New Roman" w:cs="Times New Roman" w:eastAsia="Times New Roman" w:hAnsi="Times New Roman"/>
          <w:sz w:val="18"/>
          <w:szCs w:val="18"/>
          <w:i w:val="1"/>
          <w:iCs w:val="1"/>
          <w:color w:val="auto"/>
        </w:rPr>
        <w:t>Financial Instruments—Credit Losses (Topic 326): Targeted Transition Relief</w:t>
      </w:r>
      <w:r>
        <w:rPr>
          <w:rFonts w:ascii="Times New Roman" w:cs="Times New Roman" w:eastAsia="Times New Roman" w:hAnsi="Times New Roman"/>
          <w:sz w:val="18"/>
          <w:szCs w:val="18"/>
          <w:color w:val="auto"/>
        </w:rPr>
        <w:t xml:space="preserve"> (‘‘ASU 2019-05’’). ASU 2019-05 provides an option to irrevocably elect the fair value option for certain financial assets previously measured at amortized cost basis. For public entities that are Securities and Exchange Commission ("SEC")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is permitted. The Company adopted the new standard using a modified retrospective approach as of January 1, 2022. The adoption of this standard did not have a material impact on the Company's consolidated financial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considered all recent accounting pronouncements issued. The Company’s management believes that these recent pronouncements will not have a material effect on the Company’s financial statements.</w:t>
      </w:r>
    </w:p>
    <w:p>
      <w:pPr>
        <w:spacing w:after="0" w:line="266"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2022 Using:</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shd w:val="clear" w:color="auto" w:fill="CFF0FC"/>
          </w:tcPr>
          <w:p>
            <w:pPr>
              <w:spacing w:after="0"/>
              <w:rPr>
                <w:sz w:val="21"/>
                <w:szCs w:val="21"/>
                <w:color w:val="auto"/>
              </w:rPr>
            </w:pPr>
          </w:p>
        </w:tc>
      </w:tr>
      <w:tr>
        <w:trPr>
          <w:trHeight w:val="23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securities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FF0FC"/>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securities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00" w:type="dxa"/>
            <w:vAlign w:val="bottom"/>
          </w:tcPr>
          <w:p>
            <w:pPr>
              <w:spacing w:after="0"/>
              <w:rPr>
                <w:sz w:val="21"/>
                <w:szCs w:val="21"/>
                <w:color w:val="auto"/>
              </w:rPr>
            </w:pPr>
          </w:p>
        </w:tc>
      </w:tr>
      <w:tr>
        <w:trPr>
          <w:trHeight w:val="232"/>
        </w:trPr>
        <w:tc>
          <w:tcPr>
            <w:tcW w:w="46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34,968</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82,831</w:t>
            </w:r>
          </w:p>
        </w:tc>
        <w:tc>
          <w:tcPr>
            <w:tcW w:w="10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 Using:</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40,095</w:t>
            </w:r>
          </w:p>
        </w:tc>
        <w:tc>
          <w:tcPr>
            <w:tcW w:w="100" w:type="dxa"/>
            <w:vAlign w:val="bottom"/>
          </w:tcPr>
          <w:p>
            <w:pPr>
              <w:spacing w:after="0"/>
              <w:rPr>
                <w:sz w:val="20"/>
                <w:szCs w:val="20"/>
                <w:color w:val="auto"/>
              </w:rPr>
            </w:pPr>
          </w:p>
        </w:tc>
      </w:tr>
      <w:tr>
        <w:trPr>
          <w:trHeight w:val="247"/>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7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185,520</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-187960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6858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6032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Money market funds are valued by the Company based on quoted market prices, which represent a Level 1 measurement within the fair value hierarchy. Commercial paper, corporate bonds, and government securities are valued by the Company using quoted prices in active markets for similar securities, which represent a Level 2 measurement within the fair value hierarchy. There were no transfers between Level 1 or Level 2 during the years ended December 31, 2022 and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held a restricted investment of $1,401, which represents a certificate of deposit that is classified as Level 2 in the fair value hierarchy.</w:t>
      </w:r>
    </w:p>
    <w:p>
      <w:pPr>
        <w:spacing w:after="0" w:line="266"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by security type consisted of the following at December 31, 2022 and 2021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3"/>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20" w:type="dxa"/>
            <w:vAlign w:val="bottom"/>
          </w:tcPr>
          <w:p>
            <w:pPr>
              <w:jc w:val="right"/>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45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r>
      <w:tr>
        <w:trPr>
          <w:trHeight w:val="187"/>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 w:type="dxa"/>
            <w:vAlign w:val="bottom"/>
          </w:tcPr>
          <w:p>
            <w:pPr>
              <w:spacing w:after="0"/>
              <w:rPr>
                <w:sz w:val="16"/>
                <w:szCs w:val="16"/>
                <w:color w:val="auto"/>
              </w:rPr>
            </w:pPr>
          </w:p>
        </w:tc>
        <w:tc>
          <w:tcPr>
            <w:tcW w:w="14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3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spacing w:after="0"/>
              <w:rPr>
                <w:sz w:val="20"/>
                <w:szCs w:val="20"/>
                <w:color w:val="auto"/>
              </w:rPr>
            </w:pPr>
          </w:p>
        </w:tc>
        <w:tc>
          <w:tcPr>
            <w:tcW w:w="5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FF0FC"/>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00" w:type="dxa"/>
            <w:vAlign w:val="bottom"/>
          </w:tcPr>
          <w:p>
            <w:pPr>
              <w:spacing w:after="0"/>
              <w:rPr>
                <w:sz w:val="21"/>
                <w:szCs w:val="21"/>
                <w:color w:val="auto"/>
              </w:rPr>
            </w:pPr>
          </w:p>
        </w:tc>
      </w:tr>
      <w:tr>
        <w:trPr>
          <w:trHeight w:val="272"/>
        </w:trPr>
        <w:tc>
          <w:tcPr>
            <w:tcW w:w="38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23"/>
                <w:szCs w:val="23"/>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23"/>
                <w:szCs w:val="23"/>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top w:val="single" w:sz="8" w:color="auto"/>
              <w:bottom w:val="single" w:sz="8" w:color="auto"/>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FF0FC"/>
          </w:tcPr>
          <w:p>
            <w:pPr>
              <w:spacing w:after="0"/>
              <w:rPr>
                <w:sz w:val="23"/>
                <w:szCs w:val="2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03"/>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3"/>
          </w:tcPr>
          <w:p>
            <w:pPr>
              <w:ind w:lef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39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r>
      <w:tr>
        <w:trPr>
          <w:trHeight w:val="187"/>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 w:type="dxa"/>
            <w:vAlign w:val="bottom"/>
          </w:tcPr>
          <w:p>
            <w:pPr>
              <w:spacing w:after="0"/>
              <w:rPr>
                <w:sz w:val="16"/>
                <w:szCs w:val="16"/>
                <w:color w:val="auto"/>
              </w:rPr>
            </w:pPr>
          </w:p>
        </w:tc>
        <w:tc>
          <w:tcPr>
            <w:tcW w:w="14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3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40,123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40,095</w:t>
            </w:r>
          </w:p>
        </w:tc>
        <w:tc>
          <w:tcPr>
            <w:tcW w:w="100" w:type="dxa"/>
            <w:vAlign w:val="bottom"/>
            <w:shd w:val="clear" w:color="auto" w:fill="CFF0FC"/>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64,854</w:t>
            </w:r>
          </w:p>
        </w:tc>
        <w:tc>
          <w:tcPr>
            <w:tcW w:w="100" w:type="dxa"/>
            <w:vAlign w:val="bottom"/>
          </w:tcPr>
          <w:p>
            <w:pPr>
              <w:spacing w:after="0"/>
              <w:rPr>
                <w:sz w:val="21"/>
                <w:szCs w:val="21"/>
                <w:color w:val="auto"/>
              </w:rPr>
            </w:pPr>
          </w:p>
        </w:tc>
      </w:tr>
      <w:tr>
        <w:trPr>
          <w:trHeight w:val="272"/>
        </w:trPr>
        <w:tc>
          <w:tcPr>
            <w:tcW w:w="38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111,258</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top w:val="single" w:sz="8" w:color="auto"/>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111,199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-1319530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-1302385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-1319530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-1302385</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-1319530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-1302385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-1319530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-1302385</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Investments with original maturities of less than 90 days are included in cash and cash equivalents on the consolidated balance sheets and are not included in the table above. Investments with maturities of less than twelve months are considered current assets and those investments with maturities greater than twelve months are considered non-current assets.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Excluded from the tables above at December 31, 2022 and 2021 are restricted investments of $1,401, as the cost approximates current fair value.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amortized cost and fair value of investments in commercial paper, corporate bonds, and government securities by contractual maturity,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were as follows (in thousands):</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00" w:type="dxa"/>
            <w:vAlign w:val="bottom"/>
          </w:tcPr>
          <w:p>
            <w:pPr>
              <w:spacing w:after="0"/>
              <w:rPr>
                <w:sz w:val="16"/>
                <w:szCs w:val="16"/>
                <w:color w:val="auto"/>
              </w:rPr>
            </w:pPr>
          </w:p>
        </w:tc>
      </w:tr>
      <w:tr>
        <w:trPr>
          <w:trHeight w:val="169"/>
        </w:trPr>
        <w:tc>
          <w:tcPr>
            <w:tcW w:w="69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1-year or less</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100" w:type="dxa"/>
            <w:vAlign w:val="bottom"/>
            <w:shd w:val="clear" w:color="auto" w:fill="CFF0FC"/>
          </w:tcPr>
          <w:p>
            <w:pPr>
              <w:spacing w:after="0"/>
              <w:rPr>
                <w:sz w:val="20"/>
                <w:szCs w:val="20"/>
                <w:color w:val="auto"/>
              </w:rPr>
            </w:pPr>
          </w:p>
        </w:tc>
      </w:tr>
      <w:tr>
        <w:trPr>
          <w:trHeight w:val="24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Due after 1-year through 5-years</w:t>
            </w: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2"/>
        </w:trPr>
        <w:tc>
          <w:tcPr>
            <w:tcW w:w="69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amortized cost and fair value of investments in commercial paper, corporate bonds, and government securities by contractual maturity,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1-year or less</w:t>
            </w:r>
          </w:p>
        </w:tc>
        <w:tc>
          <w:tcPr>
            <w:tcW w:w="3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110,762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Due after 1-year through 5-years</w:t>
            </w:r>
          </w:p>
        </w:tc>
        <w:tc>
          <w:tcPr>
            <w:tcW w:w="3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2"/>
        </w:trPr>
        <w:tc>
          <w:tcPr>
            <w:tcW w:w="580" w:type="dxa"/>
            <w:vAlign w:val="bottom"/>
          </w:tcPr>
          <w:p>
            <w:pPr>
              <w:spacing w:after="0"/>
              <w:rPr>
                <w:sz w:val="23"/>
                <w:szCs w:val="23"/>
                <w:color w:val="auto"/>
              </w:rPr>
            </w:pPr>
          </w:p>
        </w:tc>
        <w:tc>
          <w:tcPr>
            <w:tcW w:w="3620" w:type="dxa"/>
            <w:vAlign w:val="bottom"/>
            <w:tcBorders>
              <w:bottom w:val="single" w:sz="8" w:color="CFF0FC"/>
            </w:tcBorders>
            <w:shd w:val="clear" w:color="auto" w:fill="CFF0FC"/>
          </w:tcPr>
          <w:p>
            <w:pPr>
              <w:spacing w:after="0"/>
              <w:rPr>
                <w:sz w:val="23"/>
                <w:szCs w:val="23"/>
                <w:color w:val="auto"/>
              </w:rPr>
            </w:pPr>
          </w:p>
        </w:tc>
        <w:tc>
          <w:tcPr>
            <w:tcW w:w="33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111,258</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111,199</w:t>
            </w: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r>
      <w:tr>
        <w:trPr>
          <w:trHeight w:val="633"/>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640" w:type="dxa"/>
            <w:vAlign w:val="bottom"/>
            <w:gridSpan w:val="2"/>
          </w:tcPr>
          <w:p>
            <w:pPr>
              <w:jc w:val="right"/>
              <w:ind w:right="1950"/>
              <w:spacing w:after="0"/>
              <w:rPr>
                <w:sz w:val="20"/>
                <w:szCs w:val="20"/>
                <w:color w:val="auto"/>
              </w:rPr>
            </w:pPr>
            <w:r>
              <w:rPr>
                <w:rFonts w:ascii="Times New Roman" w:cs="Times New Roman" w:eastAsia="Times New Roman" w:hAnsi="Times New Roman"/>
                <w:sz w:val="18"/>
                <w:szCs w:val="18"/>
                <w:color w:val="auto"/>
              </w:rPr>
              <w:t>F-18</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-521970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-504825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78"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w:t>
      </w:r>
    </w:p>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24,533</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19,137</w:t>
            </w:r>
          </w:p>
        </w:tc>
        <w:tc>
          <w:tcPr>
            <w:tcW w:w="80" w:type="dxa"/>
            <w:vAlign w:val="bottom"/>
            <w:shd w:val="clear" w:color="auto" w:fill="CFF0FC"/>
          </w:tcPr>
          <w:p>
            <w:pPr>
              <w:spacing w:after="0"/>
              <w:rPr>
                <w:sz w:val="20"/>
                <w:szCs w:val="20"/>
                <w:color w:val="auto"/>
              </w:rPr>
            </w:pPr>
          </w:p>
        </w:tc>
      </w:tr>
      <w:tr>
        <w:trPr>
          <w:trHeight w:val="23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tcPr>
          <w:p>
            <w:pPr>
              <w:spacing w:after="0"/>
              <w:rPr>
                <w:sz w:val="20"/>
                <w:szCs w:val="20"/>
                <w:color w:val="auto"/>
              </w:rPr>
            </w:pPr>
          </w:p>
        </w:tc>
      </w:tr>
      <w:tr>
        <w:trPr>
          <w:trHeight w:val="247"/>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shd w:val="clear" w:color="auto" w:fill="CFF0FC"/>
          </w:tcPr>
          <w:p>
            <w:pPr>
              <w:spacing w:after="0"/>
              <w:rPr>
                <w:sz w:val="21"/>
                <w:szCs w:val="21"/>
                <w:color w:val="auto"/>
              </w:rPr>
            </w:pPr>
          </w:p>
        </w:tc>
      </w:tr>
      <w:tr>
        <w:trPr>
          <w:trHeight w:val="23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80" w:type="dxa"/>
            <w:vAlign w:val="bottom"/>
          </w:tcPr>
          <w:p>
            <w:pPr>
              <w:spacing w:after="0"/>
              <w:rPr>
                <w:sz w:val="20"/>
                <w:szCs w:val="20"/>
                <w:color w:val="auto"/>
              </w:rPr>
            </w:pPr>
          </w:p>
        </w:tc>
      </w:tr>
      <w:tr>
        <w:trPr>
          <w:trHeight w:val="247"/>
        </w:trPr>
        <w:tc>
          <w:tcPr>
            <w:tcW w:w="6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58,206</w:t>
            </w:r>
          </w:p>
        </w:tc>
        <w:tc>
          <w:tcPr>
            <w:tcW w:w="80" w:type="dxa"/>
            <w:vAlign w:val="bottom"/>
          </w:tcPr>
          <w:p>
            <w:pPr>
              <w:spacing w:after="0"/>
              <w:rPr>
                <w:sz w:val="20"/>
                <w:szCs w:val="20"/>
                <w:color w:val="auto"/>
              </w:rPr>
            </w:pPr>
          </w:p>
        </w:tc>
      </w:tr>
      <w:tr>
        <w:trPr>
          <w:trHeight w:val="247"/>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(45,040 )</w:t>
            </w: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(40,268 )</w:t>
            </w:r>
          </w:p>
        </w:tc>
      </w:tr>
      <w:tr>
        <w:trPr>
          <w:trHeight w:val="232"/>
        </w:trPr>
        <w:tc>
          <w:tcPr>
            <w:tcW w:w="644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2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17,938</w:t>
            </w:r>
          </w:p>
        </w:tc>
        <w:tc>
          <w:tcPr>
            <w:tcW w:w="80" w:type="dxa"/>
            <w:vAlign w:val="bottom"/>
            <w:tcBorders>
              <w:top w:val="single" w:sz="8" w:color="CFF0FC"/>
            </w:tcBorders>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-504825</wp:posOffset>
            </wp:positionV>
            <wp:extent cx="60325" cy="162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-504825</wp:posOffset>
            </wp:positionV>
            <wp:extent cx="59690" cy="162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032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-187960</wp:posOffset>
            </wp:positionV>
            <wp:extent cx="59690"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$6,629, $5,947 and $6,578 for the years ended December 31, 2022, 2021 and 2020, respectively. During the year ended December 31, 2022, the Company disposed of certain fully-depreciated assets with a cost basis of $1,857.</w:t>
      </w:r>
    </w:p>
    <w:p>
      <w:pPr>
        <w:spacing w:after="0" w:line="347"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Development and manufacturing costs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8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payroll-related costs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8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related to 2021 License Agreement (Note 11)</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34,770</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80" w:type="dxa"/>
            <w:vAlign w:val="bottom"/>
            <w:shd w:val="clear" w:color="auto" w:fill="CFF0FC"/>
          </w:tcPr>
          <w:p>
            <w:pPr>
              <w:spacing w:after="0"/>
              <w:rPr>
                <w:sz w:val="21"/>
                <w:szCs w:val="21"/>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and other</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tcPr>
          <w:p>
            <w:pPr>
              <w:spacing w:after="0"/>
              <w:rPr>
                <w:sz w:val="21"/>
                <w:szCs w:val="21"/>
                <w:color w:val="auto"/>
              </w:rPr>
            </w:pPr>
          </w:p>
        </w:tc>
      </w:tr>
      <w:tr>
        <w:trPr>
          <w:trHeight w:val="272"/>
        </w:trPr>
        <w:tc>
          <w:tcPr>
            <w:tcW w:w="74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59,840</w:t>
            </w:r>
          </w:p>
        </w:tc>
        <w:tc>
          <w:tcPr>
            <w:tcW w:w="2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45,094</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-24765</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-7620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3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leases real estate, primarily laboratory, office and manufacturing space. The Company’s leases have remaining terms ranging from approximately two to ten years. Certain leases include one or more options to renew, exercisable at the Company’s sole discretion, with renewal terms that can extend the lease from approximately one year to five years. The Company evaluated the renewal options in its leases to determine if it was reasonably certain that the renewal option would be exercised, given the Company’s current business structure, uncertainty of future growth, and the associated impact to real estate, the Company concluded that it is not reasonably certain that any renewal options would be exercised. Therefore, the operating lease assets and operating lease liabilities only contemplate the initial lease terms. All the Company’s leases qualify as operating leases.</w:t>
      </w:r>
    </w:p>
    <w:p>
      <w:pPr>
        <w:spacing w:after="0" w:line="21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July 2021, the Company entered into a lease agreement for a donor collection facility in Tempe, Arizona with a lease term of ten years, commencing in March 2022, subject to certain renewal options, which are not deemed reasonably certain. Minimum lease payments total $4,052, net of tenant improvement allowance of $770, through the lease term. At lease commencement, the Company recorded a right-of-use asset of $5,900, which consists of the lease liability of $2,327 and $3,573 of leasehold improvements that revert back to the lessor at the termination of the lease.</w:t>
      </w:r>
    </w:p>
    <w:p>
      <w:pPr>
        <w:spacing w:after="0" w:line="20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2021, the Company entered into a lease for additional office and laboratory space in Waltham, Massachusetts with a lease term of ten years, commencing in two phases in October 2021 and March 2022, respectively, with a third and final phase for laboratory space, not yet commenced at December 31, 2022. Minimum lease payments for the two phases that commenced in 2022 total $12,125 and $2,449, respectively, net of tenant improvement allowance of $767 for the laboratory space, through the lease term. At each lease commencement, the Company recorded right-of-use assets of $7,602 and $2,662, respectively, which consist of the lease liability of $7,602 for the office space, and the lease liability of $1,273 and $1,389 of leasehold improvements that revert back to the lessor at the termination of the lease for the laboratory space. The lease is subject to certain renewal options, which are not deemed reasonably certain at commencement of the first two phases.</w:t>
      </w:r>
    </w:p>
    <w:p>
      <w:pPr>
        <w:spacing w:after="0" w:line="21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2021, the Company entered into a lease for additional laboratory and office space in Cambridge, Massachusetts with a lease term of ten years and a renewal option for an additional seven-year term. The lease commenced in December 2022, and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renewal option was not deemed reasonably certain of exercise. Minimum lease payments total $101,548 throughout the lease term. At lease commencement, the Company recorded a right-of-use asset of $56,065, which consists of the lease liability of $54,206 and $1,859 of leasehold improvements that revert back to the lessor at the termination of the lease.</w:t>
      </w:r>
    </w:p>
    <w:p>
      <w:pPr>
        <w:spacing w:after="0" w:line="20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April 2022, the Company entered into a lease for additional laboratory and office space in Spring House, Pennsylvania, with a lease term of ten years and a renewal option, subject to certain conditions, for an additional five-year term. The undiscounted minimum lease payments are $2,980, net of a tenant improvement allowance of $1,223, over the original ten-year term. As of December 31, 2022, the lease has not yet commenced, and accordingly the Company has not recorded a right-of-use asset or a lease liability with respect thereto.</w:t>
      </w:r>
    </w:p>
    <w:p>
      <w:pPr>
        <w:spacing w:after="0" w:line="20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2022, the Company amended its lease of its corporate headquarters in Cambridge, Massachusetts (the "Lease Amendment"). The Lease Amendment reduced the office space subject to the lease while maintaining the laboratory and manufacturing space and extended the term to begin in November 2023, when the term of the original lease concludes, and continue through January 2030. The Company accounted for the Lease Amendment as a modification to the existing lease and not a new contract separate from the existing contract, and accordingly increased the associated lease liability and right-of-use asset by $32,837. Minimum lease payments total $60,022 throughout the term of the Lease Amendment, net of a tenant improvement allowance of $1,000.</w:t>
      </w:r>
    </w:p>
    <w:p>
      <w:pPr>
        <w:spacing w:after="0" w:line="21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committed to restore the leased space subject to the Lease Amendment to the condition specified in the original lease, and the Company updated its estimate of the costs required to fulfill this obligation in accordance with ASC 410,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 at the effective date of the modification. Based on current estimates, the Company recorded an additional asset retirement obligation of $452 in December 2022.</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Company’s consolidated balance sheets of its operating leases: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110,984</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100" w:type="dxa"/>
            <w:vAlign w:val="bottom"/>
            <w:shd w:val="clear" w:color="auto" w:fill="CFF0FC"/>
          </w:tcPr>
          <w:p>
            <w:pPr>
              <w:spacing w:after="0"/>
              <w:rPr>
                <w:sz w:val="21"/>
                <w:szCs w:val="21"/>
                <w:color w:val="auto"/>
              </w:rPr>
            </w:pPr>
          </w:p>
        </w:tc>
      </w:tr>
      <w:tr>
        <w:trPr>
          <w:trHeight w:val="243"/>
        </w:trPr>
        <w:tc>
          <w:tcPr>
            <w:tcW w:w="6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00" w:type="dxa"/>
            <w:vAlign w:val="bottom"/>
          </w:tcPr>
          <w:p>
            <w:pPr>
              <w:spacing w:after="0"/>
              <w:rPr>
                <w:sz w:val="20"/>
                <w:szCs w:val="20"/>
                <w:color w:val="auto"/>
              </w:rPr>
            </w:pPr>
          </w:p>
        </w:tc>
      </w:tr>
      <w:tr>
        <w:trPr>
          <w:trHeight w:val="247"/>
        </w:trPr>
        <w:tc>
          <w:tcPr>
            <w:tcW w:w="6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107,942</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111,543</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-187960</wp:posOffset>
            </wp:positionV>
            <wp:extent cx="60325"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consolidated statement of operations and comprehensive loss: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64"/>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shd w:val="clear" w:color="auto" w:fill="CFF0FC"/>
          </w:tcPr>
          <w:p>
            <w:pPr>
              <w:spacing w:after="0"/>
              <w:rPr>
                <w:sz w:val="22"/>
                <w:szCs w:val="22"/>
                <w:color w:val="auto"/>
              </w:rPr>
            </w:pP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2"/>
                <w:szCs w:val="22"/>
                <w:color w:val="auto"/>
              </w:rPr>
            </w:pPr>
          </w:p>
        </w:tc>
      </w:tr>
      <w:tr>
        <w:trPr>
          <w:trHeight w:val="27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8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2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shd w:val="clear" w:color="auto" w:fill="CFF0FC"/>
          </w:tcPr>
          <w:p>
            <w:pPr>
              <w:spacing w:after="0"/>
              <w:rPr>
                <w:sz w:val="24"/>
                <w:szCs w:val="24"/>
                <w:color w:val="auto"/>
              </w:rPr>
            </w:pP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(1,575 )</w:t>
            </w:r>
          </w:p>
        </w:tc>
        <w:tc>
          <w:tcPr>
            <w:tcW w:w="28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(1,813 )</w:t>
            </w:r>
          </w:p>
        </w:tc>
      </w:tr>
      <w:tr>
        <w:trPr>
          <w:trHeight w:val="277"/>
        </w:trPr>
        <w:tc>
          <w:tcPr>
            <w:tcW w:w="5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costs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ind w:firstLine="557"/>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made cash payments for operating leases of $7,809, $6,821 and $6,302,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tbl>
      <w:tblPr>
        <w:tblLayout w:type="fixed"/>
        <w:tblInd w:w="5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28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SERES THERAPEUTICS, INC.</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82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and per share data)</w:t>
            </w: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2022, future payments of operating lease liabilities are as follows (in thousands):</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7"/>
        </w:trPr>
        <w:tc>
          <w:tcPr>
            <w:tcW w:w="60" w:type="dxa"/>
            <w:vAlign w:val="bottom"/>
          </w:tcPr>
          <w:p>
            <w:pPr>
              <w:spacing w:after="0"/>
              <w:rPr>
                <w:sz w:val="20"/>
                <w:szCs w:val="20"/>
                <w:color w:val="auto"/>
              </w:rPr>
            </w:pPr>
          </w:p>
        </w:tc>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top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shd w:val="clear" w:color="auto" w:fill="CFF0FC"/>
          </w:tcPr>
          <w:p>
            <w:pPr>
              <w:spacing w:after="0"/>
              <w:rPr>
                <w:sz w:val="20"/>
                <w:szCs w:val="20"/>
                <w:color w:val="auto"/>
              </w:rPr>
            </w:pPr>
          </w:p>
        </w:tc>
      </w:tr>
      <w:tr>
        <w:trPr>
          <w:trHeight w:val="234"/>
        </w:trPr>
        <w:tc>
          <w:tcPr>
            <w:tcW w:w="60" w:type="dxa"/>
            <w:vAlign w:val="bottom"/>
          </w:tcPr>
          <w:p>
            <w:pPr>
              <w:spacing w:after="0"/>
              <w:rPr>
                <w:sz w:val="20"/>
                <w:szCs w:val="20"/>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100" w:type="dxa"/>
            <w:vAlign w:val="bottom"/>
          </w:tcPr>
          <w:p>
            <w:pPr>
              <w:spacing w:after="0"/>
              <w:rPr>
                <w:sz w:val="20"/>
                <w:szCs w:val="20"/>
                <w:color w:val="auto"/>
              </w:rPr>
            </w:pPr>
          </w:p>
        </w:tc>
      </w:tr>
      <w:tr>
        <w:trPr>
          <w:trHeight w:val="252"/>
        </w:trPr>
        <w:tc>
          <w:tcPr>
            <w:tcW w:w="60" w:type="dxa"/>
            <w:vAlign w:val="bottom"/>
          </w:tcPr>
          <w:p>
            <w:pPr>
              <w:spacing w:after="0"/>
              <w:rPr>
                <w:sz w:val="21"/>
                <w:szCs w:val="21"/>
                <w:color w:val="auto"/>
              </w:rPr>
            </w:pPr>
          </w:p>
        </w:tc>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100" w:type="dxa"/>
            <w:vAlign w:val="bottom"/>
            <w:shd w:val="clear" w:color="auto" w:fill="CFF0FC"/>
          </w:tcPr>
          <w:p>
            <w:pPr>
              <w:spacing w:after="0"/>
              <w:rPr>
                <w:sz w:val="21"/>
                <w:szCs w:val="21"/>
                <w:color w:val="auto"/>
              </w:rPr>
            </w:pPr>
          </w:p>
        </w:tc>
      </w:tr>
      <w:tr>
        <w:trPr>
          <w:trHeight w:val="239"/>
        </w:trPr>
        <w:tc>
          <w:tcPr>
            <w:tcW w:w="60" w:type="dxa"/>
            <w:vAlign w:val="bottom"/>
          </w:tcPr>
          <w:p>
            <w:pPr>
              <w:spacing w:after="0"/>
              <w:rPr>
                <w:sz w:val="20"/>
                <w:szCs w:val="20"/>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100" w:type="dxa"/>
            <w:vAlign w:val="bottom"/>
          </w:tcPr>
          <w:p>
            <w:pPr>
              <w:spacing w:after="0"/>
              <w:rPr>
                <w:sz w:val="20"/>
                <w:szCs w:val="20"/>
                <w:color w:val="auto"/>
              </w:rPr>
            </w:pPr>
          </w:p>
        </w:tc>
      </w:tr>
      <w:tr>
        <w:trPr>
          <w:trHeight w:val="247"/>
        </w:trPr>
        <w:tc>
          <w:tcPr>
            <w:tcW w:w="60" w:type="dxa"/>
            <w:vAlign w:val="bottom"/>
          </w:tcPr>
          <w:p>
            <w:pPr>
              <w:spacing w:after="0"/>
              <w:rPr>
                <w:sz w:val="21"/>
                <w:szCs w:val="21"/>
                <w:color w:val="auto"/>
              </w:rPr>
            </w:pPr>
          </w:p>
        </w:tc>
        <w:tc>
          <w:tcPr>
            <w:tcW w:w="8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6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0" w:type="dxa"/>
            <w:vAlign w:val="bottom"/>
          </w:tcPr>
          <w:p>
            <w:pPr>
              <w:spacing w:after="0"/>
              <w:rPr>
                <w:sz w:val="20"/>
                <w:szCs w:val="20"/>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future payments of operating lease liabilities</w:t>
            </w:r>
          </w:p>
        </w:tc>
        <w:tc>
          <w:tcPr>
            <w:tcW w:w="62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187,172</w:t>
            </w:r>
          </w:p>
        </w:tc>
        <w:tc>
          <w:tcPr>
            <w:tcW w:w="100" w:type="dxa"/>
            <w:vAlign w:val="bottom"/>
          </w:tcPr>
          <w:p>
            <w:pPr>
              <w:spacing w:after="0"/>
              <w:rPr>
                <w:sz w:val="20"/>
                <w:szCs w:val="20"/>
                <w:color w:val="auto"/>
              </w:rPr>
            </w:pPr>
          </w:p>
        </w:tc>
      </w:tr>
      <w:tr>
        <w:trPr>
          <w:trHeight w:val="247"/>
        </w:trPr>
        <w:tc>
          <w:tcPr>
            <w:tcW w:w="60" w:type="dxa"/>
            <w:vAlign w:val="bottom"/>
          </w:tcPr>
          <w:p>
            <w:pPr>
              <w:spacing w:after="0"/>
              <w:rPr>
                <w:sz w:val="21"/>
                <w:szCs w:val="21"/>
                <w:color w:val="auto"/>
              </w:rPr>
            </w:pPr>
          </w:p>
        </w:tc>
        <w:tc>
          <w:tcPr>
            <w:tcW w:w="8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(75,629 )</w:t>
            </w:r>
          </w:p>
        </w:tc>
      </w:tr>
      <w:tr>
        <w:trPr>
          <w:trHeight w:val="237"/>
        </w:trPr>
        <w:tc>
          <w:tcPr>
            <w:tcW w:w="60" w:type="dxa"/>
            <w:vAlign w:val="bottom"/>
          </w:tcPr>
          <w:p>
            <w:pPr>
              <w:spacing w:after="0"/>
              <w:rPr>
                <w:sz w:val="20"/>
                <w:szCs w:val="20"/>
                <w:color w:val="auto"/>
              </w:rPr>
            </w:pPr>
          </w:p>
        </w:tc>
        <w:tc>
          <w:tcPr>
            <w:tcW w:w="82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6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111,543</w:t>
            </w:r>
          </w:p>
        </w:tc>
        <w:tc>
          <w:tcPr>
            <w:tcW w:w="100" w:type="dxa"/>
            <w:vAlign w:val="bottom"/>
            <w:tcBorders>
              <w:top w:val="single" w:sz="8" w:color="CFF0FC"/>
            </w:tcBorders>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weighted average remaining lease term was 8.92 years and the weighted average incremental borrowing rate used to determine the operating lease liability was 13%. As of December 31, 2021, the weighted average remaining lease term was 6.12 years and the weighted average incremental borrowing rate used to determine the operating lease liability was 10%.</w:t>
      </w:r>
    </w:p>
    <w:p>
      <w:pPr>
        <w:spacing w:after="0" w:line="280"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October 29, 2019 (the “Closing Date”), the Company entered into the Loan Agreement with Hercules pursuant to which a term loan in an aggregate principal amount of up to $50,000 (the “Original Credit Facility”) was available to the Company in three tranches, subject to certain terms and conditions. The first tranche of $25,000 was advanced to the Company on the Closing Date. The Company did not meet the milestone requirements for the second tranche under the Original Credit Facility, and as such, the additional amount of up to $12,500 was not available for the Company to borrow. The Company elected not to borrow the third tranche of $12,500, which was available upon Hercules’ approval until June 30, 2021. Advances under the Original Credit Facility will bear interest at a rate equal to the greater of either (i) the Prime Rate (as reported in The Wall Street Journal) plus 4.40%, and</w:t>
      </w:r>
    </w:p>
    <w:p>
      <w:pPr>
        <w:spacing w:after="0" w:line="5" w:lineRule="exact"/>
        <w:rPr>
          <w:sz w:val="20"/>
          <w:szCs w:val="20"/>
          <w:color w:val="auto"/>
        </w:rPr>
      </w:pPr>
    </w:p>
    <w:p>
      <w:pPr>
        <w:ind w:firstLine="8"/>
        <w:spacing w:after="0" w:line="260" w:lineRule="auto"/>
        <w:tabs>
          <w:tab w:leader="none" w:pos="2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9.65%. Following an interest-only period of 24 months, principal payments are due in 24 equal monthly installments commencing December 1, 2021 and ending November 1, 2023.</w:t>
      </w:r>
    </w:p>
    <w:p>
      <w:pPr>
        <w:spacing w:after="0" w:line="18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Effective as of February 24, 2022 (the “Effective Date”), the Company entered into an Amendment to the Loan and Security Agreement (the “Amendment”), with the lenders party thereto (the “Lenders”), and Hercules in its capacity as the administrative agent and the collateral agent for the Lenders, which amended the Original Credit Facility. Pursuant to the Amendment, term loans in an aggregate principal amount of up to $100,000 (the “New Credit Facility”) became available to the Company in five tranches, subject to certain terms and conditions.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first tranche in an aggregate principal amount of $25,000 was outstanding as of the Effective Date, after taking into account reborrowing by the Company on the Effective Date of a previously-repaid principal amount of approximately $2,900. The second tranche in an aggregate principal amount of $12,500 and the third tranche in an aggregate principal amount of $12,500 have been advanced to the Company and were outstanding as of the Effective Date. The fourth tranche in an aggregate principal amount of $25,000 is available upon satisfaction of certain conditions, including the approval by the FDA of a biologics license application in respect of SER-109 (the "Regulatory Approval Milestone") by no later than December 15, 2023. The fifth tranche in an aggregate principal amount of up to $25,000 is available through the Amortization Date (as defined below) upon satisfaction of certain conditions, including the Lenders’ investment committee approval.</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All advances outstanding under the New Credit Facility will bear interest at a rate equal to the greater of either (i) the Prime Rate (as reported in The Wall Street Journal) plus 6.40%, and (ii) 9.65%. For all advances outstanding under the New Credit Facility, the Company will make interest only payments through December 31, 2023, extendable to December 31, 2024 upon satisfaction of certain conditions (such applicable date, the “Amortization Date”). The principal balance and interest of the advances will be repaid in equal monthly installments after the Amortization Date and continuing through October 1, 2024, extendable to October 1, 2025, upon satisfaction of certain conditions (such applicable date, the “Maturity Date”).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may prepay advances under the New Credit Facility, in whole or in part, at any time subject to a prepayment charge equal to: (a) 2.0% of amounts so prepaid, if such prepayment occurs during the first year following the Effective Date; (b) 1.5% of the amount so prepaid, if such prepayment occurs during the second year following the Effective Date, and (c) 1.0% of the amount so prepaid, if such prepayment occurs during the third year following the Effective Date.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will pay an end of term charge of 4.85% of the aggregate amount of the advances made under the Original Credit Facility on the earliest date of (i) November 1, 2023; (ii) the date that the Company prepays all of the outstanding principal in full, or (iii) the date the loan payments are accelerated due to an event of default. The Company will pay an additional end of term charge of 1.75% of the aggregate amount of the advances under the New Credit Facility (including the first tranche of $25,000) on the earliest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date of (i) the Maturity Date; (ii) the date that the Company prepays all of the outstanding principal in full, or (iii) the date the loan payments are accelerated due to an event of default.</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terms of the New Credit Facility remain generally identical to those under the Original Credit Facility, with certain covenants amended by the Amendment to provide the Company with additional operational flexibility, including the ability for the Company to issue up to $350,000 in convertible notes. The New Credit Facility includes a conditional liquidity covenant commencing on June 15, 2023, which ceases to apply if certain conditions are satisfied.</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New Credit Facility is secured by substantially all of the Company’s assets, other than the Company’s intellectual property. The Company has agreed to not pledge or secure its intellectual property to others.</w:t>
      </w:r>
    </w:p>
    <w:p>
      <w:pPr>
        <w:spacing w:after="0" w:line="16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accounted for the New Credit Facility as a modification in accordance with the guidance in ASC 470-50,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Amounts paid to the lenders were recorded as debt discount and a new effective interest rate was established. Upon issuance, the New Credit Facility was recorded as a liability with an initial carrying value of $50,586, net of debt issuance costs. The initial carrying value will be accreted to the repayment amount, which includes the outstanding principal plus the end of term charge, through interest expense using the effective interest rate method over the term of the Loan Agreement. As of December 31, 2022, the carrying value of the New Credit Facility is $51,047 and the effective interest rate in effect is 15.01%. As of December 31, 2021, the carrying value of the New Credit Facility was $24,643, and the effective interest rate in effect was 11.47%. The New Credit Facility is classified as a long-term liability on the consolidated balance sheet.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principal payments due under the New Credit Facility, excluding interest and the end of term charge, are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r>
      <w:tr>
        <w:trPr>
          <w:trHeight w:val="237"/>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4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r>
      <w:tr>
        <w:trPr>
          <w:trHeight w:val="276"/>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$6,020 and $2,910 of interest expense related to the Loan Agreement, respectively, which is reflected in interest expense on the consolidated statement of operations and comprehensive loss.</w:t>
      </w:r>
    </w:p>
    <w:p>
      <w:pPr>
        <w:spacing w:after="0" w:line="266"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July 1, 2015, in connection with the closing of the initial public offering of the Company’s common stock (“IPO”), the Company effected its Restated Certificate of Incorporation, which authorizes the Company to issue 10,000,000 shares of preferred stock, $0.001 par value per share.</w:t>
      </w:r>
    </w:p>
    <w:p>
      <w:pPr>
        <w:spacing w:after="0" w:line="306"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and Stock-Based Awards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July 1, 2015, in connection with the closing of the IPO, the Company effected its Restated Certificate of Incorporation, which authorizes the Company to issue 200,000,000 shares of common stock, $0.001 par value per share.</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2019, the Company entered into a common stock sales agreement, or the 2019 Sales Agreement, with Cowen to sell shares of the Company's common stock with aggregate gross sales proceeds of up to $25,000, from time to time, through an "at the market" equity offering program, or ATM, under which Cowen acts as sales agent. In March 2020, in connection with filing an updated registration statement on Form S-3 (File No. 333-237033), the Company entered into a new common stock sales agreement, or the 2020 Sales Agreement, with Cowen on substantially the same terms as the 2019 Sales Agreement and terminated the 2019 Sales Agreement. In May 2021, the Company entered into a new common stock sales agreement, or the 2021 Sales Agreement, with Cowen to sell shares of its common stock with aggregate gross sales proceeds of up to $150,000, from time to time, through an ATM under which Cowen acts as sales agent, and terminated the 2020 Sales Agreement. During the year ended December 31, 2022, the Company sold approximately 655,000 shares of common stock under the 2021 Sales Agreement, at an average price of approximately $7.26 per share, raising aggregate net proceeds of approximately $4,447 after deducting an aggregate commission of approximately 3% and other issuance costs. During the year ended December 31, 2021, the Company did not sell any shares of common stock under the 2020 Sales Agreement or the 2021 Sales Agreement. During the year ended December 31, 2020, the Company sold approximately 5,788,000 shares of common stock under the 2019 Sales Agreement and the 2020 Sales Agreement, as applicable, at an average price of approximately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$4.40 per share, raising aggregate net proceeds of approximately $24,773 after deducting an aggregate commission of approximately 3% and other issuance costs.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12, 2020, the Company entered into an underwriting agreement (the “Underwriting Agreement”) with Cowen and Company, LLC and Piper Sandler &amp; Co., as representatives of the several underwriters named therein (collectively, the “Underwriters”), in connection with the issuance and sale by the Company in a public offering of 10,500,000 shares of the Company’s common stock at a public offering price of $21.50 per share, less underwriting discounts and commissions, pursuant to an effective shelf registration statement on Form S-3 (Registration No. 333-244401) and a related prospectus supplement filed with the SEC (such public offering, the “offering”). Under the terms of the Underwriting Agreement, the Company granted the Underwriters an option exercisable for 30 days to purchase up to an additional 1,575,000 shares of its common stock at the public offering price, less underwriting discounts and commissions, which the underwriters exercised in full. The Company received aggregate net proceeds from the offering of approximately $243,748 after deducting underwriting discounts and commissions and offering expenses payable by the Company.</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on August 12, 2020, the Company entered into a Securities Purchase Agreement (the “Securities Agreement”) with Nestlé for the sale by the Company of 959,002 shares of the Company’s common stock at a purchase price of $20.855 per share (the “concurrent placement”). The Company received aggregate net proceeds from the concurrent placement of approximately $19,900 after deducting offering expenses payable by the Company. The consummation of the concurrent placement was contingent upon the closing of the offering and the satisfaction of certain other customary conditions. The shares were offered and sold to Nestlé pursuant to an effective registration statement on Form S-3 (File No. 333-237033) and a related prospectus supplement filed with the SEC.</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June 29, 2022, the Company entered into securities purchase agreements with new and existing investors and certain directors and officers in a registered direct offering, or the Registered Direct Offering, of an aggregate of 31,746,030 shares of its common stock at a purchase price of $3.15 per share for total net proceeds of approximately $96,721, after deducting placement agent’s fees and other estimated offering expenses. Net proceeds included an aggregate of $27,525 received from Flagship Pioneering Fund VII, L.P. and Nutritional Health LTP Fund, L.P., affiliates of Flagship Pioneering, or Flagship, one of its significant stockholders, in exchange for 8,738,243 shares. The closing date of the Registered Direct Offering was July 5,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Stock Incentive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2012 Stock Incentive Plan, as amended, (the “2012 Plan”) provided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of directors.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generally granted stock-based awards with service conditions only (“service-based” awards).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2012 Plan generally vest over four years and expire after ten years, although options have been granted with vesting terms less than four years. As of December 31, 2022, there were no shares available for future grant under the 2012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Incentive Award Plan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16, 2015, the Company’s stockholders approved the 2015 Incentive Award Plan (the “2015 Plan”), which became effective on June 25, 2015. The 2015 Plan was subsequently amended on December 14, 2022, and provides for the grant of incentive stock options, nonqualified stock options, stock appreciation rights, restricted stock awards, restricted stock units and other stock-based awards. The number of shares initially reserved for issuance under the 2015 Plan was the sum of (i) 2,200,000 shares of common stock and (ii) the number of shares subject to awards outstanding under the 2012 Plan that expire, terminate or are otherwise surrendered, canceled, forfeited or repurchased by the Company on or after the effective date of the 2015 Plan. In addition, the number of shares of common stock that may be issued under the 2015 Plan is subject to increase on the first day of each calendar year, beginning in 2016 and ending in 2025, equal to the lesser of (i) 4% of the number of shares of the Company’s common stock outstanding on the last day of the preceding applicable calendar year and (ii) an amount determined by the Company’s board of directors.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 awards granted under the 2015 Plan generally vest over four years and expire after ten years, although options have been granted with vesting terms less than four years. As of December 31, 2022, there were 967,206 shares available for future grant under the 2015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June 16, 2015, the Company’s stockholders approved the 2015 Employee Stock Purchase Plan (the “ESPP”), which became effective on June 25, 2015. A total of 365,000 shares of common stock were reserved for issuance under the ESPP. In addition, the number of shares of common stock that may be issued under the ESPP automatically increase on the first day of each calendar year, beginning in 2016 and ending in 2025, by an amount equal to the lesser of (i) 400,000 shares, (ii) 1% of the number of shares of the Company’s common stock outstanding on the last day of the applicable preceding calendar year and (iii) an amount determined by the Company’s board of directors. Offering periods under the ESPP will commence when determined by the plan administrator. During the year ended and as of December 31, 2022, there were 322,560 shares issued and 2,469,204 shares were reserved and available for issuance under the ESPP, respectively.</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ESPP provides that eligible employees may contribute up to 15% of their eligible earnings toward the semi-annual purchase of the Company's common stock. The ESPP is qualified under Section 423 of the Internal Revenue Code. The employee's purchase price is derived from a formula based on the closing price of the common stock on the first day of the offering period versus the closing price on the date of purchase (or, if not a trading day, on the immediately preceding trading day). The offering period under the ESPP has a duration of six months, and the purchase price with respect to each offering period beginning on or after such date is, until otherwise amended, equal to 85% of the lesser of (i) the fair market value of the Company's common stock at the commencement of the applicable six-month offering period or (ii) the fair market value of the Company's common stock on the purchase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Employment Inducement Award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14, 2022, the Company’s board of directors approved the 2022 Employment Inducement Award Plan (the "2022 Plan"), which became effective on such date without stockholder approval pursuant to Rule 5635(c)(4) of The Nasdaq Stock Market LLC listing rules (“Rule 5635(c)</w:t>
      </w:r>
    </w:p>
    <w:p>
      <w:pPr>
        <w:jc w:val="both"/>
        <w:spacing w:after="0" w:line="251" w:lineRule="auto"/>
        <w:rPr>
          <w:sz w:val="20"/>
          <w:szCs w:val="20"/>
          <w:color w:val="auto"/>
        </w:rPr>
      </w:pPr>
      <w:r>
        <w:rPr>
          <w:rFonts w:ascii="Times New Roman" w:cs="Times New Roman" w:eastAsia="Times New Roman" w:hAnsi="Times New Roman"/>
          <w:sz w:val="18"/>
          <w:szCs w:val="18"/>
          <w:color w:val="auto"/>
        </w:rPr>
        <w:t>(4)”). The 2022 Plan provides for the grant of nonqualified stock options, stock appreciation rights, restricted stock awards, restricted stock units and other stock- or cash-based awards. In accordance with Rule 5635(c)(4), awards under the 2022 Plan may only be made to a newly hired employee who has not previously been a member of our board of directors, or an employee who is being rehired following a bona fide period of non-employment by us as a material inducement to the employee’s entering into employment with us. A total of 2,500,000 shares of common stock were reserved for issuance under the 2022 Plan. Any shares subject to awards previously granted under the 2022 Plan that expire, terminate or are otherwise surrendered, canceled, or forfeited in any case, in a manner that results in the Company acquiring the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2022 Plan.</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there were no awards outstanding and 2,500,000 shares available for future grant under the 2022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 ended December 31, 2022:</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3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7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11,517,189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4,527,897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(326,864 )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(778,188 )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14,940,034</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as of December 31, 2022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7,441,253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-205105</wp:posOffset>
            </wp:positionV>
            <wp:extent cx="68580" cy="205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years ended December 31, 2022, 2021 and 2020 was $5.53, $15.33, and $5.08 per share, respectively. The total intrinsic value of stock options exercised during the years ended December 31, 2022, 2021, and 2020 was $981, $4,727, and $37,255,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performance-based stock options to employees for the purchase of an aggregate of 562 thousand shares of common stock with a grant date fair value of $5.53 per share. These stock options are exercisable only upon achievement of specified performance targets. As of December 31, 2022, none of these options were exercisable because none of the specified performance targets had been achieved. Because achievement of the specified performance targets was not deemed probable as of December 31, 2022, the Company did not record any expense for these stock options from the dates of issuance through December 31, 2022.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has granted restricted stock units ("RSUs") with service-based vesting conditions. RSUs represent the right to receive shares of common stock upon meeting specified vesting requirements. Restricted stock units may not be sold or transferred by the holder and vest according to the vesting conditions of each award. The table below summarizes the Company’s RSU activity for the year ended December 31, 2022:</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3"/>
                <w:szCs w:val="13"/>
                <w:color w:val="auto"/>
              </w:rPr>
            </w:pPr>
          </w:p>
        </w:tc>
        <w:tc>
          <w:tcPr>
            <w:tcW w:w="12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940" w:type="dxa"/>
            <w:vAlign w:val="bottom"/>
          </w:tcPr>
          <w:p>
            <w:pPr>
              <w:spacing w:after="0"/>
              <w:rPr>
                <w:sz w:val="16"/>
                <w:szCs w:val="16"/>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6"/>
                <w:szCs w:val="16"/>
                <w:color w:val="auto"/>
              </w:rPr>
            </w:pPr>
          </w:p>
        </w:tc>
        <w:tc>
          <w:tcPr>
            <w:tcW w:w="12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2021</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734,755</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1,302,844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(205,658 )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(282,401 )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2022</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1,549,540</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granted 1,302,844, 768,998 and 6,500 RSUs, respectively. RSUs generally vest over four years, with 25% vesting after one year, and the remaining 75% vesting quarterly over the next 3 years, subject to continued service to the Company through the applicable vesting date.</w:t>
      </w:r>
    </w:p>
    <w:p>
      <w:pPr>
        <w:spacing w:after="0" w:line="176" w:lineRule="exact"/>
        <w:rPr>
          <w:sz w:val="20"/>
          <w:szCs w:val="20"/>
          <w:color w:val="auto"/>
        </w:rPr>
      </w:pPr>
    </w:p>
    <w:p>
      <w:pPr>
        <w:jc w:val="both"/>
        <w:ind w:firstLine="509"/>
        <w:spacing w:after="0" w:line="313" w:lineRule="auto"/>
        <w:rPr>
          <w:sz w:val="20"/>
          <w:szCs w:val="20"/>
          <w:color w:val="auto"/>
        </w:rPr>
      </w:pPr>
      <w:r>
        <w:rPr>
          <w:rFonts w:ascii="Times New Roman" w:cs="Times New Roman" w:eastAsia="Times New Roman" w:hAnsi="Times New Roman"/>
          <w:sz w:val="18"/>
          <w:szCs w:val="18"/>
          <w:color w:val="auto"/>
        </w:rPr>
        <w:t>The aggregate intrinsic value of restricted stock units that vested during the years ended December 31, 2022, 2021 and 2020 was $1,809, $16, and $532, respectively.</w:t>
      </w:r>
    </w:p>
    <w:p>
      <w:pPr>
        <w:spacing w:after="0" w:line="13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performance-based restricted stock awards to two employees for the purchase of an aggregate of 85,000 shares of common stock with a grant date fair value of $9.59 per share and 40,000 shares with a grant date fair value of $20.35 per share. These restricted stock awards vest only upon achievement of specified performance targets. As of December 31, 2021, these awards were not vested because the specified performance targets had not been achieved. In addition, the performance targets were not deemed probable of achievement. Accordingly, the Company did not record any expense for these awards from the dates of issuance through December 31, 2021. In October 2022, 42,500 of the awards with a grant date fair value of $9.59, and 20,000 of the awards with a grant date fair value of $20.35, vested fully, as the associated performance targets were achieved. Accordingly, the Company recorded $815 in compensation expense during the year ended December 31, 2022, with respect to these awards. As of December 31, 2022, the remaining performance-based restricted stock awards in these grants were not vested because the associated targets had not been achieved. In addition, the performance targets were not deemed probable of achievement. Accordingly, the Company did not record any expense for these remaining awards from the dates of issuance through December 31, 2022.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Valuation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fair value of the stock options granted to employees and directors were as follows, presented on a weighted average basis:</w:t>
      </w:r>
    </w:p>
    <w:p>
      <w:pPr>
        <w:spacing w:after="0" w:line="16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88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4"/>
                <w:szCs w:val="14"/>
                <w:color w:val="auto"/>
              </w:rPr>
            </w:pPr>
          </w:p>
        </w:tc>
      </w:tr>
      <w:tr>
        <w:trPr>
          <w:trHeight w:val="228"/>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0"/>
                <w:szCs w:val="20"/>
                <w:color w:val="auto"/>
              </w:rPr>
            </w:pPr>
          </w:p>
        </w:tc>
      </w:tr>
      <w:tr>
        <w:trPr>
          <w:trHeight w:val="24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104.0 %</w:t>
            </w:r>
          </w:p>
        </w:tc>
        <w:tc>
          <w:tcPr>
            <w:tcW w:w="7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106.5 %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24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7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-607695</wp:posOffset>
            </wp:positionV>
            <wp:extent cx="641223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rights to acquire common stock under the ESPP using a Black-Scholes valuation model on the date of grant and the straight-line attribution approach to recognize the expense. The assumptions that the Company used to determine the fair value of rights to acquire common stock under the ESPP were as follows, presented on a weighted average basis:</w:t>
      </w:r>
    </w:p>
    <w:p>
      <w:pPr>
        <w:spacing w:after="0" w:line="18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520" w:type="dxa"/>
        <w:tblCellMar>
          <w:top w:w="0" w:type="dxa"/>
          <w:left w:w="0" w:type="dxa"/>
          <w:bottom w:w="0" w:type="dxa"/>
          <w:right w:w="0" w:type="dxa"/>
        </w:tblCellMar>
      </w:tblPr>
      <w:tr>
        <w:trPr>
          <w:trHeight w:val="169"/>
        </w:trPr>
        <w:tc>
          <w:tcPr>
            <w:tcW w:w="4800" w:type="dxa"/>
            <w:vAlign w:val="bottom"/>
          </w:tcPr>
          <w:p>
            <w:pPr>
              <w:spacing w:after="0"/>
              <w:rPr>
                <w:sz w:val="14"/>
                <w:szCs w:val="14"/>
                <w:color w:val="auto"/>
              </w:rPr>
            </w:pPr>
          </w:p>
        </w:tc>
        <w:tc>
          <w:tcPr>
            <w:tcW w:w="11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4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4"/>
                <w:szCs w:val="14"/>
                <w:color w:val="auto"/>
              </w:rPr>
            </w:pPr>
          </w:p>
        </w:tc>
      </w:tr>
      <w:tr>
        <w:trPr>
          <w:trHeight w:val="228"/>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20"/>
                <w:szCs w:val="20"/>
                <w:color w:val="auto"/>
              </w:rPr>
            </w:pPr>
          </w:p>
        </w:tc>
      </w:tr>
      <w:tr>
        <w:trPr>
          <w:trHeight w:val="24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1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74.9 %</w:t>
            </w:r>
          </w:p>
        </w:tc>
      </w:tr>
      <w:tr>
        <w:trPr>
          <w:trHeight w:val="24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-607695</wp:posOffset>
            </wp:positionV>
            <wp:extent cx="648906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6489065" cy="15430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-299720</wp:posOffset>
            </wp:positionV>
            <wp:extent cx="648906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6489065" cy="15430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and restricted stock units in the following expense categories of its consolidated statements of operations and comprehensive loss: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shd w:val="clear" w:color="auto" w:fill="CFF0FC"/>
          </w:tcPr>
          <w:p>
            <w:pPr>
              <w:spacing w:after="0"/>
              <w:rPr>
                <w:sz w:val="20"/>
                <w:szCs w:val="20"/>
                <w:color w:val="auto"/>
              </w:rPr>
            </w:pPr>
          </w:p>
        </w:tc>
      </w:tr>
      <w:tr>
        <w:trPr>
          <w:trHeight w:val="24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Pr>
          <w:p>
            <w:pPr>
              <w:spacing w:after="0"/>
              <w:rPr>
                <w:sz w:val="21"/>
                <w:szCs w:val="21"/>
                <w:color w:val="auto"/>
              </w:rPr>
            </w:pPr>
          </w:p>
        </w:tc>
      </w:tr>
      <w:tr>
        <w:trPr>
          <w:trHeight w:val="272"/>
        </w:trPr>
        <w:tc>
          <w:tcPr>
            <w:tcW w:w="6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2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20,222</w:t>
            </w:r>
          </w:p>
        </w:tc>
        <w:tc>
          <w:tcPr>
            <w:tcW w:w="2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an aggregate of $57,005 of unrecognized stock-based compensation cost, which is expected to be recognized over a weighted average period of 1.8 years.</w:t>
      </w:r>
    </w:p>
    <w:p>
      <w:pPr>
        <w:spacing w:after="0" w:line="266"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NHSc Rx License GmbH (Nestlé)</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2021, the Company entered into the 2021 License Agreement with NHSc Pharma Partners, succeeded by NHSc Rx License GmbH (together with Société des Produits Nestlé S.A., their affiliates, and their subsidiaries, "Nestlé"). Under the terms of the Agreement, the Company granted Nestlé a co-exclusive, sublicensable (under certain circumstances) license to develop, commercialize and conduct medical affairs activities for (i) therapeutic products based on the Company's microbiome technology (including the Company's SER-109 product candidate) that are developed by the Company or on the Company's behalf for the treatment of CDI and recurrent CDI, as well as any other indications pursued for the products upon mutual agreement of the parties (the “2021 Field”) in the United States and Canada (the “2021 Licensed Territory”), and (ii) the Company's SER-109 product candidate and any improvements and modifications thereto developed pursuant to the terms of the 2021 License Agreement (the "2021 Collaboration Products") for any indications in the 2021 Licensed Territory. The Company is responsible for completing development of SER-109 in the 2021 Field in the United States until first regulatory approval for SER-109 is obtained.</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Nestlé has the sole right to commercialize the 2021 Collaboration Products in the 2021 Licensed Territory in accordance with a commercialization plan. Both parties will perform medical affairs activities in the 2021 Licensed Territory in accordance with a medical affairs plan. The Company will be responsible for the manufacturing and supply for commercialization under a supply agreement that will be entered into between the parties. Both parties will perform pre-launch activities of 2021 Collaboration Products prior to the first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sale in the United States. The Company is responsible for funding the pre-launch activities until first commercial sale of 2021 Collaboration Products in the 2021 Licensed Territory and in accordance with a pre-launch plan, up to a specified cap. Following first commercial sale of the first 2021 Collaboration Product, the Company will be entitled to share equally in its commercial profits and losses.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2021 License Agreement, the Company received an upfront payment of $175,000. The Company is eligible to receive additional payments of up to $360,000 if certain regulatory and sales milestones are achieved. The potential future milestone payments include up to $135,000 for the achievement of specified regulatory milestones and up to $225,000 for the achievement of specified net sales milestones.</w:t>
      </w:r>
    </w:p>
    <w:p>
      <w:pPr>
        <w:spacing w:after="0" w:line="17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2021 License Agreement continues in effect until all development and commercialization activities for all 2021 Collaboration Products in the 2021 Licensed Territory have permanently ceased. The 2021 License Agreement may be terminated by either party upon sixty days’ written notice for the other party’s material breach that remains uncured during such sixty-day period, or immediately upon written notice for the other party’s insolvency. Nestlé may also terminate the 2021 License Agreement at-will (i) with twelve months’ prior written notice, effective only on or after the third anniversary of first commercial sale of the first 2021 Collaboration Product in the 2021 Licensed Territory, (ii) if first commercial sale of the first 2021 Collaboration Product in the 2021 Licensed Territory has not occurred by the fifth anniversary of the effective date of the 2021 License Agreement, with one hundred eighty days’ prior written notice, which must be provided during a specified period set forth in the 2021 License Agreement, or (iii) if regulatory approval for SER-109 is not granted after submission by the Company of a filing seeking first regulatory approval as set forth in the development and regulatory activity plan, and the parties fail to agree on further development of SER-109 in accordance with the terms of the 2021 License Agreement, with one hundred eighty days’ prior written notice, which must be provided within a specified period set forth in the 2021 License Agreement. The Company may also terminate the 2021 License Agreement immediately upon written notice if Nestlé challenges any licensed patent in the 2021 Licensed Territory. Upon termination of the 2021 License Agreement, all licenses granted to Nestlé by the Company will terminate. If the Company commits a material breach of the 2021 License Agreement, Nestlé may elect not to terminate the 2021 License Agreement but instead apply specified adjustments to the payment terms and other terms and conditions of the 2021 License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2021 License Agreement represents a separate contract between Nestlé and the Company. The 2021 License Agreement is within the scope of Accounting Standard Update 2018-18,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(Topic 808), and has elements that are within the scope of ASC 606 -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(Topic 606) and Topic 808.</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identified the following promises in the 2021 License Agreement that were evaluated under the scope of Topic 606: (i) delivery of a co-exclusive license for SER-109 to develop, commercialize and conduct medical affairs in the United States and Canada; (ii) services to be performed in accordance with the development and regulatory activity plan to obtain regulatory approval of SER-109 in the United States. The Company also evaluated whether certain options outlined within the 2021 License Agreement represented material rights that would give rise to a performance obligation and concluded that none of the options convey a material right to Nestlé and therefore are not considered separate performance obligations within the 2021 License Agreement.</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assessed the above promises and determined that the co-exclusive license for SER-109 and the services to obtain regulatory approval of SER-109 in the United States are reflective of a vendor-customer relationship and therefore represent performance obligations within the scope of Topic</w:t>
      </w:r>
    </w:p>
    <w:p>
      <w:pPr>
        <w:jc w:val="both"/>
        <w:ind w:firstLine="8"/>
        <w:spacing w:after="0" w:line="252" w:lineRule="auto"/>
        <w:tabs>
          <w:tab w:leader="none" w:pos="36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co-exclusive license for SER-109 in the United States and Canada is considered functional intellectual property and distinct from other promises under the contract as Nestlé can benefit from the license on its own or together with other readily available resources. The services performed by the Company to obtain regulatory approval of SER-109 are not complex or specialized, could be performed by another qualified third party, are not expected to significantly modify or customize the license given that SER-109 is late-stage intellectual property that has completed clinical development and the services are expected to be performed over a short period of time. Therefore, the license and the services each represents a separate performance obligation within a contract with a customer under the scope of Topic 606 at contract inception.</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the collaborative pre-launch activities and commercialization activities to be separate units of account within the scope of Topic 808 and are not deliverables under Topic 606. The Company and Nestlé are both active participants in the pre-launch activities and commercialization activities and are exposed to significant risks and rewards that are dependent on the commercial success of the activities in the arrangement.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up-front payment of $175,000 compensated the Company for: (i) the co-exclusive license for SER-109 to develop, commercialize and conduct medical affairs in the United States and Canada, (ii) services performed in accordance with the development and regulatory activity plan to obtain regulatory approval of SER-109 in the United States and (iii) pre-launch activities performed by Nestlé and the Company until the first commercial sale of SER-109 in the United States. The commercialization activities, which include the commercial manufacturing, participation on joint steering committees and medical affairs work, that occur after regulatory approval of SER-109 in the United States, are part of the 50/50 sharing of commercial profits. Therefore, the up-front payment of $175,000 does not compensate the Company for these activities.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allocated the $175,000 between the Topic 606 unit of account and the Topic 808 unit of account by determining the standalone selling price (SSP) of each good or service. The selling price of each good or service was determined based on the Company’s SSP with the objective of determining the price at which it would sell such an item if it were to be sold regularly on a standalone basis. The Company determined the transaction price under Topic 606 to be $139,500 and the Topic 808 amount to be $35,500 at the inception of the 2021 License Agreement.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that any variable consideration related to regulatory milestones is deemed to be fully constrained and therefore excluded from the transaction price due to the high degree of uncertainty and risk associated with these potential payments, as the Company determined that it could not assert that it was probable that a significant reversal in the amount of cumulative revenue recognized will not occur. The Company also determined that sales milestones relate solely to the license of intellectual property and are therefore excluded from the transaction price under the sales- or usage-based royalty exception of Topic 606. Revenue related to these sales milestones will only be recognized when the associated sales occur, and relevant thresholds are met.</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Topic 606 transaction price of $139,500 has been allocated to the co-exclusive license for SER-109 and the services performed in accordance with the development and regulatory activity plan to obtain regulatory approval of SER-109 in the United States based on the Company’s SSP. The Company recognized revenue for the license performance obligation at a point in time, that is upon transfer of the license to Nestlé. As control of the license was transferred in July 2021, the Company recognized $131,343 of collaboration revenue - related party during the year ended December 31, 2021 pertaining to the license performance obligation. The remaining amount of the Topic 606 transaction price of $8,157 was allocated to the services performance obligation and is being recognized over time as the services are performed. During the years ended December 31, 2022 and 2021, the Company recognized $4,114 and $2,068, of collaboration revenue - related party, respectively, related to the services performance obligation under the 2021 License Agreement.</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amount allocated to the Topic 808 unit of accounting relates to the pre-launch activities performed prior to the first commercial sale of SER-109 and was determined to be $35,500 based on standalone selling price.</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the $35,500 in total liabilities on its consolidated balance sheet at the inception of the arrangement. On a quarterly basis, the Company and Nestlé will provide financial information about the pre-launch activities performed by both parties. The Company reduces the $35,500 liability as the pre-launch activities are performed and it makes payments to Nestlé for the pre-launch costs Nestlé incurs. As of December 31, 2022 and 2021, there is $34,770 and $21,098 included in accrued expenses and other current liabilities and $0 and $10,585 included in other long-term liabilities, respectively.</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cost associated with pre-launch activities performed by the Company is recorded within total operating expenses in the Company’s consolidated statements of operations and comprehensive loss. In the years ended December 31, 2022 and 2021, the Company recognized $6,102 and $2,168 in research and development expenses and $8,953 and $3,383 in general and administrative expenses, respectively, associated with pre-launch activities performed.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the Company and Nestlé are both active participants in the pre-launch activities, the sharing of 50% of the pre-launch costs will be recognized in collaboration (profit) loss sharing - related party in the Company’s consolidated statements of operations and comprehensive loss. The Company recorded $1,004 of expense and $1,732 of income in the collaboration (profit) loss sharing line for the years ended December 31, 2022 and 2021,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Société des Produits Nestlé S.A. (Nestlé)</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Agreement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2016, the Company entered into a collaboration and license agreement with Nestec Ltd., succeeded by Société des Produits Nestlé S.A. (together with NHSc Rx License GmbH, their affiliates and their subsidiaries, “Nestlé”) (the “2016 License Agreement”) for the development and commercialization of certain product candidates for the treatment and management of CDI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inflammatory bowel disease (“IBD”), including UC and Crohn’s disease. The 2016 License Agreement supports the development of the Company’s portfolio of products for CDI and IBD in markets outside of the United States and Canada (the “2016 Licensed Territory”).</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2016 License Agreement, the Company granted to Nestlé an exclusive, royalty-bearing license to develop and commercialize, in the 2016 Licensed Territory, certain products based on its microbiome technology that are being developed for the treatment of CDI and IBD, including SER-109, SER-262, SER-287 and SER-301 (collectively, the “2016 Collaboration Products”). The 2016 License Agreement sets forth the Company’s and Nestlé’s respective obligations for development, commercialization, regulatory and manufacturing and supply activities for the 2016 Collaboration Products with respect to the licensed fields and the 2016 Licensed Territory.</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2016 License Agreement, Nestlé agreed to pay the Company an upfront cash payment of $120,000, which the Company received in February 2016. The Company is eligible to receive up to $285,000 in development milestone payments, $375,000 in regulatory payments and up to an aggregate of $1,125,000 for the achievement of certain commercial milestones related to the sales of the 2016 Collaboration Products. Nestlé also agreed to pay the Company tiered royalties, at percentages ranging from the high single digits to high teens, of net sales of 2016 Collaboration Products in the 2016 Licensed Territory.</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2016 License Agreement, the Company is entitled to receive a $20,000 milestone payment from Nestlé following initiation of a SER-287 Phase 2 study and a $20,000 milestone payment from Nestlé following the initiation of a SER-287 Phase 3 study. In November 2018, the Company entered into a letter agreement with Nestlé which modified the 2016 License Agreement to address the current clinical plans for SER-287. Pursuant to the letter agreement, the Company and Nestlé agreed that following initiation of the SER-287 Phase 2b study, the Company would be entitled to receive $40,000 in milestone payments from Nestlé, which represent the milestone payments due to the Company for the initiation of a SER-287 Phase 2 study and a Phase 3 study. The SER-287 Phase 2b study was initiated and the $40,000 of milestone payments were received in December 2018. The letter agreement also provides scenarios under which Nestlé’s reimbursement to the Company for certain Phase 3 development costs would be reduced or delayed depending on the outcomes of the SER-287 Phase 2b study.</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2016 License Agreement continues in effect until terminated by either party on the following bases: (i) Nestlé may terminate the 2016 License Agreement in the event of serious safety issues related to any of the 2016 Collaboration Products; (ii) the Company may terminate the 2016 License Agreement if Nestlé challenges the validity or enforceability of any of the Company’s licensed patents; and (iii) either party may terminate the 2016 License Agreement in the event of the other party’s uncured material breach or insolvency. Upon termination of the 2016 License Agreement, all licenses granted to Nestlé by the Company will terminate, and all rights in and to the 2016 Collaboration Products in the 2016 Licensed Territory will revert to the Company. If the Company commits a material breach of the 2016 License Agreement, Nestlé may elect not to terminate the 2016 License Agreement but instead apply specified adjustments to its payment obligations and other terms and conditions of the 2016 License Agreement.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3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assessed the 2016 License Agreement in accordance with Topic 606 and concluded that Nestlé is a customer. The Company identified the following promises under the contract: (i) a license to develop and commercialize the 2016 Collaboration Products in the 2016 Licensed Territory, (ii) obligation to perform research and development services, (iii) participation on a joint steering committee, and (iv) manufacturing services to provide clinical supply to complete future clinical trials. In addition, the Company identified a contingent obligation to perform manufacturing services to provide commercial supply if commercialization occurs, which is contingent upon regulatory approval. This contingent obligation is not a performance obligation at inception and has been excluded from the initial allocation as it represents a separate buying decision at market rates, rather than a material right in the contract. The Company assessed the promised goods and services to determine if they are distinct. Based on this assessment, the Company determined that Nestlé cannot benefit from the promised goods and services separately from the others as they are highly interrelated and therefore not distinct. Accordingly, the promised goods and services represent one combined performance obligation and the entire transaction price was allocated to that single combined performance obligation.</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At contract inception, the Company determined that the $120,000 non-refundable upfront amount constituted the entirety of the consideration to be included in the transaction price as the development, regulatory, and commercial milestones were fully constrained. During the year ended December 31, 2016, the Company received $10,000 from Nestlé in connection with the initiation of the Phase 1b study for SER-262 in CDI. During the year ended December 31, 2017, the Company received $20,000 from Nestlé in connection with the initiation of the Phase 3 study for SER-109. During the year ended December 31, 2018, the Company received $40,000 from Nestlé in connection with the initiation of the Phase 2b study for SER-287. During the year ended December 31, 2020, the Company received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$10,000 from Nestlé in connection with the initiation of the Phase 1b SER-301 study. As of December 31, 2022, the aggregate amount of the transaction price allocated to the performance obligation of the 2016 License Agreement was approximately $200,000.</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using the cost-to-cost method, which best depicts the transfer of control to the customer, the Company recognized $3,014, $10,446, and $11,897 of Collaboration revenue – related party, respectively, relating to the 2016 License Agreement.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2022 and 2021, there was $96,689, and $103,817 of deferred revenue related to the unsatisfied portion of the performance obligation under the Nestlé agreements. As of December 31, 2022, deferred revenue is classified as current or non-current in the consolidated balance sheets based on the Company’s estimate of revenue that will be recognized within the next twelve months, which is determined by the cost-to-cost method which measures the extent of progress towards completion based on the ratio of actual costs incurred to the total estimated costs expected upon satisfying the performance obligation. All costs associated with the 2016 License Agreement are recorded in research and development expense in the consolidated statements of operations and comprehensive loss.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 Research Collaboration and Option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Agreement</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2019, the Company entered into a Research Collaboration and Option Agreement (the “Research Agreement”) with MedImmune, LLC, a wholly owned subsidiary of AstraZeneca Inc. (“AstraZeneca”), to advance the mechanistic understanding of the microbiome in augmenting the efficacy of cancer immunotherapy. Under the Research Agreement, the Company and AstraZeneca would conduct certain research and development activities as set forth on a research plan focused on the role of the microbiome in certain cancers and cancer immunotherapies, including furthering the research program for SER-401, in combination with AstraZeneca compounds targeting various cancers.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the Research Agreement, the Company agreed not to conduct research or development on any microbiome products specifically designed by the Company during the term of the Research Agreement for the treatment of cancer (“Microbiome Oncology Products”), with or on behalf of any third-party without the prior approval of the joint steering committee for the Research Agreement for at least three years after the effective date (the “Exclusivity Period”). Additionally, AstraZeneca was to pay to the Company a total of $20,000 in three equal installments, the first of which the Company received in April 2019, the second of which the Company received in December 2019, and the third of which the Company received in January 2021. Additionally, AstraZeneca was to bear its costs of conducting activities under the research plan and to reimburse the Company for all activities performed under the research plan based on actual full-time employee (“FTE”) time and certain third-party costs incurred by the Company in connection therewith.</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Research Agreement, the Company granted to AstraZeneca an exclusive option to negotiate a worldwide, sublicensable exclusive license under relevant intellectual property rights controlled by the Company to exploit Microbiome Oncology Products for the treatment of cancer. Additionally, the Company granted to AstraZeneca an additional exclusive option to obtain a worldwide, sublicensable, license under certain intellectual property rights arising out of the Agreement or coming into the control of the Company during the term of the Agreement, which AstraZeneca did not exercise.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2020, the Company received written notice from AstraZeneca that AstraZeneca elected to terminate the Research Agreement by and in accordance with its terms. The termination of the Research Agreement was effective on April 2, 2021 (the “Termination Date”), which was 120 days from the date of the termination notice.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assessed the Research Agreement in accordance with ASC 606 and concluded that AstraZeneca was a customer, and that the promised goods and services in the Research Agreement represented one combined performance obligation to which the entire transaction price was allocated. The Company also concluded that each option does not constitute a performance obligation at inception and was therefore excluded from the initial allocation since each option represents a separate buying decision at market rates, rather than a material right in the contract.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 contract inception, the Company determined that the transaction price was comprised of: (i) the $20,000 fee, which represents fixed consideration, and (ii) the estimated reimbursement of research and development costs incurred, which totaled approximately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$13,900, which represents variable consideration. The Company included the variable consideration in the transaction price at contract inception because the Company had determined it was not probable that a significant reversal of cumulative revenue would occur.</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determined that revenue under the Research Agreement should be recognized over time, using a cost-to-cost input method, as AstraZeneca simultaneously receives the benefit from the Company as the Company performs under the single performance obligation over time.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2020, the Company received written notice that AstraZeneca elected to terminate the Research Agreement. As a result of AstraZeneca’s decision to terminate the Research Agreement, the Company’s performance obligations under the Research Agreement ended as of December 31, 2020. The final transaction price of $23,377 is comprised of the $20,000 fixed consideration and $3,376 for the reimbursed research and development costs. The Company recognized its remaining deferred revenue of $15,145 in collaboration revenue in the year ended December 31, 2020. No collaboration revenue was recognized for the years ended December 31, 2022 and 2021, as the Company's performance obligations under the Research Agreement ended December 31, 2020.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from Contracts with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changes in the Company’s contract liabilities during the year ended December 31, 2022 and 2021:</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liabilities: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103,817</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(7,128 )</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liabilities: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108,174</w:t>
            </w:r>
          </w:p>
        </w:tc>
        <w:tc>
          <w:tcPr>
            <w:tcW w:w="2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60" w:type="dxa"/>
            <w:vAlign w:val="bottom"/>
            <w:shd w:val="clear" w:color="auto" w:fill="CFF0FC"/>
          </w:tcPr>
          <w:p>
            <w:pPr>
              <w:spacing w:after="0"/>
              <w:rPr>
                <w:sz w:val="21"/>
                <w:szCs w:val="21"/>
                <w:color w:val="auto"/>
              </w:rPr>
            </w:pPr>
          </w:p>
        </w:tc>
        <w:tc>
          <w:tcPr>
            <w:tcW w:w="138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(12,514 )</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the following revenues as a result of changes in the contract liability balances in the respective periods:</w:t>
      </w:r>
    </w:p>
    <w:p>
      <w:pPr>
        <w:spacing w:after="0" w:line="169"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16510</wp:posOffset>
            </wp:positionV>
            <wp:extent cx="194564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9" w:lineRule="exact"/>
        <w:rPr>
          <w:sz w:val="20"/>
          <w:szCs w:val="20"/>
          <w:color w:val="auto"/>
        </w:rPr>
      </w:pPr>
    </w:p>
    <w:p>
      <w:pPr>
        <w:ind w:left="8060"/>
        <w:spacing w:after="0"/>
        <w:tabs>
          <w:tab w:leader="none" w:pos="97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15875</wp:posOffset>
            </wp:positionV>
            <wp:extent cx="19456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-125095</wp:posOffset>
            </wp:positionV>
            <wp:extent cx="641223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p>
    <w:p>
      <w:pPr>
        <w:ind w:left="680"/>
        <w:spacing w:after="0"/>
        <w:tabs>
          <w:tab w:leader="none" w:pos="7500" w:val="left"/>
          <w:tab w:leader="none" w:pos="8460" w:val="left"/>
          <w:tab w:leader="none" w:pos="9160" w:val="left"/>
          <w:tab w:leader="none" w:pos="10060" w:val="left"/>
        </w:tabs>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7,128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10,446</w:t>
      </w:r>
    </w:p>
    <w:p>
      <w:pPr>
        <w:spacing w:after="0" w:line="26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transferring goods or services to the customer under the terms of a contract, a contract liability is recorded. Revenue is recognized from the contract liability over time using the cost-to-cost method.</w:t>
      </w:r>
    </w:p>
    <w:p>
      <w:pPr>
        <w:spacing w:after="0" w:line="266"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(250,157 )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(65,578 )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(89,127 )</w:t>
            </w: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108,077,043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91,702,866</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79,789,220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2"/>
                <w:szCs w:val="22"/>
                <w:color w:val="auto"/>
              </w:rPr>
            </w:pPr>
          </w:p>
        </w:tc>
      </w:tr>
      <w:tr>
        <w:trPr>
          <w:trHeight w:val="629"/>
        </w:trPr>
        <w:tc>
          <w:tcPr>
            <w:tcW w:w="580" w:type="dxa"/>
            <w:vAlign w:val="bottom"/>
          </w:tcPr>
          <w:p>
            <w:pPr>
              <w:spacing w:after="0"/>
              <w:rPr>
                <w:sz w:val="24"/>
                <w:szCs w:val="24"/>
                <w:color w:val="auto"/>
              </w:rPr>
            </w:pPr>
          </w:p>
        </w:tc>
        <w:tc>
          <w:tcPr>
            <w:tcW w:w="582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F-31</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-522605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-504825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-522605</wp:posOffset>
            </wp:positionV>
            <wp:extent cx="596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-504825</wp:posOffset>
            </wp:positionV>
            <wp:extent cx="596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-522605</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unvested restricted common stock and shares issuable under the ESPP, have been excluded from the computation of diluted net loss per share as the effect would be to reduce the net loss per share and therefore been anti-dilutive.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194"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26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6300" w:type="dxa"/>
            <w:vAlign w:val="bottom"/>
          </w:tcPr>
          <w:p>
            <w:pPr>
              <w:spacing w:after="0"/>
              <w:rPr>
                <w:sz w:val="15"/>
                <w:szCs w:val="15"/>
                <w:color w:val="auto"/>
              </w:rPr>
            </w:pPr>
          </w:p>
        </w:tc>
        <w:tc>
          <w:tcPr>
            <w:tcW w:w="10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r>
      <w:tr>
        <w:trPr>
          <w:trHeight w:val="237"/>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14,940,034</w:t>
            </w:r>
          </w:p>
        </w:tc>
        <w:tc>
          <w:tcPr>
            <w:tcW w:w="2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11,517,189</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10,037,130</w:t>
            </w:r>
          </w:p>
        </w:tc>
        <w:tc>
          <w:tcPr>
            <w:tcW w:w="80" w:type="dxa"/>
            <w:vAlign w:val="bottom"/>
            <w:shd w:val="clear" w:color="auto" w:fill="CFF0FC"/>
          </w:tcPr>
          <w:p>
            <w:pPr>
              <w:spacing w:after="0"/>
              <w:rPr>
                <w:sz w:val="20"/>
                <w:szCs w:val="20"/>
                <w:color w:val="auto"/>
              </w:rPr>
            </w:pP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734,755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tcPr>
          <w:p>
            <w:pPr>
              <w:spacing w:after="0"/>
              <w:rPr>
                <w:sz w:val="20"/>
                <w:szCs w:val="20"/>
                <w:color w:val="auto"/>
              </w:rPr>
            </w:pPr>
          </w:p>
        </w:tc>
      </w:tr>
      <w:tr>
        <w:trPr>
          <w:trHeight w:val="247"/>
        </w:trPr>
        <w:tc>
          <w:tcPr>
            <w:tcW w:w="6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issuable under employee stock purchase plan</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165,047</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16,579,167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12,416,991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10,054,416</w:t>
            </w:r>
          </w:p>
        </w:tc>
        <w:tc>
          <w:tcPr>
            <w:tcW w:w="8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-187960</wp:posOffset>
            </wp:positionV>
            <wp:extent cx="68580" cy="1885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60325"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-187960</wp:posOffset>
            </wp:positionV>
            <wp:extent cx="5969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7 “Leases” for discussion of the commitments associated with the Company’s lease portfolio.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2022 or 2021.</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spacing w:after="0" w:line="183"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did not accrue any liabilities related to legal contingencies in its consolidated financial statements as of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Bacthera Long Term Manufacturing Agreement</w:t>
      </w:r>
    </w:p>
    <w:p>
      <w:pPr>
        <w:spacing w:after="0" w:line="121"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8"/>
          <w:szCs w:val="18"/>
          <w:color w:val="auto"/>
        </w:rPr>
        <w:t>On November 8, 2021, the Company entered into a Long Term Manufacturing Agreement with BacThera AG (“Bacthera”), a joint venture between Chr. Hansen and a Lonza Group affiliate, which was amended on December 14, 2022 (the "Bacthera Agreement"). The Bacthera Agreement governs the general terms under which Bacthera, or one of its affiliates, will (i) construct a dedicated full-scale production suite for the Company at Bacthera’s Microbiome Center of Excellence in Visp, Switzerland, which is currently under construction; and (ii) provide manufacturing services to the Company for its SER-109 product and other products, as agreed to by the parties.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78"/>
        <w:spacing w:after="0" w:line="254" w:lineRule="auto"/>
        <w:rPr>
          <w:sz w:val="20"/>
          <w:szCs w:val="20"/>
          <w:color w:val="auto"/>
        </w:rPr>
      </w:pPr>
      <w:r>
        <w:rPr>
          <w:rFonts w:ascii="Times New Roman" w:cs="Times New Roman" w:eastAsia="Times New Roman" w:hAnsi="Times New Roman"/>
          <w:sz w:val="18"/>
          <w:szCs w:val="18"/>
          <w:color w:val="auto"/>
        </w:rPr>
        <w:t>Under the terms of the Bacthera Agreement, the Company agreed to pay Bacthera a total of at least 256,000 CHF (or approximately $277,000) for the initial term of the agreement, inclusive of the construction fees and annual operating fees. Bacthera is funding the majority of the construction costs and will own and control the manufacturing suite during construction. The construction fees that the Company is responsible for represent a small percentage of the overall construction costs and are payable upon the achievement of certain milestones related to the construction of the dedicated manufacturing suite. The annual operating fee includes the cost of a baseline annual batch production volume. The Company has also agreed to pay certain other ancillary fees and a per-batch fee in excess of the baseline batches. These fees are subject to adjustment during construction for certain items outside of Bacthera’s control and annually against an agreed index. The Company will supply the active pharmaceutical ingredients to Bacthera to enable it to perform the services and pay for certain other raw materials and manufacturing components, which will be acquired by Bacthera.</w:t>
      </w:r>
    </w:p>
    <w:p>
      <w:pPr>
        <w:spacing w:after="0" w:line="192" w:lineRule="exact"/>
        <w:rPr>
          <w:sz w:val="20"/>
          <w:szCs w:val="20"/>
          <w:color w:val="auto"/>
        </w:rPr>
      </w:pPr>
    </w:p>
    <w:p>
      <w:pPr>
        <w:jc w:val="both"/>
        <w:ind w:right="20" w:firstLine="578"/>
        <w:spacing w:after="0" w:line="282" w:lineRule="auto"/>
        <w:rPr>
          <w:sz w:val="20"/>
          <w:szCs w:val="20"/>
          <w:color w:val="auto"/>
        </w:rPr>
      </w:pPr>
      <w:r>
        <w:rPr>
          <w:rFonts w:ascii="Times New Roman" w:cs="Times New Roman" w:eastAsia="Times New Roman" w:hAnsi="Times New Roman"/>
          <w:sz w:val="18"/>
          <w:szCs w:val="18"/>
          <w:color w:val="auto"/>
        </w:rPr>
        <w:t>The Bacthera Agreement has an initial term that continues until the tenth anniversary of the earlier of (a) successful completion of construction and demonstration of Bacthera’s readiness for commercial production or (b) the commencement of manufacturing.</w:t>
      </w:r>
    </w:p>
    <w:p>
      <w:pPr>
        <w:spacing w:after="0" w:line="162" w:lineRule="exact"/>
        <w:rPr>
          <w:sz w:val="20"/>
          <w:szCs w:val="20"/>
          <w:color w:val="auto"/>
        </w:rPr>
      </w:pPr>
    </w:p>
    <w:p>
      <w:pPr>
        <w:jc w:val="both"/>
        <w:ind w:firstLine="578"/>
        <w:spacing w:after="0" w:line="256" w:lineRule="auto"/>
        <w:rPr>
          <w:sz w:val="20"/>
          <w:szCs w:val="20"/>
          <w:color w:val="auto"/>
        </w:rPr>
      </w:pPr>
      <w:r>
        <w:rPr>
          <w:rFonts w:ascii="Times New Roman" w:cs="Times New Roman" w:eastAsia="Times New Roman" w:hAnsi="Times New Roman"/>
          <w:sz w:val="18"/>
          <w:szCs w:val="18"/>
          <w:color w:val="auto"/>
        </w:rPr>
        <w:t>The initial term is subject to renewals, which could extend the term to 16 years, and additional three-year terms thereafter. Each party has the ability to terminate the Bacthera Agreement upon the occurrence of certain customary conditions. The Company may also terminate the Bacthera Agreement for convenience after a defined period. In the event of a termination, the Company has certain financial obligations that would apply, and Bacthera has agreed to grant a license to Bacthera-developed manufacturing know how, if any, and provide technical assistance to the Company, so that the Company could transfer the manufacturing operations to itself or a third party. The Bacthera Agreement also contains representations, warranties and indemnity obligations as well as limitations of liability that are customary for agreements of this type.</w:t>
      </w:r>
    </w:p>
    <w:p>
      <w:pPr>
        <w:spacing w:after="0" w:line="18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Bacthera Agreement represents a lease as the Company will have the right to use the dedicated manufacturing suite for a period of time following completion of the construction of the manufacturing suite and approval by regulatory authorities. As of December 31, 2022, the lease commencement date has not occurred and therefore the Company has not recorded an operating lease asset or an operating lease liability on its consolidated balance sheets. As of December 31, 2022, the Company has paid Bacthera $12,276, of which $3,448 was expensed in the year ended December 31, 2021, and $8,828 relate to the construction of the dedicated manufacturing suite and are included in other non-current assets in the accompanying consolidated balance sheet.</w:t>
      </w:r>
    </w:p>
    <w:p>
      <w:pPr>
        <w:spacing w:after="0" w:line="291"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recorded no income tax benefits for the net operating losses incurred in each year or interim period, due to its uncertainty of realizing a benefit from those items.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3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8"/>
        </w:trPr>
        <w:tc>
          <w:tcPr>
            <w:tcW w:w="11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5"/>
              </w:rPr>
              <w: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w w:val="95"/>
              </w:rPr>
              <w:t>)%</w:t>
            </w:r>
          </w:p>
        </w:tc>
      </w:tr>
      <w:tr>
        <w:trPr>
          <w:trHeight w:val="245"/>
        </w:trPr>
        <w:tc>
          <w:tcPr>
            <w:tcW w:w="1140" w:type="dxa"/>
            <w:vAlign w:val="bottom"/>
          </w:tcPr>
          <w:p>
            <w:pPr>
              <w:spacing w:after="0"/>
              <w:rPr>
                <w:sz w:val="21"/>
                <w:szCs w:val="21"/>
                <w:color w:val="auto"/>
              </w:rPr>
            </w:pPr>
          </w:p>
        </w:tc>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(3.1 )</w:t>
            </w:r>
          </w:p>
        </w:tc>
        <w:tc>
          <w:tcPr>
            <w:tcW w:w="740" w:type="dxa"/>
            <w:vAlign w:val="bottom"/>
          </w:tcPr>
          <w:p>
            <w:pPr>
              <w:spacing w:after="0"/>
              <w:rPr>
                <w:sz w:val="21"/>
                <w:szCs w:val="21"/>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5"/>
              </w:rPr>
              <w:t>(16.6 )</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5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(4.3 )</w:t>
            </w:r>
          </w:p>
        </w:tc>
        <w:tc>
          <w:tcPr>
            <w:tcW w:w="7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(2.8 )</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12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(0.4 )</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120" w:type="dxa"/>
            <w:vAlign w:val="bottom"/>
          </w:tcPr>
          <w:p>
            <w:pPr>
              <w:spacing w:after="0"/>
              <w:rPr>
                <w:sz w:val="20"/>
                <w:szCs w:val="20"/>
                <w:color w:val="auto"/>
              </w:rPr>
            </w:pPr>
          </w:p>
        </w:tc>
      </w:tr>
      <w:tr>
        <w:trPr>
          <w:trHeight w:val="252"/>
        </w:trPr>
        <w:tc>
          <w:tcPr>
            <w:tcW w:w="1140" w:type="dxa"/>
            <w:vAlign w:val="bottom"/>
          </w:tcPr>
          <w:p>
            <w:pPr>
              <w:spacing w:after="0"/>
              <w:rPr>
                <w:sz w:val="21"/>
                <w:szCs w:val="21"/>
                <w:color w:val="auto"/>
              </w:rPr>
            </w:pPr>
          </w:p>
        </w:tc>
        <w:tc>
          <w:tcPr>
            <w:tcW w:w="5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Uncertain tax position reserves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7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20" w:type="dxa"/>
            <w:vAlign w:val="bottom"/>
          </w:tcPr>
          <w:p>
            <w:pPr>
              <w:spacing w:after="0"/>
              <w:rPr>
                <w:sz w:val="20"/>
                <w:szCs w:val="20"/>
                <w:color w:val="auto"/>
              </w:rPr>
            </w:pPr>
          </w:p>
        </w:tc>
        <w:tc>
          <w:tcPr>
            <w:tcW w:w="1340" w:type="dxa"/>
            <w:vAlign w:val="bottom"/>
            <w:gridSpan w:val="3"/>
          </w:tcPr>
          <w:p>
            <w:pPr>
              <w:jc w:val="right"/>
              <w:ind w:right="68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586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F-33</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-1765300</wp:posOffset>
            </wp:positionV>
            <wp:extent cx="5700395"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-685165</wp:posOffset>
            </wp:positionV>
            <wp:extent cx="51435"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51435"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deferred tax assets as of December 31, 2022 and 2021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132,560</w:t>
            </w:r>
          </w:p>
        </w:tc>
        <w:tc>
          <w:tcPr>
            <w:tcW w:w="2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48,854</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53,133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capitalized research and development expenses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29,922</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36,666</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Section 163(j) limitation</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306,938</w:t>
            </w:r>
          </w:p>
        </w:tc>
        <w:tc>
          <w:tcPr>
            <w:tcW w:w="2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(29,568 )</w:t>
            </w: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(29,568 )</w:t>
            </w: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(4,918 )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(277,370</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(220,114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-1148080</wp:posOffset>
            </wp:positionV>
            <wp:extent cx="51435"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-1148080</wp:posOffset>
            </wp:positionV>
            <wp:extent cx="4318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-513715</wp:posOffset>
            </wp:positionV>
            <wp:extent cx="51435"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-513715</wp:posOffset>
            </wp:positionV>
            <wp:extent cx="4318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51435"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Tax Cuts and Jobs Act ("TCJA") requires taxpayers to capitalize and amortize research and experimental expenditures under IRC Section 174 for tax years beginning after December 31, 2021. This rule became effective for the Company during the year ended December 31, 2022 and resulted in the capitalization of research and development costs of $160,586. The Company will amortize these costs for tax purposes over five years if the research and development was performed in the U.S. and over 15 years if the research and development was performed outside the U.S.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had net operating loss carryforwards (“NOLs”) for federal and state income tax purposes of $501,789 and $481,862, respectively. Federal NOLs of $119,800, generated before 2018, will begin expiring in varying amounts in 2035 unless utilized. The remaining federal NOLs of $381,989, generated after 2017, will be carried forward indefinitely and could be used to offset up to 80% of taxable income in future tax years. The Company's state NOLs will expire at various times starting in 2035. As of December 31, 2022, the Company also had available gross research and development tax credit carryforwards for federal and state income tax purposes of $50,248 and $12,925, respectively, which begin to expire in 2031 and 2028, respectively. The federal research and development tax credits include an orphan drug credit carryforward of $25,623.</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Utilization of the NOLs and research and development tax credit carryforwards may be subject to a substantial annual limitation under Sections 382 and 383 of the Internal Revenue Code ("IRC")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Since its formation, the Company has raised capital through the issuance of capital stock on several occasions. These financings, combined with the purchasing shareholders' subsequent disposition of those shares, may have resulted in a change of control or could result in a change of control in the future upon subsequent disposition. The Company conducted an analysis to determine if historical changes in ownership through December 31, 2020 would limit or otherwise restrict its ability to utilize these NOLs and research and development credit carryforwards. As a result of this analysis, the Company does not believe there are any significant limitations on its ability to utilize these carryforwards. However, future changes in ownership after December 31, 2020 could affect the limitation in future years. Any limitation may result in expiration of a portion of the NOLs or research and development credit carryforwards before utilization.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assets as of December 31, 2022 and 2021. Management reevaluates the positive and negative evidence at each reporting period.</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2022, 2021 and 2020 related primarily to the increases in NOLs, research and development tax credit carryforwards and capitalized research and development expenses pursuant to IRC Section 174, and stock-based compensation were as follows: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r>
      <w:tr>
        <w:trPr>
          <w:trHeight w:val="23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(220,114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(193,736</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(157,346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recorded as benefit to income tax provision</w:t>
            </w:r>
          </w:p>
        </w:tc>
        <w:tc>
          <w:tcPr>
            <w:tcW w:w="240" w:type="dxa"/>
            <w:vAlign w:val="bottom"/>
          </w:tcPr>
          <w:p>
            <w:pPr>
              <w:spacing w:after="0"/>
              <w:rPr>
                <w:sz w:val="20"/>
                <w:szCs w:val="20"/>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(57,256 )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(26,378 )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(36,390 )</w:t>
            </w:r>
          </w:p>
        </w:tc>
      </w:tr>
      <w:tr>
        <w:trPr>
          <w:trHeight w:val="20"/>
        </w:trPr>
        <w:tc>
          <w:tcPr>
            <w:tcW w:w="5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(277,370 </w:t>
            </w:r>
            <w:r>
              <w:rPr>
                <w:rFonts w:ascii="Times New Roman" w:cs="Times New Roman" w:eastAsia="Times New Roman" w:hAnsi="Times New Roman"/>
                <w:sz w:val="18"/>
                <w:szCs w:val="18"/>
                <w:color w:val="auto"/>
                <w:highlight w:val="white"/>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 xml:space="preserve">(220,114 </w:t>
            </w:r>
            <w:r>
              <w:rPr>
                <w:rFonts w:ascii="Times New Roman" w:cs="Times New Roman" w:eastAsia="Times New Roman" w:hAnsi="Times New Roman"/>
                <w:sz w:val="18"/>
                <w:szCs w:val="18"/>
                <w:color w:val="auto"/>
                <w:highlight w:val="white"/>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(193,736 </w:t>
            </w:r>
            <w:r>
              <w:rPr>
                <w:rFonts w:ascii="Times New Roman" w:cs="Times New Roman" w:eastAsia="Times New Roman" w:hAnsi="Times New Roman"/>
                <w:sz w:val="18"/>
                <w:szCs w:val="18"/>
                <w:color w:val="auto"/>
                <w:highlight w:val="white"/>
              </w:rPr>
              <w:t>)</w:t>
            </w: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currently under examination by the Internal Revenue Service ("IRS") for the period ended December 31, 2018 related to its 2018 research and development tax credits ("R&amp;D Credit(s)"). The Company has adjusted its 2018 R&amp;D Credits and its overall federal and state R&amp;D Credit carryforward balance from the Company's inception to December 31, 2022, based on the most recent information received from the IRS regarding the examination. Also, the Company has reviewed each of its overall filing positions since inception and has not identified any additional positions that do not meet the more likely than not threshold. The Company does not anticipate a material change to its uncertain tax position reserves in the next 12 months. The changes in the Company's unrecognized tax benefits for the years ended December 31, 2022, 2021, and 2020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unrecognized tax benefits as a result of tax positions taken</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during the year</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Reduction to unrecognized tax benefits</w:t>
            </w: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8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Increases in unrecognized tax benefits as a result of tax positions taken</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5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during current period</w:t>
            </w:r>
          </w:p>
        </w:tc>
        <w:tc>
          <w:tcPr>
            <w:tcW w:w="3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-299720</wp:posOffset>
            </wp:positionV>
            <wp:extent cx="77470" cy="3003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-299720</wp:posOffset>
            </wp:positionV>
            <wp:extent cx="68580" cy="3003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3003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not yet conducted a study of its research and development credit carry forwards. This study may result in further adjustment to the Company’s R&amp;D Credits; however, a full valuation allowance has been provided against the Company’s R&amp;D Credits, and if an adjustment is required, this adjustment would be offset by an adjustment to the valuation allowance. Thus, there would be no impact to the consolidated balance sheet or statement of operations if an adjustment were required. The Company had no other unrecognized tax benefits accrued for the years ended December 31, 2022 and 2021, or related interest and penalties as of such dates. The Company will recognize any interest and penalties related to uncertain tax positions in income tax expense.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2011 to present. All years may be examined to the extent the tax credit or net operating loss carryforwards are used in future periods.</w:t>
      </w:r>
    </w:p>
    <w:p>
      <w:pPr>
        <w:spacing w:after="0" w:line="280"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described in Note 11, in July 2021, the Company entered into the 2021 License Agreement with NHSc Pharma Partners (together with Société des Produits Nestlé S.A., “Nestlé”). NHSc Pharma Partners is an affiliate of two of the Company's significant stockholders, Société des Produits Nestlé S.A. and Nestlé Health Science U.S. Holdings, Inc. During the years ended December 31, 2022 and 2021, the Company recognized $4,114 and $133,411 of related party revenue, respectively, associated with the 2021 License Agreement. As of the years ended December 31, 2022 and 2021, there was $1,976 and $6,089 of deferred revenue related to the 2021 License Agreement, which is classified as current or non-current in the consolidated balance sheets. As of December 31, 2022 and 2021 there was $34,770 and $21,098 included in accrued expenses and other liabilities and $0 and $10,585 included in other long term liabilities, respectively, related to the 2021 License Agreement. The Company has made no payments to Nestlé during the years ended December 31, 2022 and 2021. There was no amount due from Nestlé as of December 31, 2022 and 2021.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described in Note 11, in January 2016, the Company entered into the 2016 License Agreement with Société des Produits Nestlé S.A. (successor in interest to Nestec, Ltd.) for the development and commercialization of certain product candidates in development for the treatment and management of CDI and IBD, including UC and Crohn’s disease. Société des Produits Nestlé S.A. and its affiliate Nestlé Health Science U.S. Holdings, Inc. are two of the Company's significant stockholders. During the years ended December 31, 2022, 2021, and 2020, the Company recognized $3,014, $10,446, and $11,897, respectively, of related party revenue associated with the 2016 License Agreement. As of December 31, 2022 and 2021, there was $94,713 and $97,728, respectively, of deferred revenue related to the 2016 License Agreement, which is classified as current or non-current in the consolidated balance sheets. The Company has made no payments to Nestlé during the years ended December 31, 2022 and 2021. There was no amount due from Nestlé as of December 31, 2022 and 2021.</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described in Note 10, the Company entered into a securities purchase agreement with Flagship Pioneering Fund VII, L.P. and Nutritional Health LTP Fund, L.P., affiliates of Flagship, one of the Company's significant stockholders, for the sale of 8,738,243 shares of its common stock at a purchase price of $3.15 per share as part of the Registered Direct Offering, which closed on July 5, 2022. The Company received proceeds from Flagship of $27,525.</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July 2022, the Company entered into a Pledge and Utilization Agreement with Flagship Pioneering Labs TPC, Inc., an affiliate of Flagship, for an option to lease certain manufacturing space. The Company paid $833 for this option which is classified in other non-current assets on the Company's condensed consolidated balance sheet as of December 31, 2022.</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July 2019, the Company entered into a sublease agreement with Flagship to sublease a portion of its office and laboratory space in Cambridge, Massachusetts. The term of the sublease agreement commenced in July 2019 and ended in November 2021. Under this agreement, the Company recorded other income of $0 and $1,575 during the years ended December 31, 2022 and 2021. The Company received cash payments of $0 and $1,575 during the years ended December 31, 2022 and 2021.</w:t>
      </w:r>
    </w:p>
    <w:p>
      <w:pPr>
        <w:spacing w:after="0" w:line="284"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401(k) Savings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Effective January 1, 2016, the Company elected to match 50% of the first 6% of an employee’s deferral. Company contributions are expensed in the year for which they are declared. During the years ended December 31, 2022, 2021, and 2020 the Company recorded expense of $1,921, $1,087, and $586, respectively, for 401(k) match contributions.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eres</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3"/>
          <w:szCs w:val="13"/>
          <w:b w:val="1"/>
          <w:bCs w:val="1"/>
          <w:color w:val="auto"/>
        </w:rPr>
        <w:t>as amended and restated effective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ecember</w:t>
      </w:r>
      <w:r>
        <w:rPr>
          <w:rFonts w:ascii="Times New Roman" w:cs="Times New Roman" w:eastAsia="Times New Roman" w:hAnsi="Times New Roman"/>
          <w:sz w:val="20"/>
          <w:szCs w:val="20"/>
          <w:b w:val="1"/>
          <w:bCs w:val="1"/>
          <w:color w:val="auto"/>
        </w:rPr>
        <w:t xml:space="preserve"> 14, 2022)</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urpose</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Section XI. This Plan constitutes an amendment and restatement of the Seres Therapeutics, Inc. 2015 Incentive Award Plan.</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ligibility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Service Providers are eligible to be granted Awards under the Plan, subject to the limitations described herein.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elegation</w:t>
      </w:r>
    </w:p>
    <w:p>
      <w:pPr>
        <w:spacing w:after="0" w:line="216" w:lineRule="exact"/>
        <w:rPr>
          <w:sz w:val="20"/>
          <w:szCs w:val="20"/>
          <w:color w:val="auto"/>
        </w:rPr>
      </w:pPr>
    </w:p>
    <w:p>
      <w:pPr>
        <w:jc w:val="both"/>
        <w:ind w:firstLine="757"/>
        <w:spacing w:after="0" w:line="245" w:lineRule="auto"/>
        <w:tabs>
          <w:tab w:leader="none" w:pos="150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79" w:lineRule="exact"/>
        <w:rPr>
          <w:rFonts w:ascii="Times New Roman" w:cs="Times New Roman" w:eastAsia="Times New Roman" w:hAnsi="Times New Roman"/>
          <w:sz w:val="20"/>
          <w:szCs w:val="20"/>
          <w:color w:val="auto"/>
        </w:rPr>
      </w:pPr>
    </w:p>
    <w:p>
      <w:pPr>
        <w:jc w:val="both"/>
        <w:ind w:firstLine="757"/>
        <w:spacing w:after="0" w:line="256" w:lineRule="auto"/>
        <w:tabs>
          <w:tab w:leader="none" w:pos="150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 of Committees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To the extent Applicable Laws permit, the Board may delegate any or all of its powers under the Plan to one or more Committees. The Board may abolish any Committee or re-vest in itself any previously delegated authority at any time.</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vailable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wards</w:t>
      </w:r>
    </w:p>
    <w:p>
      <w:pPr>
        <w:spacing w:after="0" w:line="216" w:lineRule="exact"/>
        <w:rPr>
          <w:sz w:val="20"/>
          <w:szCs w:val="20"/>
          <w:color w:val="auto"/>
        </w:rPr>
      </w:pPr>
    </w:p>
    <w:p>
      <w:pPr>
        <w:jc w:val="both"/>
        <w:ind w:firstLine="757"/>
        <w:spacing w:after="0" w:line="250" w:lineRule="auto"/>
        <w:tabs>
          <w:tab w:leader="none" w:pos="150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Subject to adjustment under Section VIII and the terms of this Section IV, Awards may be made under the Plan covering up to the Overall Share Limit. As of the Plan’s effective date under Section X(c), the Company will cease granting awards under the Prior Plans; however, Prior Plan Awards will remain subject to the terms of the applicable Prior Plan. Shares issued under the Plan may consist of authorized but unissued Shares, Shares purchased on the open market or treasury Shares.</w:t>
      </w:r>
    </w:p>
    <w:p>
      <w:pPr>
        <w:spacing w:after="0" w:line="179" w:lineRule="exact"/>
        <w:rPr>
          <w:rFonts w:ascii="Times New Roman" w:cs="Times New Roman" w:eastAsia="Times New Roman" w:hAnsi="Times New Roman"/>
          <w:sz w:val="20"/>
          <w:szCs w:val="20"/>
          <w:color w:val="auto"/>
        </w:rPr>
      </w:pPr>
    </w:p>
    <w:p>
      <w:pPr>
        <w:jc w:val="both"/>
        <w:ind w:firstLine="757"/>
        <w:spacing w:after="0" w:line="259" w:lineRule="auto"/>
        <w:tabs>
          <w:tab w:leader="none" w:pos="1506"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Share Recycling</w:t>
      </w:r>
      <w:r>
        <w:rPr>
          <w:rFonts w:ascii="Times New Roman" w:cs="Times New Roman" w:eastAsia="Times New Roman" w:hAnsi="Times New Roman"/>
          <w:sz w:val="19"/>
          <w:szCs w:val="19"/>
          <w:color w:val="auto"/>
        </w:rPr>
        <w:t>. If all or any part of an Award or Prior Plan Award expires, lapses or is terminated,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(including Shares retained by the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3" w:name="page134"/>
    <w:bookmarkEnd w:id="133"/>
    <w:p>
      <w:pPr>
        <w:jc w:val="both"/>
        <w:spacing w:after="0" w:line="253" w:lineRule="auto"/>
        <w:rPr>
          <w:sz w:val="20"/>
          <w:szCs w:val="20"/>
          <w:color w:val="auto"/>
        </w:rPr>
      </w:pPr>
      <w:r>
        <w:rPr>
          <w:rFonts w:ascii="Times New Roman" w:cs="Times New Roman" w:eastAsia="Times New Roman" w:hAnsi="Times New Roman"/>
          <w:sz w:val="20"/>
          <w:szCs w:val="20"/>
          <w:color w:val="auto"/>
        </w:rPr>
        <w:t>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w:t>
      </w:r>
    </w:p>
    <w:p>
      <w:pPr>
        <w:spacing w:after="0" w:line="176" w:lineRule="exact"/>
        <w:rPr>
          <w:sz w:val="20"/>
          <w:szCs w:val="20"/>
          <w:color w:val="auto"/>
        </w:rPr>
      </w:pPr>
    </w:p>
    <w:p>
      <w:pPr>
        <w:ind w:firstLine="757"/>
        <w:spacing w:after="0" w:line="269" w:lineRule="auto"/>
        <w:tabs>
          <w:tab w:leader="none" w:pos="150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Incentive Stock Option Limitations</w:t>
      </w:r>
      <w:r>
        <w:rPr>
          <w:rFonts w:ascii="Times New Roman" w:cs="Times New Roman" w:eastAsia="Times New Roman" w:hAnsi="Times New Roman"/>
          <w:sz w:val="20"/>
          <w:szCs w:val="20"/>
          <w:color w:val="auto"/>
        </w:rPr>
        <w:t>. Notwithstanding anything to the contrary herein, no more than 17,200,000 Shares may be issued pursuant to the exercise of Incentive Stock Options.</w:t>
      </w:r>
    </w:p>
    <w:p>
      <w:pPr>
        <w:spacing w:after="0" w:line="159" w:lineRule="exact"/>
        <w:rPr>
          <w:rFonts w:ascii="Times New Roman" w:cs="Times New Roman" w:eastAsia="Times New Roman" w:hAnsi="Times New Roman"/>
          <w:sz w:val="20"/>
          <w:szCs w:val="20"/>
          <w:color w:val="auto"/>
        </w:rPr>
      </w:pPr>
    </w:p>
    <w:p>
      <w:pPr>
        <w:jc w:val="both"/>
        <w:ind w:firstLine="757"/>
        <w:spacing w:after="0" w:line="245" w:lineRule="auto"/>
        <w:tabs>
          <w:tab w:leader="none" w:pos="150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except that Shares acquired by exercise of substitute Incentive Stock Options will count against the maximum number of Shares that may be issued pursuant to the exercise of Incentive Stock Options under the Plan.</w:t>
      </w:r>
    </w:p>
    <w:p>
      <w:pPr>
        <w:spacing w:after="0" w:line="180" w:lineRule="exact"/>
        <w:rPr>
          <w:rFonts w:ascii="Times New Roman" w:cs="Times New Roman" w:eastAsia="Times New Roman" w:hAnsi="Times New Roman"/>
          <w:sz w:val="20"/>
          <w:szCs w:val="20"/>
          <w:color w:val="auto"/>
        </w:rPr>
      </w:pPr>
    </w:p>
    <w:p>
      <w:pPr>
        <w:jc w:val="both"/>
        <w:ind w:firstLine="757"/>
        <w:spacing w:after="0" w:line="257" w:lineRule="auto"/>
        <w:tabs>
          <w:tab w:leader="none" w:pos="1506"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Non-Employee Director Compensation</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$700,000.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compensation decisions involving non-employee Directors.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ights</w:t>
      </w:r>
    </w:p>
    <w:p>
      <w:pPr>
        <w:spacing w:after="0" w:line="216" w:lineRule="exact"/>
        <w:rPr>
          <w:sz w:val="20"/>
          <w:szCs w:val="20"/>
          <w:color w:val="auto"/>
        </w:rPr>
      </w:pPr>
    </w:p>
    <w:p>
      <w:pPr>
        <w:jc w:val="both"/>
        <w:ind w:firstLine="757"/>
        <w:spacing w:after="0" w:line="258" w:lineRule="auto"/>
        <w:tabs>
          <w:tab w:leader="none" w:pos="1506"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The Administrator may grant Options or Stock Appreciation Rights to Service Providers subject to the limitations in the Plan, including Section IX(i) with respect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67" w:lineRule="exact"/>
        <w:rPr>
          <w:rFonts w:ascii="Times New Roman" w:cs="Times New Roman" w:eastAsia="Times New Roman" w:hAnsi="Times New Roman"/>
          <w:sz w:val="19"/>
          <w:szCs w:val="19"/>
          <w:color w:val="auto"/>
        </w:rPr>
      </w:pPr>
    </w:p>
    <w:p>
      <w:pPr>
        <w:jc w:val="both"/>
        <w:ind w:firstLine="757"/>
        <w:spacing w:after="0" w:line="256" w:lineRule="auto"/>
        <w:tabs>
          <w:tab w:leader="none" w:pos="150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ind w:right="20" w:firstLine="757"/>
        <w:spacing w:after="0" w:line="272" w:lineRule="auto"/>
        <w:tabs>
          <w:tab w:leader="none" w:pos="150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of Options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Option or Stock Appreciation Right will be exercisable at such times and as specified in the Award Agreement, provided that the term of an Option or Stock Appreciation Right will not exceed ten years.</w:t>
      </w:r>
    </w:p>
    <w:p>
      <w:pPr>
        <w:spacing w:after="0" w:line="152" w:lineRule="exact"/>
        <w:rPr>
          <w:rFonts w:ascii="Times New Roman" w:cs="Times New Roman" w:eastAsia="Times New Roman" w:hAnsi="Times New Roman"/>
          <w:sz w:val="20"/>
          <w:szCs w:val="20"/>
          <w:color w:val="auto"/>
        </w:rPr>
      </w:pPr>
    </w:p>
    <w:p>
      <w:pPr>
        <w:jc w:val="both"/>
        <w:ind w:firstLine="757"/>
        <w:spacing w:after="0" w:line="247" w:lineRule="auto"/>
        <w:tabs>
          <w:tab w:leader="none" w:pos="150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V(e) for the number of Shares for which the Award is exercised and (ii) as specified in Section IX(e) for any applicable taxes. Unless the Administrator otherwise determines, an Option or Stock Appreciation Right may not be exercised for a fraction of a Share.</w:t>
      </w:r>
    </w:p>
    <w:p>
      <w:pPr>
        <w:spacing w:after="0" w:line="180" w:lineRule="exact"/>
        <w:rPr>
          <w:rFonts w:ascii="Times New Roman" w:cs="Times New Roman" w:eastAsia="Times New Roman" w:hAnsi="Times New Roman"/>
          <w:sz w:val="20"/>
          <w:szCs w:val="20"/>
          <w:color w:val="auto"/>
        </w:rPr>
      </w:pPr>
    </w:p>
    <w:p>
      <w:pPr>
        <w:jc w:val="both"/>
        <w:ind w:firstLine="757"/>
        <w:spacing w:after="0" w:line="256" w:lineRule="auto"/>
        <w:tabs>
          <w:tab w:leader="none" w:pos="150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exercise price of an Option must be paid in cash, wire transfer of immediately available funds or by check payable to the order of the Company or, subject to Section X(h), any Company insider trading policy (including blackout periods) and Applicable Laws, by:</w:t>
      </w:r>
    </w:p>
    <w:p>
      <w:pPr>
        <w:spacing w:after="0" w:line="172" w:lineRule="exact"/>
        <w:rPr>
          <w:rFonts w:ascii="Times New Roman" w:cs="Times New Roman" w:eastAsia="Times New Roman" w:hAnsi="Times New Roman"/>
          <w:sz w:val="20"/>
          <w:szCs w:val="20"/>
          <w:color w:val="auto"/>
        </w:rPr>
      </w:pPr>
    </w:p>
    <w:p>
      <w:pPr>
        <w:jc w:val="both"/>
        <w:ind w:firstLine="1505"/>
        <w:spacing w:after="0" w:line="245" w:lineRule="auto"/>
        <w:tabs>
          <w:tab w:leader="none" w:pos="2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of exercise, unless the Administrator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2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attestation) of Shares owned by the Participant valued at their Fair Market Value;</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2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then issuable upon the Option’s exercise valued at their Fair Market Value on the exercise date;</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 promissory note or any other property that the Administrator determines is good and valuable consideration; or</w:t>
      </w:r>
    </w:p>
    <w:p>
      <w:pPr>
        <w:spacing w:after="0" w:line="159" w:lineRule="exact"/>
        <w:rPr>
          <w:rFonts w:ascii="Times New Roman" w:cs="Times New Roman" w:eastAsia="Times New Roman" w:hAnsi="Times New Roman"/>
          <w:sz w:val="20"/>
          <w:szCs w:val="20"/>
          <w:color w:val="auto"/>
        </w:rPr>
      </w:pPr>
    </w:p>
    <w:p>
      <w:pPr>
        <w:ind w:left="2300" w:hanging="795"/>
        <w:spacing w:after="0"/>
        <w:tabs>
          <w:tab w:leader="none" w:pos="2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above permitted payment forms (including cash, wire transfer or check).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VI.</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R</w:t>
      </w:r>
      <w:r>
        <w:rPr>
          <w:rFonts w:ascii="Times New Roman" w:cs="Times New Roman" w:eastAsia="Times New Roman" w:hAnsi="Times New Roman"/>
          <w:sz w:val="13"/>
          <w:szCs w:val="13"/>
          <w:b w:val="1"/>
          <w:bCs w:val="1"/>
          <w:color w:val="auto"/>
        </w:rPr>
        <w:t>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U</w:t>
      </w:r>
      <w:r>
        <w:rPr>
          <w:rFonts w:ascii="Times New Roman" w:cs="Times New Roman" w:eastAsia="Times New Roman" w:hAnsi="Times New Roman"/>
          <w:sz w:val="13"/>
          <w:szCs w:val="13"/>
          <w:b w:val="1"/>
          <w:bCs w:val="1"/>
          <w:color w:val="auto"/>
        </w:rPr>
        <w:t>nits</w:t>
      </w:r>
    </w:p>
    <w:p>
      <w:pPr>
        <w:spacing w:after="0" w:line="216" w:lineRule="exact"/>
        <w:rPr>
          <w:sz w:val="20"/>
          <w:szCs w:val="20"/>
          <w:color w:val="auto"/>
        </w:rPr>
      </w:pPr>
    </w:p>
    <w:p>
      <w:pPr>
        <w:jc w:val="both"/>
        <w:ind w:firstLine="757"/>
        <w:spacing w:after="0" w:line="245" w:lineRule="auto"/>
        <w:tabs>
          <w:tab w:leader="none" w:pos="150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5" w:name="page136"/>
    <w:bookmarkEnd w:id="135"/>
    <w:p>
      <w:pPr>
        <w:ind w:left="1520" w:hanging="763"/>
        <w:spacing w:after="0"/>
        <w:tabs>
          <w:tab w:leader="none" w:pos="15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w:t>
      </w:r>
      <w:r>
        <w:rPr>
          <w:rFonts w:ascii="Times New Roman" w:cs="Times New Roman" w:eastAsia="Times New Roman" w:hAnsi="Times New Roman"/>
          <w:sz w:val="20"/>
          <w:szCs w:val="20"/>
          <w:i w:val="1"/>
          <w:iCs w:val="1"/>
          <w:color w:val="auto"/>
        </w:rPr>
        <w:t>.</w:t>
      </w:r>
    </w:p>
    <w:p>
      <w:pPr>
        <w:spacing w:after="0" w:line="214" w:lineRule="exact"/>
        <w:rPr>
          <w:rFonts w:ascii="Times New Roman" w:cs="Times New Roman" w:eastAsia="Times New Roman" w:hAnsi="Times New Roman"/>
          <w:sz w:val="20"/>
          <w:szCs w:val="20"/>
          <w:color w:val="auto"/>
        </w:rPr>
      </w:pPr>
    </w:p>
    <w:p>
      <w:pPr>
        <w:jc w:val="both"/>
        <w:ind w:firstLine="1505"/>
        <w:spacing w:after="0" w:line="247" w:lineRule="auto"/>
        <w:tabs>
          <w:tab w:leader="none" w:pos="23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 Participants holding shares of Restricted Stock will be entitled to all ordinary cash dividends paid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80" w:lineRule="exact"/>
        <w:rPr>
          <w:rFonts w:ascii="Times New Roman" w:cs="Times New Roman" w:eastAsia="Times New Roman" w:hAnsi="Times New Roman"/>
          <w:sz w:val="20"/>
          <w:szCs w:val="20"/>
          <w:color w:val="auto"/>
        </w:rPr>
      </w:pPr>
    </w:p>
    <w:p>
      <w:pPr>
        <w:ind w:firstLine="1505"/>
        <w:spacing w:after="0" w:line="273" w:lineRule="auto"/>
        <w:tabs>
          <w:tab w:leader="none" w:pos="23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 Certificates. </w:t>
      </w:r>
      <w:r>
        <w:rPr>
          <w:rFonts w:ascii="Times New Roman" w:cs="Times New Roman" w:eastAsia="Times New Roman" w:hAnsi="Times New Roman"/>
          <w:sz w:val="20"/>
          <w:szCs w:val="20"/>
          <w:color w:val="auto"/>
        </w:rPr>
        <w:t>The Company may require that the Participant deposit in escrow with the Company (or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designee) any stock certificates issued in respect of shares of Restricted Stock, together with a stock power endorsed in blank.</w:t>
      </w:r>
    </w:p>
    <w:p>
      <w:pPr>
        <w:spacing w:after="0" w:line="151"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56" w:lineRule="auto"/>
        <w:tabs>
          <w:tab w:leader="none" w:pos="23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Settlement. </w:t>
      </w:r>
      <w:r>
        <w:rPr>
          <w:rFonts w:ascii="Times New Roman" w:cs="Times New Roman" w:eastAsia="Times New Roman" w:hAnsi="Times New Roman"/>
          <w:sz w:val="20"/>
          <w:szCs w:val="20"/>
          <w:color w:val="auto"/>
        </w:rPr>
        <w:t>The Administrator may provide that settlement of Restricted Stock Units will occur upon or as soon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reasonably practicable after the Restricted Stock Units vest or will instead be deferred, on a mandatory basis or at the Participant’s election, in a manner intended to comply with Section 409A.</w:t>
      </w:r>
    </w:p>
    <w:p>
      <w:pPr>
        <w:spacing w:after="0" w:line="168" w:lineRule="exact"/>
        <w:rPr>
          <w:rFonts w:ascii="Times New Roman" w:cs="Times New Roman" w:eastAsia="Times New Roman" w:hAnsi="Times New Roman"/>
          <w:sz w:val="20"/>
          <w:szCs w:val="20"/>
          <w:color w:val="auto"/>
        </w:rPr>
      </w:pPr>
    </w:p>
    <w:p>
      <w:pPr>
        <w:ind w:firstLine="1505"/>
        <w:spacing w:after="0" w:line="273" w:lineRule="auto"/>
        <w:tabs>
          <w:tab w:leader="none" w:pos="23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Stockholder Rights. </w:t>
      </w:r>
      <w:r>
        <w:rPr>
          <w:rFonts w:ascii="Times New Roman" w:cs="Times New Roman" w:eastAsia="Times New Roman" w:hAnsi="Times New Roman"/>
          <w:sz w:val="20"/>
          <w:szCs w:val="20"/>
          <w:color w:val="auto"/>
        </w:rPr>
        <w:t>A Participant will have no rights of a stockholder with respect to Shares subject to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Restricted Stock Unit unless and until the Shares are delivered in settlement of the Restricted Stock Unit.</w:t>
      </w:r>
    </w:p>
    <w:p>
      <w:pPr>
        <w:spacing w:after="0" w:line="151" w:lineRule="exact"/>
        <w:rPr>
          <w:rFonts w:ascii="Times New Roman" w:cs="Times New Roman" w:eastAsia="Times New Roman" w:hAnsi="Times New Roman"/>
          <w:sz w:val="20"/>
          <w:szCs w:val="20"/>
          <w:color w:val="auto"/>
        </w:rPr>
      </w:pPr>
    </w:p>
    <w:p>
      <w:pPr>
        <w:jc w:val="both"/>
        <w:ind w:firstLine="1505"/>
        <w:spacing w:after="0" w:line="250" w:lineRule="auto"/>
        <w:tabs>
          <w:tab w:leader="none" w:pos="23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Dividend Equivalents. </w:t>
      </w:r>
      <w:r>
        <w:rPr>
          <w:rFonts w:ascii="Times New Roman" w:cs="Times New Roman" w:eastAsia="Times New Roman" w:hAnsi="Times New Roman"/>
          <w:sz w:val="20"/>
          <w:szCs w:val="20"/>
          <w:color w:val="auto"/>
        </w:rPr>
        <w:t>If the Administrator provides, a grant of Restricted Stock Units may provide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VII.</w:t>
      </w: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wards</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VIII.</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djustments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ertain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vents</w:t>
      </w:r>
    </w:p>
    <w:p>
      <w:pPr>
        <w:spacing w:after="0" w:line="216" w:lineRule="exact"/>
        <w:rPr>
          <w:sz w:val="20"/>
          <w:szCs w:val="20"/>
          <w:color w:val="auto"/>
        </w:rPr>
      </w:pPr>
    </w:p>
    <w:p>
      <w:pPr>
        <w:jc w:val="both"/>
        <w:ind w:firstLine="757"/>
        <w:spacing w:after="0" w:line="250" w:lineRule="auto"/>
        <w:tabs>
          <w:tab w:leader="none" w:pos="150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connection with any Equity Restructuring, notwithstanding anything to the contrary in this Section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6" w:name="page137"/>
    <w:bookmarkEnd w:id="136"/>
    <w:p>
      <w:pPr>
        <w:spacing w:after="0" w:line="268" w:lineRule="auto"/>
        <w:rPr>
          <w:sz w:val="20"/>
          <w:szCs w:val="20"/>
          <w:color w:val="auto"/>
        </w:rPr>
      </w:pPr>
      <w:r>
        <w:rPr>
          <w:rFonts w:ascii="Times New Roman" w:cs="Times New Roman" w:eastAsia="Times New Roman" w:hAnsi="Times New Roman"/>
          <w:sz w:val="20"/>
          <w:szCs w:val="20"/>
          <w:color w:val="auto"/>
        </w:rPr>
        <w:t>under this Section VIII(a) will be nondiscretionary and final and binding on the affected Participant and the Company; provided that the Administrator will determine whether an adjustment is equitable.</w:t>
      </w:r>
    </w:p>
    <w:p>
      <w:pPr>
        <w:spacing w:after="0" w:line="156" w:lineRule="exact"/>
        <w:rPr>
          <w:sz w:val="20"/>
          <w:szCs w:val="20"/>
          <w:color w:val="auto"/>
        </w:rPr>
      </w:pPr>
    </w:p>
    <w:p>
      <w:pPr>
        <w:jc w:val="both"/>
        <w:ind w:firstLine="757"/>
        <w:spacing w:after="0" w:line="242" w:lineRule="auto"/>
        <w:tabs>
          <w:tab w:leader="none" w:pos="150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the event of any dividend or other distribution (whether in the form of cash, Common Stock, other securities, or other property), reorganization, merger, consolidation, combination,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91" w:lineRule="exact"/>
        <w:rPr>
          <w:rFonts w:ascii="Times New Roman" w:cs="Times New Roman" w:eastAsia="Times New Roman" w:hAnsi="Times New Roman"/>
          <w:sz w:val="20"/>
          <w:szCs w:val="20"/>
          <w:color w:val="auto"/>
        </w:rPr>
      </w:pPr>
    </w:p>
    <w:p>
      <w:pPr>
        <w:jc w:val="both"/>
        <w:ind w:firstLine="1505"/>
        <w:spacing w:after="0" w:line="246" w:lineRule="auto"/>
        <w:tabs>
          <w:tab w:leader="none" w:pos="23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23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3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3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Section IV hereof on the maximum number and kind of shares which may be issued) and/or in the terms and conditions of (including the grant or exercise price), and the criteria included in, outstanding Awards;</w:t>
      </w:r>
    </w:p>
    <w:p>
      <w:pPr>
        <w:spacing w:after="0" w:line="179" w:lineRule="exact"/>
        <w:rPr>
          <w:rFonts w:ascii="Times New Roman" w:cs="Times New Roman" w:eastAsia="Times New Roman" w:hAnsi="Times New Roman"/>
          <w:sz w:val="20"/>
          <w:szCs w:val="20"/>
          <w:color w:val="auto"/>
        </w:rPr>
      </w:pPr>
    </w:p>
    <w:p>
      <w:pPr>
        <w:ind w:left="2300" w:hanging="795"/>
        <w:spacing w:after="0"/>
        <w:tabs>
          <w:tab w:leader="none" w:pos="23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replace such Award with other rights or property selected by the Administrator; and/or</w:t>
      </w:r>
    </w:p>
    <w:p>
      <w:pPr>
        <w:spacing w:after="0" w:line="215" w:lineRule="exact"/>
        <w:rPr>
          <w:rFonts w:ascii="Times New Roman" w:cs="Times New Roman" w:eastAsia="Times New Roman" w:hAnsi="Times New Roman"/>
          <w:sz w:val="20"/>
          <w:szCs w:val="20"/>
          <w:color w:val="auto"/>
        </w:rPr>
      </w:pPr>
    </w:p>
    <w:p>
      <w:pPr>
        <w:ind w:left="2300" w:hanging="795"/>
        <w:spacing w:after="0"/>
        <w:tabs>
          <w:tab w:leader="none" w:pos="23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Award will terminate and cannot vest, be exercised or become payable after the applicable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w:t>
      </w:r>
    </w:p>
    <w:p>
      <w:pPr>
        <w:spacing w:after="0" w:line="189" w:lineRule="exact"/>
        <w:rPr>
          <w:rFonts w:ascii="Times New Roman" w:cs="Times New Roman" w:eastAsia="Times New Roman" w:hAnsi="Times New Roman"/>
          <w:sz w:val="20"/>
          <w:szCs w:val="20"/>
          <w:color w:val="auto"/>
        </w:rPr>
      </w:pPr>
    </w:p>
    <w:p>
      <w:pPr>
        <w:jc w:val="both"/>
        <w:ind w:firstLine="757"/>
        <w:spacing w:after="0" w:line="250" w:lineRule="auto"/>
        <w:tabs>
          <w:tab w:leader="none" w:pos="150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Stand Still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line="268" w:lineRule="auto"/>
        <w:rPr>
          <w:sz w:val="20"/>
          <w:szCs w:val="20"/>
          <w:color w:val="auto"/>
        </w:rPr>
      </w:pPr>
      <w:r>
        <w:rPr>
          <w:rFonts w:ascii="Times New Roman" w:cs="Times New Roman" w:eastAsia="Times New Roman" w:hAnsi="Times New Roman"/>
          <w:sz w:val="20"/>
          <w:szCs w:val="20"/>
          <w:color w:val="auto"/>
        </w:rPr>
        <w:t>similar transaction, for administrative convenience, the Administrator may refuse to permit the exercise of any Award for up to sixty days before or after such transaction.</w:t>
      </w:r>
    </w:p>
    <w:p>
      <w:pPr>
        <w:spacing w:after="0" w:line="156" w:lineRule="exact"/>
        <w:rPr>
          <w:sz w:val="20"/>
          <w:szCs w:val="20"/>
          <w:color w:val="auto"/>
        </w:rPr>
      </w:pPr>
    </w:p>
    <w:p>
      <w:pPr>
        <w:jc w:val="both"/>
        <w:ind w:firstLine="757"/>
        <w:spacing w:after="0" w:line="242" w:lineRule="auto"/>
        <w:tabs>
          <w:tab w:leader="none" w:pos="150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VIII(a)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Section VIII.</w:t>
      </w:r>
    </w:p>
    <w:p>
      <w:pPr>
        <w:spacing w:after="0" w:line="189" w:lineRule="exact"/>
        <w:rPr>
          <w:rFonts w:ascii="Times New Roman" w:cs="Times New Roman" w:eastAsia="Times New Roman" w:hAnsi="Times New Roman"/>
          <w:sz w:val="20"/>
          <w:szCs w:val="20"/>
          <w:color w:val="auto"/>
        </w:rPr>
      </w:pPr>
    </w:p>
    <w:p>
      <w:pPr>
        <w:jc w:val="both"/>
        <w:ind w:firstLine="757"/>
        <w:spacing w:after="0" w:line="241" w:lineRule="auto"/>
        <w:tabs>
          <w:tab w:leader="none" w:pos="150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Section VIII(b) above, if a Change in Control occurs and Awards are not continued, converted, assumed, or replaced with a comparable award (as determined by the Administrator) by (i) the Company or (ii) a successor entity or its parent or subsidiary (an “</w:t>
      </w:r>
      <w:r>
        <w:rPr>
          <w:rFonts w:ascii="Times New Roman" w:cs="Times New Roman" w:eastAsia="Times New Roman" w:hAnsi="Times New Roman"/>
          <w:sz w:val="20"/>
          <w:szCs w:val="20"/>
          <w:b w:val="1"/>
          <w:bCs w:val="1"/>
          <w:i w:val="1"/>
          <w:iCs w:val="1"/>
          <w:color w:val="auto"/>
        </w:rPr>
        <w:t>Assumption</w:t>
      </w:r>
      <w:r>
        <w:rPr>
          <w:rFonts w:ascii="Times New Roman" w:cs="Times New Roman" w:eastAsia="Times New Roman" w:hAnsi="Times New Roman"/>
          <w:sz w:val="20"/>
          <w:szCs w:val="20"/>
          <w:color w:val="auto"/>
        </w:rPr>
        <w:t>”), and provided that the Participant has not had a Termination of Service, then immediately prior to the Change in Control, such Awards (other than any Award that is regularly scheduled to vest based on the attainment of Performance Criteria or other performance-based vesting conditions) will become fully vested, exercisable and/or payable, as applicable, and all forfeiture, repurchase and other restrictions on such Awards will lapse, in which case, such Awards will be canceled upon the consummation of the Change in Control in exchange for the right to receive the Change in Control consideration payable to other holders of Shares, which may be on such terms and conditions as apply generally to holders of Shares under the Change in Control documents (including, without limitation, any escrow, earn-out or other deferred consideration provisions) or such other terms and conditions as the Administrator may provide, and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An Award will be considered replaced with a comparable award if the Award is exchanged for an amount of cash or other property with a value equal to the amount that could 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IX.</w:t>
      </w: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rovisions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pplicable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757"/>
        <w:spacing w:after="0" w:line="250" w:lineRule="auto"/>
        <w:tabs>
          <w:tab w:leader="none" w:pos="150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line="268" w:lineRule="auto"/>
        <w:rPr>
          <w:sz w:val="20"/>
          <w:szCs w:val="20"/>
          <w:color w:val="auto"/>
        </w:rPr>
      </w:pPr>
      <w:r>
        <w:rPr>
          <w:rFonts w:ascii="Times New Roman" w:cs="Times New Roman" w:eastAsia="Times New Roman" w:hAnsi="Times New Roman"/>
          <w:sz w:val="20"/>
          <w:szCs w:val="20"/>
          <w:color w:val="auto"/>
        </w:rPr>
        <w:t>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56" w:lineRule="exact"/>
        <w:rPr>
          <w:sz w:val="20"/>
          <w:szCs w:val="20"/>
          <w:color w:val="auto"/>
        </w:rPr>
      </w:pPr>
    </w:p>
    <w:p>
      <w:pPr>
        <w:ind w:right="20" w:firstLine="757"/>
        <w:spacing w:after="0" w:line="273" w:lineRule="auto"/>
        <w:tabs>
          <w:tab w:leader="none" w:pos="150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Award will be evidenced in an Award Agreement, which may be written or electronic, as the Administrator determines. Each Award may contain terms and conditions in addition to those set forth in the Plan.</w:t>
      </w:r>
    </w:p>
    <w:p>
      <w:pPr>
        <w:spacing w:after="0" w:line="151" w:lineRule="exact"/>
        <w:rPr>
          <w:rFonts w:ascii="Times New Roman" w:cs="Times New Roman" w:eastAsia="Times New Roman" w:hAnsi="Times New Roman"/>
          <w:sz w:val="20"/>
          <w:szCs w:val="20"/>
          <w:color w:val="auto"/>
        </w:rPr>
      </w:pPr>
    </w:p>
    <w:p>
      <w:pPr>
        <w:jc w:val="both"/>
        <w:ind w:firstLine="757"/>
        <w:spacing w:after="0" w:line="256" w:lineRule="auto"/>
        <w:tabs>
          <w:tab w:leader="none" w:pos="150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68" w:lineRule="exact"/>
        <w:rPr>
          <w:rFonts w:ascii="Times New Roman" w:cs="Times New Roman" w:eastAsia="Times New Roman" w:hAnsi="Times New Roman"/>
          <w:sz w:val="20"/>
          <w:szCs w:val="20"/>
          <w:color w:val="auto"/>
        </w:rPr>
      </w:pPr>
    </w:p>
    <w:p>
      <w:pPr>
        <w:jc w:val="both"/>
        <w:ind w:firstLine="757"/>
        <w:spacing w:after="0" w:line="250" w:lineRule="auto"/>
        <w:tabs>
          <w:tab w:leader="none" w:pos="150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75" w:lineRule="exact"/>
        <w:rPr>
          <w:rFonts w:ascii="Times New Roman" w:cs="Times New Roman" w:eastAsia="Times New Roman" w:hAnsi="Times New Roman"/>
          <w:sz w:val="20"/>
          <w:szCs w:val="20"/>
          <w:color w:val="auto"/>
        </w:rPr>
      </w:pPr>
    </w:p>
    <w:p>
      <w:pPr>
        <w:jc w:val="both"/>
        <w:ind w:firstLine="757"/>
        <w:spacing w:after="0" w:line="241" w:lineRule="auto"/>
        <w:tabs>
          <w:tab w:leader="none" w:pos="150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from any payment of any kind otherwise due to a Participant. Participants may satisfy such tax obligations in cash, by wire transfer of immediately available funds, by check made payable to the order of the Company, or subject to Section X(h) and any Company insider trading policy (including blackout periods), (i) to the extent permitted by the Administrator, in whole or in part by delivery of Shares, including Shares retained from the Award creating the tax obligation, valued at their Fair Market Value, (ii) if there is a public market for Shares at the time the tax obligations are satisfied, unless the Administrator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(iii) any combination of the foregoing permitted payment forms (including cash, wire transfer or check). If any tax withholding obligation will be satisfied under clause (i)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8" w:lineRule="exact"/>
        <w:rPr>
          <w:rFonts w:ascii="Times New Roman" w:cs="Times New Roman" w:eastAsia="Times New Roman" w:hAnsi="Times New Roman"/>
          <w:sz w:val="20"/>
          <w:szCs w:val="20"/>
          <w:color w:val="auto"/>
        </w:rPr>
      </w:pPr>
    </w:p>
    <w:p>
      <w:pPr>
        <w:jc w:val="both"/>
        <w:ind w:firstLine="757"/>
        <w:spacing w:after="0" w:line="245" w:lineRule="auto"/>
        <w:tabs>
          <w:tab w:leader="none" w:pos="150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Award; Repricing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Section VIII or pursuant to Section X(f). Notwithstanding the foregoing or anything in the Plan to the contrary, the Administrator may, without the approval of the stockholders of the Company, reduce the exercise price per share of outstanding Options or Stock Appreciation Rights or cancel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line="268" w:lineRule="auto"/>
        <w:rPr>
          <w:sz w:val="20"/>
          <w:szCs w:val="20"/>
          <w:color w:val="auto"/>
        </w:rPr>
      </w:pPr>
      <w:r>
        <w:rPr>
          <w:rFonts w:ascii="Times New Roman" w:cs="Times New Roman" w:eastAsia="Times New Roman" w:hAnsi="Times New Roman"/>
          <w:sz w:val="20"/>
          <w:szCs w:val="20"/>
          <w:color w:val="auto"/>
        </w:rPr>
        <w:t>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56" w:lineRule="exact"/>
        <w:rPr>
          <w:sz w:val="20"/>
          <w:szCs w:val="20"/>
          <w:color w:val="auto"/>
        </w:rPr>
      </w:pPr>
    </w:p>
    <w:p>
      <w:pPr>
        <w:jc w:val="both"/>
        <w:ind w:firstLine="757"/>
        <w:spacing w:after="0" w:line="244" w:lineRule="auto"/>
        <w:tabs>
          <w:tab w:leader="none" w:pos="150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on Delivery of Stock</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1" w:lineRule="exact"/>
        <w:rPr>
          <w:rFonts w:ascii="Times New Roman" w:cs="Times New Roman" w:eastAsia="Times New Roman" w:hAnsi="Times New Roman"/>
          <w:sz w:val="20"/>
          <w:szCs w:val="20"/>
          <w:color w:val="auto"/>
        </w:rPr>
      </w:pPr>
    </w:p>
    <w:p>
      <w:pPr>
        <w:ind w:firstLine="757"/>
        <w:spacing w:after="0" w:line="273" w:lineRule="auto"/>
        <w:tabs>
          <w:tab w:leader="none" w:pos="150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at any time provide that any Award will become immediately vested and fully or partially exercisable, free of some or all restrictions or conditions, or otherwise fully or partially realizable.</w:t>
      </w:r>
    </w:p>
    <w:p>
      <w:pPr>
        <w:spacing w:after="0" w:line="151" w:lineRule="exact"/>
        <w:rPr>
          <w:rFonts w:ascii="Times New Roman" w:cs="Times New Roman" w:eastAsia="Times New Roman" w:hAnsi="Times New Roman"/>
          <w:sz w:val="20"/>
          <w:szCs w:val="20"/>
          <w:color w:val="auto"/>
        </w:rPr>
      </w:pPr>
    </w:p>
    <w:p>
      <w:pPr>
        <w:jc w:val="both"/>
        <w:ind w:firstLine="757"/>
        <w:spacing w:after="0" w:line="242" w:lineRule="auto"/>
        <w:tabs>
          <w:tab w:leader="none" w:pos="150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 of Incentive Stock Options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X.</w:t>
      </w: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757"/>
        <w:spacing w:after="0" w:line="250" w:lineRule="auto"/>
        <w:tabs>
          <w:tab w:leader="none" w:pos="150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75" w:lineRule="exact"/>
        <w:rPr>
          <w:rFonts w:ascii="Times New Roman" w:cs="Times New Roman" w:eastAsia="Times New Roman" w:hAnsi="Times New Roman"/>
          <w:sz w:val="20"/>
          <w:szCs w:val="20"/>
          <w:color w:val="auto"/>
        </w:rPr>
      </w:pPr>
    </w:p>
    <w:p>
      <w:pPr>
        <w:jc w:val="both"/>
        <w:ind w:firstLine="757"/>
        <w:spacing w:after="0" w:line="250" w:lineRule="auto"/>
        <w:tabs>
          <w:tab w:leader="none" w:pos="150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Stockholder; Certificates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jc w:val="both"/>
        <w:spacing w:after="0" w:line="253" w:lineRule="auto"/>
        <w:rPr>
          <w:sz w:val="20"/>
          <w:szCs w:val="20"/>
          <w:color w:val="auto"/>
        </w:rPr>
      </w:pPr>
      <w:r>
        <w:rPr>
          <w:rFonts w:ascii="Times New Roman" w:cs="Times New Roman" w:eastAsia="Times New Roman" w:hAnsi="Times New Roman"/>
          <w:sz w:val="20"/>
          <w:szCs w:val="20"/>
          <w:color w:val="auto"/>
        </w:rPr>
        <w:t>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72" w:lineRule="exact"/>
        <w:rPr>
          <w:sz w:val="20"/>
          <w:szCs w:val="20"/>
          <w:color w:val="auto"/>
        </w:rPr>
      </w:pPr>
    </w:p>
    <w:p>
      <w:pPr>
        <w:jc w:val="both"/>
        <w:ind w:firstLine="757"/>
        <w:spacing w:after="0" w:line="246" w:lineRule="auto"/>
        <w:tabs>
          <w:tab w:leader="none" w:pos="150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Term of 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Plan, as amended and restated, shall become effective as of the Amendment Date. The Plan will remain in effect until the tenth anniversary of the day prior to the Public Trading Date, unless earlier terminated by the Board. No Awards may be granted under the Plan during any suspension period or after Plan termination. Notwithstanding anything in the Plan to the contrary, an Incentive Stock Option may not be granted under the Plan after ten years from the earlier of (i) the date the Board adopted the Plan or (ii) the date the Company’s stockholders approved the Plan, but Awards previously granted may extend beyond that date in accordance with the Plan.</w:t>
      </w:r>
    </w:p>
    <w:p>
      <w:pPr>
        <w:spacing w:after="0" w:line="178" w:lineRule="exact"/>
        <w:rPr>
          <w:rFonts w:ascii="Times New Roman" w:cs="Times New Roman" w:eastAsia="Times New Roman" w:hAnsi="Times New Roman"/>
          <w:sz w:val="20"/>
          <w:szCs w:val="20"/>
          <w:color w:val="auto"/>
        </w:rPr>
      </w:pPr>
    </w:p>
    <w:p>
      <w:pPr>
        <w:jc w:val="both"/>
        <w:ind w:firstLine="757"/>
        <w:spacing w:after="0" w:line="247" w:lineRule="auto"/>
        <w:tabs>
          <w:tab w:leader="none" w:pos="150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amend, suspend or terminate the Plan at any time; provided that no amendment, other than an increase to the Overall Share Limit, may materially and adversely affect any Award outstanding at the time of such amendment without the affected Participant’s consent.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80" w:lineRule="exact"/>
        <w:rPr>
          <w:rFonts w:ascii="Times New Roman" w:cs="Times New Roman" w:eastAsia="Times New Roman" w:hAnsi="Times New Roman"/>
          <w:sz w:val="20"/>
          <w:szCs w:val="20"/>
          <w:color w:val="auto"/>
        </w:rPr>
      </w:pPr>
    </w:p>
    <w:p>
      <w:pPr>
        <w:jc w:val="both"/>
        <w:ind w:firstLine="757"/>
        <w:spacing w:after="0" w:line="256" w:lineRule="auto"/>
        <w:tabs>
          <w:tab w:leader="none" w:pos="150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for Foreign Participants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68"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2" w:lineRule="auto"/>
        <w:tabs>
          <w:tab w:leader="none" w:pos="230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Company intends that all Awards be structured to comply with, or be exempt from, Section 409A,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X(f)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89" w:lineRule="exact"/>
        <w:rPr>
          <w:rFonts w:ascii="Times New Roman" w:cs="Times New Roman" w:eastAsia="Times New Roman" w:hAnsi="Times New Roman"/>
          <w:sz w:val="20"/>
          <w:szCs w:val="20"/>
          <w:color w:val="auto"/>
        </w:rPr>
      </w:pPr>
    </w:p>
    <w:p>
      <w:pPr>
        <w:jc w:val="both"/>
        <w:ind w:firstLine="1505"/>
        <w:spacing w:after="0" w:line="246" w:lineRule="auto"/>
        <w:tabs>
          <w:tab w:leader="none" w:pos="230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If an Award constitutes “nonqualified deferred compensation” under Section 409A,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jc w:val="both"/>
        <w:ind w:firstLine="1505"/>
        <w:spacing w:after="0" w:line="244" w:lineRule="auto"/>
        <w:tabs>
          <w:tab w:leader="none" w:pos="230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Payments to Specified Employees. </w:t>
      </w:r>
      <w:r>
        <w:rPr>
          <w:rFonts w:ascii="Times New Roman" w:cs="Times New Roman" w:eastAsia="Times New Roman" w:hAnsi="Times New Roman"/>
          <w:sz w:val="20"/>
          <w:szCs w:val="20"/>
          <w:color w:val="auto"/>
        </w:rPr>
        <w:t>Notwithstanding any contrary provision in the Plan or any Award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80" w:lineRule="exact"/>
        <w:rPr>
          <w:rFonts w:ascii="Times New Roman" w:cs="Times New Roman" w:eastAsia="Times New Roman" w:hAnsi="Times New Roman"/>
          <w:sz w:val="20"/>
          <w:szCs w:val="20"/>
          <w:color w:val="auto"/>
        </w:rPr>
      </w:pPr>
    </w:p>
    <w:p>
      <w:pPr>
        <w:jc w:val="both"/>
        <w:ind w:firstLine="757"/>
        <w:spacing w:after="0" w:line="243" w:lineRule="auto"/>
        <w:tabs>
          <w:tab w:leader="none" w:pos="150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85" w:lineRule="exact"/>
        <w:rPr>
          <w:rFonts w:ascii="Times New Roman" w:cs="Times New Roman" w:eastAsia="Times New Roman" w:hAnsi="Times New Roman"/>
          <w:sz w:val="20"/>
          <w:szCs w:val="20"/>
          <w:color w:val="auto"/>
        </w:rPr>
      </w:pPr>
    </w:p>
    <w:p>
      <w:pPr>
        <w:jc w:val="both"/>
        <w:ind w:firstLine="757"/>
        <w:spacing w:after="0" w:line="250" w:lineRule="auto"/>
        <w:tabs>
          <w:tab w:leader="none" w:pos="150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79" w:lineRule="exact"/>
        <w:rPr>
          <w:rFonts w:ascii="Times New Roman" w:cs="Times New Roman" w:eastAsia="Times New Roman" w:hAnsi="Times New Roman"/>
          <w:sz w:val="20"/>
          <w:szCs w:val="20"/>
          <w:color w:val="auto"/>
        </w:rPr>
      </w:pPr>
    </w:p>
    <w:p>
      <w:pPr>
        <w:jc w:val="both"/>
        <w:ind w:firstLine="757"/>
        <w:spacing w:after="0" w:line="255" w:lineRule="auto"/>
        <w:tabs>
          <w:tab w:leader="none" w:pos="1506"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 As a condition for receiving any Award, each Participant explicitly and unambiguously consents to the collection, use and transfer, in electronic or other form, of personal data as described in this paragraph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9"/>
          <w:szCs w:val="19"/>
          <w:b w:val="1"/>
          <w:bCs w:val="1"/>
          <w:i w:val="1"/>
          <w:iCs w:val="1"/>
          <w:color w:val="auto"/>
        </w:rPr>
        <w:t>Data</w:t>
      </w:r>
      <w:r>
        <w:rPr>
          <w:rFonts w:ascii="Times New Roman" w:cs="Times New Roman" w:eastAsia="Times New Roman" w:hAnsi="Times New Roman"/>
          <w:sz w:val="19"/>
          <w:szCs w:val="19"/>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2" w:name="page143"/>
    <w:bookmarkEnd w:id="142"/>
    <w:p>
      <w:pPr>
        <w:jc w:val="both"/>
        <w:spacing w:after="0" w:line="249" w:lineRule="auto"/>
        <w:rPr>
          <w:sz w:val="20"/>
          <w:szCs w:val="20"/>
          <w:color w:val="auto"/>
        </w:rPr>
      </w:pPr>
      <w:r>
        <w:rPr>
          <w:rFonts w:ascii="Times New Roman" w:cs="Times New Roman" w:eastAsia="Times New Roman" w:hAnsi="Times New Roman"/>
          <w:sz w:val="20"/>
          <w:szCs w:val="20"/>
          <w:color w:val="auto"/>
        </w:rPr>
        <w:t>withdraw the consents in this Section X(i)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X(i). For more information on the consequences of refusing or withdrawing consent, Participants may contact their local human resources representative.</w:t>
      </w:r>
    </w:p>
    <w:p>
      <w:pPr>
        <w:spacing w:after="0" w:line="175" w:lineRule="exact"/>
        <w:rPr>
          <w:sz w:val="20"/>
          <w:szCs w:val="20"/>
          <w:color w:val="auto"/>
        </w:rPr>
      </w:pPr>
    </w:p>
    <w:p>
      <w:pPr>
        <w:jc w:val="both"/>
        <w:ind w:firstLine="757"/>
        <w:spacing w:after="0" w:line="256" w:lineRule="auto"/>
        <w:tabs>
          <w:tab w:leader="none" w:pos="150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68" w:lineRule="exact"/>
        <w:rPr>
          <w:rFonts w:ascii="Times New Roman" w:cs="Times New Roman" w:eastAsia="Times New Roman" w:hAnsi="Times New Roman"/>
          <w:sz w:val="20"/>
          <w:szCs w:val="20"/>
          <w:color w:val="auto"/>
        </w:rPr>
      </w:pPr>
    </w:p>
    <w:p>
      <w:pPr>
        <w:jc w:val="both"/>
        <w:ind w:firstLine="757"/>
        <w:spacing w:after="0" w:line="256" w:lineRule="auto"/>
        <w:tabs>
          <w:tab w:leader="none" w:pos="150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72" w:lineRule="exact"/>
        <w:rPr>
          <w:rFonts w:ascii="Times New Roman" w:cs="Times New Roman" w:eastAsia="Times New Roman" w:hAnsi="Times New Roman"/>
          <w:sz w:val="20"/>
          <w:szCs w:val="20"/>
          <w:color w:val="auto"/>
        </w:rPr>
      </w:pPr>
    </w:p>
    <w:p>
      <w:pPr>
        <w:jc w:val="both"/>
        <w:ind w:firstLine="757"/>
        <w:spacing w:after="0" w:line="295" w:lineRule="auto"/>
        <w:tabs>
          <w:tab w:leader="none" w:pos="1506"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37" w:lineRule="exact"/>
        <w:rPr>
          <w:rFonts w:ascii="Times New Roman" w:cs="Times New Roman" w:eastAsia="Times New Roman" w:hAnsi="Times New Roman"/>
          <w:sz w:val="19"/>
          <w:szCs w:val="19"/>
          <w:color w:val="auto"/>
        </w:rPr>
      </w:pPr>
    </w:p>
    <w:p>
      <w:pPr>
        <w:jc w:val="both"/>
        <w:ind w:firstLine="757"/>
        <w:spacing w:after="0" w:line="246" w:lineRule="auto"/>
        <w:tabs>
          <w:tab w:leader="none" w:pos="150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50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in the Plan are for convenience of reference only and, if any conflict, the Plan’s text, rather than such titles or headings, will control.</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50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50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70" w:lineRule="exact"/>
        <w:rPr>
          <w:rFonts w:ascii="Times New Roman" w:cs="Times New Roman" w:eastAsia="Times New Roman" w:hAnsi="Times New Roman"/>
          <w:sz w:val="20"/>
          <w:szCs w:val="20"/>
          <w:color w:val="auto"/>
        </w:rPr>
      </w:pPr>
    </w:p>
    <w:p>
      <w:pPr>
        <w:jc w:val="both"/>
        <w:ind w:firstLine="757"/>
        <w:spacing w:after="0" w:line="248" w:lineRule="auto"/>
        <w:tabs>
          <w:tab w:leader="none" w:pos="150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the event of a broker-assisted sale of Shares in connection with the payment of amounts owed by a Participant under or with respect to the Plan or Awards, including amounts to be paid under the final sentence of Section IX(e): (a) any Shares to be sold through the broker-assisted sale will be sold on the day the payment first becomes due, or as soon thereafter as practicable;</w:t>
      </w:r>
    </w:p>
    <w:p>
      <w:pPr>
        <w:spacing w:after="0" w:line="1" w:lineRule="exact"/>
        <w:rPr>
          <w:rFonts w:ascii="Times New Roman" w:cs="Times New Roman" w:eastAsia="Times New Roman" w:hAnsi="Times New Roman"/>
          <w:sz w:val="20"/>
          <w:szCs w:val="20"/>
          <w:color w:val="auto"/>
        </w:rPr>
      </w:pPr>
    </w:p>
    <w:p>
      <w:pPr>
        <w:jc w:val="both"/>
        <w:ind w:firstLine="8"/>
        <w:spacing w:after="0" w:line="241" w:lineRule="auto"/>
        <w:tabs>
          <w:tab w:leader="none" w:pos="2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both"/>
        <w:spacing w:after="0" w:line="253" w:lineRule="auto"/>
        <w:rPr>
          <w:sz w:val="20"/>
          <w:szCs w:val="20"/>
          <w:color w:val="auto"/>
        </w:rPr>
      </w:pPr>
      <w:r>
        <w:rPr>
          <w:rFonts w:ascii="Times New Roman" w:cs="Times New Roman" w:eastAsia="Times New Roman" w:hAnsi="Times New Roman"/>
          <w:sz w:val="20"/>
          <w:szCs w:val="20"/>
          <w:color w:val="auto"/>
        </w:rPr>
        <w:t>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XI.</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used in the Plan, the following words and phrases will have the following meanings:</w:t>
      </w:r>
    </w:p>
    <w:p>
      <w:pPr>
        <w:spacing w:after="0" w:line="212" w:lineRule="exact"/>
        <w:rPr>
          <w:sz w:val="20"/>
          <w:szCs w:val="20"/>
          <w:color w:val="auto"/>
        </w:rPr>
      </w:pPr>
    </w:p>
    <w:p>
      <w:pPr>
        <w:ind w:firstLine="757"/>
        <w:spacing w:after="0" w:line="273" w:lineRule="auto"/>
        <w:tabs>
          <w:tab w:leader="none" w:pos="150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 Committee to the extent that the Board’s powers or authority under the Plan have been delegated to such Committee.</w:t>
      </w:r>
    </w:p>
    <w:p>
      <w:pPr>
        <w:spacing w:after="0" w:line="151"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Amendment Date</w:t>
      </w:r>
      <w:r>
        <w:rPr>
          <w:rFonts w:ascii="Times New Roman" w:cs="Times New Roman" w:eastAsia="Times New Roman" w:hAnsi="Times New Roman"/>
          <w:sz w:val="20"/>
          <w:szCs w:val="20"/>
          <w:color w:val="auto"/>
        </w:rPr>
        <w:t>” means December 14, 2022.</w:t>
      </w:r>
    </w:p>
    <w:p>
      <w:pPr>
        <w:spacing w:after="0" w:line="215" w:lineRule="exact"/>
        <w:rPr>
          <w:rFonts w:ascii="Times New Roman" w:cs="Times New Roman" w:eastAsia="Times New Roman" w:hAnsi="Times New Roman"/>
          <w:sz w:val="20"/>
          <w:szCs w:val="20"/>
          <w:color w:val="auto"/>
        </w:rPr>
      </w:pPr>
    </w:p>
    <w:p>
      <w:pPr>
        <w:jc w:val="both"/>
        <w:ind w:firstLine="757"/>
        <w:spacing w:after="0" w:line="250" w:lineRule="auto"/>
        <w:tabs>
          <w:tab w:leader="none" w:pos="150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Laws</w:t>
      </w:r>
      <w:r>
        <w:rPr>
          <w:rFonts w:ascii="Times New Roman" w:cs="Times New Roman" w:eastAsia="Times New Roman" w:hAnsi="Times New Roman"/>
          <w:sz w:val="20"/>
          <w:szCs w:val="20"/>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75" w:lineRule="exact"/>
        <w:rPr>
          <w:rFonts w:ascii="Times New Roman" w:cs="Times New Roman" w:eastAsia="Times New Roman" w:hAnsi="Times New Roman"/>
          <w:sz w:val="20"/>
          <w:szCs w:val="20"/>
          <w:color w:val="auto"/>
        </w:rPr>
      </w:pPr>
    </w:p>
    <w:p>
      <w:pPr>
        <w:ind w:right="20" w:firstLine="757"/>
        <w:spacing w:after="0" w:line="273" w:lineRule="auto"/>
        <w:tabs>
          <w:tab w:leader="none" w:pos="150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individually or collectively, a grant under the Plan of Options, Stock Appreciation Rights, Restricted Stock, Restricted Stock Units or Other Stock or Cash Based Awards.</w:t>
      </w:r>
    </w:p>
    <w:p>
      <w:pPr>
        <w:spacing w:after="0" w:line="151" w:lineRule="exact"/>
        <w:rPr>
          <w:rFonts w:ascii="Times New Roman" w:cs="Times New Roman" w:eastAsia="Times New Roman" w:hAnsi="Times New Roman"/>
          <w:sz w:val="20"/>
          <w:szCs w:val="20"/>
          <w:color w:val="auto"/>
        </w:rPr>
      </w:pPr>
    </w:p>
    <w:p>
      <w:pPr>
        <w:ind w:firstLine="757"/>
        <w:spacing w:after="0" w:line="273" w:lineRule="auto"/>
        <w:tabs>
          <w:tab w:leader="none" w:pos="150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51"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and includes each of the following:</w:t>
      </w:r>
    </w:p>
    <w:p>
      <w:pPr>
        <w:spacing w:after="0" w:line="21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30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(A) and (B) of subsection (iii)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9" w:lineRule="exact"/>
        <w:rPr>
          <w:rFonts w:ascii="Times New Roman" w:cs="Times New Roman" w:eastAsia="Times New Roman" w:hAnsi="Times New Roman"/>
          <w:sz w:val="20"/>
          <w:szCs w:val="20"/>
          <w:color w:val="auto"/>
        </w:rPr>
      </w:pPr>
    </w:p>
    <w:p>
      <w:pPr>
        <w:jc w:val="both"/>
        <w:ind w:firstLine="1505"/>
        <w:spacing w:after="0" w:line="245" w:lineRule="auto"/>
        <w:tabs>
          <w:tab w:leader="none" w:pos="230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(i) or (iii))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230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line="268" w:lineRule="auto"/>
        <w:rPr>
          <w:sz w:val="20"/>
          <w:szCs w:val="20"/>
          <w:color w:val="auto"/>
        </w:rPr>
      </w:pPr>
      <w:r>
        <w:rPr>
          <w:rFonts w:ascii="Times New Roman" w:cs="Times New Roman" w:eastAsia="Times New Roman" w:hAnsi="Times New Roman"/>
          <w:sz w:val="20"/>
          <w:szCs w:val="20"/>
          <w:color w:val="auto"/>
        </w:rPr>
        <w:t>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60" w:lineRule="exact"/>
        <w:rPr>
          <w:sz w:val="20"/>
          <w:szCs w:val="20"/>
          <w:color w:val="auto"/>
        </w:rPr>
      </w:pPr>
    </w:p>
    <w:p>
      <w:pPr>
        <w:ind w:left="1500" w:right="20" w:firstLine="749"/>
        <w:spacing w:after="0" w:line="245" w:lineRule="auto"/>
        <w:rPr>
          <w:sz w:val="20"/>
          <w:szCs w:val="20"/>
          <w:color w:val="auto"/>
        </w:rPr>
      </w:pPr>
      <w:r>
        <w:rPr>
          <w:rFonts w:ascii="Times New Roman" w:cs="Times New Roman" w:eastAsia="Times New Roman" w:hAnsi="Times New Roman"/>
          <w:sz w:val="20"/>
          <w:szCs w:val="20"/>
          <w:color w:val="auto"/>
        </w:rPr>
        <w:t>(A)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84" w:lineRule="exact"/>
        <w:rPr>
          <w:sz w:val="20"/>
          <w:szCs w:val="20"/>
          <w:color w:val="auto"/>
        </w:rPr>
      </w:pPr>
    </w:p>
    <w:p>
      <w:pPr>
        <w:ind w:left="1500" w:right="100" w:firstLine="749"/>
        <w:spacing w:after="0" w:line="249" w:lineRule="auto"/>
        <w:rPr>
          <w:sz w:val="20"/>
          <w:szCs w:val="20"/>
          <w:color w:val="auto"/>
        </w:rPr>
      </w:pPr>
      <w:r>
        <w:rPr>
          <w:rFonts w:ascii="Times New Roman" w:cs="Times New Roman" w:eastAsia="Times New Roman" w:hAnsi="Times New Roman"/>
          <w:sz w:val="20"/>
          <w:szCs w:val="20"/>
          <w:color w:val="auto"/>
        </w:rPr>
        <w:t xml:space="preserve">(B) after which no person or group beneficially owns voting securities representing 50% or more of the combined voting power of the Successor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group shall be treated for purposes of this clause (B) as beneficially owning 50% or more of the combined voting power of the Successor Entity solely as a result of the voting power held in the Company prior to the consummation of the transaction.</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(i), (ii) or (iii)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6" w:lineRule="exact"/>
        <w:rPr>
          <w:sz w:val="20"/>
          <w:szCs w:val="20"/>
          <w:color w:val="auto"/>
        </w:rPr>
      </w:pPr>
    </w:p>
    <w:p>
      <w:pPr>
        <w:ind w:left="1520" w:hanging="763"/>
        <w:spacing w:after="0"/>
        <w:tabs>
          <w:tab w:leader="none" w:pos="15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and the regulations issued thereunder.</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50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8"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Seres Therapeutics, Inc., a Delaware corporation, or any successor.</w:t>
      </w:r>
    </w:p>
    <w:p>
      <w:pPr>
        <w:spacing w:after="0" w:line="215" w:lineRule="exact"/>
        <w:rPr>
          <w:rFonts w:ascii="Times New Roman" w:cs="Times New Roman" w:eastAsia="Times New Roman" w:hAnsi="Times New Roman"/>
          <w:sz w:val="20"/>
          <w:szCs w:val="20"/>
          <w:color w:val="auto"/>
        </w:rPr>
      </w:pPr>
    </w:p>
    <w:p>
      <w:pPr>
        <w:jc w:val="both"/>
        <w:ind w:firstLine="757"/>
        <w:spacing w:after="0" w:line="256" w:lineRule="auto"/>
        <w:tabs>
          <w:tab w:leader="none" w:pos="150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xml:space="preserve">” means any person, including any adviser, engaged by the Company or its parent or Subsidiary to render services to such entity if the consultant or adviser: (i) renders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services to the Company; (ii) renders services not in connection with the offer or sale of securities in a capital-raising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color w:val="auto"/>
        </w:rPr>
        <w:t>transaction and does not directly or indirectly promote or maintain a market for the Company’s securities; and (iii) is a natural person.</w:t>
      </w:r>
    </w:p>
    <w:p>
      <w:pPr>
        <w:spacing w:after="0" w:line="211" w:lineRule="exact"/>
        <w:rPr>
          <w:sz w:val="20"/>
          <w:szCs w:val="20"/>
          <w:color w:val="auto"/>
        </w:rPr>
      </w:pPr>
    </w:p>
    <w:p>
      <w:pPr>
        <w:jc w:val="both"/>
        <w:ind w:firstLine="757"/>
        <w:spacing w:after="0" w:line="256" w:lineRule="auto"/>
        <w:tabs>
          <w:tab w:leader="none" w:pos="150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68"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Board member.</w:t>
      </w:r>
    </w:p>
    <w:p>
      <w:pPr>
        <w:spacing w:after="0" w:line="215"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a permanent and total disability under Section 22(e)(3) of the Code, as amended.</w:t>
      </w:r>
    </w:p>
    <w:p>
      <w:pPr>
        <w:spacing w:after="0" w:line="215" w:lineRule="exact"/>
        <w:rPr>
          <w:rFonts w:ascii="Times New Roman" w:cs="Times New Roman" w:eastAsia="Times New Roman" w:hAnsi="Times New Roman"/>
          <w:sz w:val="20"/>
          <w:szCs w:val="20"/>
          <w:color w:val="auto"/>
        </w:rPr>
      </w:pPr>
    </w:p>
    <w:p>
      <w:pPr>
        <w:ind w:firstLine="757"/>
        <w:spacing w:after="0" w:line="273" w:lineRule="auto"/>
        <w:tabs>
          <w:tab w:leader="none" w:pos="150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 means a right granted to a Participant under the Plan to receive the equivalent value (in cash or Shares) of dividends paid on Shares.</w:t>
      </w:r>
    </w:p>
    <w:p>
      <w:pPr>
        <w:spacing w:after="0" w:line="151"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employee of the Company or its Subsidiaries.</w:t>
      </w:r>
    </w:p>
    <w:p>
      <w:pPr>
        <w:spacing w:after="0" w:line="215" w:lineRule="exact"/>
        <w:rPr>
          <w:rFonts w:ascii="Times New Roman" w:cs="Times New Roman" w:eastAsia="Times New Roman" w:hAnsi="Times New Roman"/>
          <w:sz w:val="20"/>
          <w:szCs w:val="20"/>
          <w:color w:val="auto"/>
        </w:rPr>
      </w:pPr>
    </w:p>
    <w:p>
      <w:pPr>
        <w:jc w:val="both"/>
        <w:ind w:firstLine="757"/>
        <w:spacing w:after="0" w:line="250" w:lineRule="auto"/>
        <w:tabs>
          <w:tab w:leader="none" w:pos="150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Equity Restructuring</w:t>
      </w:r>
      <w:r>
        <w:rPr>
          <w:rFonts w:ascii="Times New Roman" w:cs="Times New Roman" w:eastAsia="Times New Roman" w:hAnsi="Times New Roman"/>
          <w:sz w:val="20"/>
          <w:szCs w:val="20"/>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75"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5" w:lineRule="exact"/>
        <w:rPr>
          <w:rFonts w:ascii="Times New Roman" w:cs="Times New Roman" w:eastAsia="Times New Roman" w:hAnsi="Times New Roman"/>
          <w:sz w:val="20"/>
          <w:szCs w:val="20"/>
          <w:color w:val="auto"/>
        </w:rPr>
      </w:pPr>
    </w:p>
    <w:p>
      <w:pPr>
        <w:jc w:val="both"/>
        <w:ind w:firstLine="757"/>
        <w:spacing w:after="0" w:line="244" w:lineRule="auto"/>
        <w:tabs>
          <w:tab w:leader="none" w:pos="150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xml:space="preserve">”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20"/>
          <w:szCs w:val="20"/>
          <w:i w:val="1"/>
          <w:iCs w:val="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Wall Street Journal </w:t>
      </w:r>
      <w:r>
        <w:rPr>
          <w:rFonts w:ascii="Times New Roman" w:cs="Times New Roman" w:eastAsia="Times New Roman" w:hAnsi="Times New Roman"/>
          <w:sz w:val="20"/>
          <w:szCs w:val="20"/>
          <w:color w:val="auto"/>
        </w:rPr>
        <w:t>or another source the Administrator deems reliable; (ii) if the Common Stock is not traded on a stock exchange but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 source the Administrator deems reliable; or (iii) without an established market for the Common Stock, the Administrator will determine the Fair Market Value in its discretion.</w:t>
      </w:r>
    </w:p>
    <w:p>
      <w:pPr>
        <w:spacing w:after="0" w:line="181" w:lineRule="exact"/>
        <w:rPr>
          <w:rFonts w:ascii="Times New Roman" w:cs="Times New Roman" w:eastAsia="Times New Roman" w:hAnsi="Times New Roman"/>
          <w:sz w:val="20"/>
          <w:szCs w:val="20"/>
          <w:color w:val="auto"/>
        </w:rPr>
      </w:pPr>
    </w:p>
    <w:p>
      <w:pPr>
        <w:jc w:val="both"/>
        <w:ind w:firstLine="757"/>
        <w:spacing w:after="0" w:line="256" w:lineRule="auto"/>
        <w:tabs>
          <w:tab w:leader="none" w:pos="150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Greater Than 10% Stockholder</w:t>
      </w:r>
      <w:r>
        <w:rPr>
          <w:rFonts w:ascii="Times New Roman" w:cs="Times New Roman" w:eastAsia="Times New Roman" w:hAnsi="Times New Roman"/>
          <w:sz w:val="20"/>
          <w:szCs w:val="20"/>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68"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Incentive Stock Option</w:t>
      </w:r>
      <w:r>
        <w:rPr>
          <w:rFonts w:ascii="Times New Roman" w:cs="Times New Roman" w:eastAsia="Times New Roman" w:hAnsi="Times New Roman"/>
          <w:sz w:val="19"/>
          <w:szCs w:val="19"/>
          <w:color w:val="auto"/>
        </w:rPr>
        <w:t>” means an Option intended to qualify as an “incentive stock option” as defined in Section 422 of</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Code.</w:t>
      </w:r>
    </w:p>
    <w:p>
      <w:pPr>
        <w:spacing w:after="0" w:line="189" w:lineRule="exact"/>
        <w:rPr>
          <w:rFonts w:ascii="Times New Roman" w:cs="Times New Roman" w:eastAsia="Times New Roman" w:hAnsi="Times New Roman"/>
          <w:sz w:val="19"/>
          <w:szCs w:val="19"/>
          <w:color w:val="auto"/>
        </w:rPr>
      </w:pPr>
    </w:p>
    <w:p>
      <w:pPr>
        <w:ind w:left="1520" w:hanging="763"/>
        <w:spacing w:after="0"/>
        <w:tabs>
          <w:tab w:leader="none" w:pos="15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Non-Qualified Stock Option</w:t>
      </w:r>
      <w:r>
        <w:rPr>
          <w:rFonts w:ascii="Times New Roman" w:cs="Times New Roman" w:eastAsia="Times New Roman" w:hAnsi="Times New Roman"/>
          <w:sz w:val="20"/>
          <w:szCs w:val="20"/>
          <w:color w:val="auto"/>
        </w:rPr>
        <w:t>” means an Option not intended or not qualifying as an Incentive Stock Option.</w:t>
      </w:r>
    </w:p>
    <w:p>
      <w:pPr>
        <w:spacing w:after="0" w:line="215"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an option to purchase Shares.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ind w:firstLine="757"/>
        <w:spacing w:after="0" w:line="274" w:lineRule="auto"/>
        <w:tabs>
          <w:tab w:leader="none" w:pos="150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Stock or Cash Based Awards</w:t>
      </w:r>
      <w:r>
        <w:rPr>
          <w:rFonts w:ascii="Times New Roman" w:cs="Times New Roman" w:eastAsia="Times New Roman" w:hAnsi="Times New Roman"/>
          <w:sz w:val="20"/>
          <w:szCs w:val="20"/>
          <w:color w:val="auto"/>
        </w:rPr>
        <w:t>” means cash awards, awards of Shares, and other awards valued wholly or partially by referring to, or are otherwise based on, Shares or other property.</w:t>
      </w:r>
    </w:p>
    <w:p>
      <w:pPr>
        <w:spacing w:after="0" w:line="150" w:lineRule="exact"/>
        <w:rPr>
          <w:rFonts w:ascii="Times New Roman" w:cs="Times New Roman" w:eastAsia="Times New Roman" w:hAnsi="Times New Roman"/>
          <w:sz w:val="20"/>
          <w:szCs w:val="20"/>
          <w:color w:val="auto"/>
        </w:rPr>
      </w:pPr>
    </w:p>
    <w:p>
      <w:pPr>
        <w:jc w:val="both"/>
        <w:ind w:firstLine="757"/>
        <w:spacing w:after="0" w:line="247" w:lineRule="auto"/>
        <w:tabs>
          <w:tab w:leader="none" w:pos="150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Overall Share Limit</w:t>
      </w:r>
      <w:r>
        <w:rPr>
          <w:rFonts w:ascii="Times New Roman" w:cs="Times New Roman" w:eastAsia="Times New Roman" w:hAnsi="Times New Roman"/>
          <w:sz w:val="20"/>
          <w:szCs w:val="20"/>
          <w:color w:val="auto"/>
        </w:rPr>
        <w:t>” means the sum of (i) 2,200,000 Shares; (ii) any shares of Common Stock which are subject to Prior Plan Awards which become available for issuance under the Plan pursuant to Section IV(b) and (iii) an annual increase on the first day of each calendar year beginning January 1, 2016 and ending on and including January 1, 2025, equal to the lesser of (A) 4% of the aggregate number of shares of Common Stock outstanding on the final day of the immediately preceding calendar year and (B) such smaller number of Shares as is determined by the Board.</w:t>
      </w:r>
    </w:p>
    <w:p>
      <w:pPr>
        <w:spacing w:after="0" w:line="180" w:lineRule="exact"/>
        <w:rPr>
          <w:sz w:val="20"/>
          <w:szCs w:val="20"/>
          <w:color w:val="auto"/>
        </w:rPr>
      </w:pPr>
    </w:p>
    <w:p>
      <w:pPr>
        <w:ind w:left="1520" w:hanging="763"/>
        <w:spacing w:after="0"/>
        <w:tabs>
          <w:tab w:leader="none" w:pos="15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 Service Provider who has been granted an Award.</w:t>
      </w:r>
    </w:p>
    <w:p>
      <w:pPr>
        <w:spacing w:after="0" w:line="215" w:lineRule="exact"/>
        <w:rPr>
          <w:rFonts w:ascii="Times New Roman" w:cs="Times New Roman" w:eastAsia="Times New Roman" w:hAnsi="Times New Roman"/>
          <w:sz w:val="20"/>
          <w:szCs w:val="20"/>
          <w:color w:val="auto"/>
        </w:rPr>
      </w:pPr>
    </w:p>
    <w:p>
      <w:pPr>
        <w:jc w:val="both"/>
        <w:ind w:firstLine="757"/>
        <w:spacing w:after="0" w:line="241" w:lineRule="auto"/>
        <w:tabs>
          <w:tab w:leader="none" w:pos="150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peer group results, or market performance indicators or indices.</w:t>
      </w:r>
    </w:p>
    <w:p>
      <w:pPr>
        <w:spacing w:after="0" w:line="191"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2015 Incentive Award Plan, as amended or restated from time to time.</w:t>
      </w:r>
    </w:p>
    <w:p>
      <w:pPr>
        <w:spacing w:after="0" w:line="215" w:lineRule="exact"/>
        <w:rPr>
          <w:rFonts w:ascii="Times New Roman" w:cs="Times New Roman" w:eastAsia="Times New Roman" w:hAnsi="Times New Roman"/>
          <w:sz w:val="20"/>
          <w:szCs w:val="20"/>
          <w:color w:val="auto"/>
        </w:rPr>
      </w:pPr>
    </w:p>
    <w:p>
      <w:pPr>
        <w:ind w:right="20" w:firstLine="757"/>
        <w:spacing w:after="0" w:line="273" w:lineRule="auto"/>
        <w:tabs>
          <w:tab w:leader="none" w:pos="150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Prior Plans</w:t>
      </w:r>
      <w:r>
        <w:rPr>
          <w:rFonts w:ascii="Times New Roman" w:cs="Times New Roman" w:eastAsia="Times New Roman" w:hAnsi="Times New Roman"/>
          <w:sz w:val="20"/>
          <w:szCs w:val="20"/>
          <w:color w:val="auto"/>
        </w:rPr>
        <w:t>” means, collectively, the Seres Therapeutics, Inc. 2012 Stock Incentive Plan and any prior equity incentive plans of the Company or its predecessor.</w:t>
      </w:r>
    </w:p>
    <w:p>
      <w:pPr>
        <w:spacing w:after="0" w:line="151"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Prior Plan Award</w:t>
      </w:r>
      <w:r>
        <w:rPr>
          <w:rFonts w:ascii="Times New Roman" w:cs="Times New Roman" w:eastAsia="Times New Roman" w:hAnsi="Times New Roman"/>
          <w:sz w:val="20"/>
          <w:szCs w:val="20"/>
          <w:color w:val="auto"/>
        </w:rPr>
        <w:t>” means an award outstanding under the Prior Plans as of the Plan’s effective date in Section X(c).</w:t>
      </w:r>
    </w:p>
    <w:p>
      <w:pPr>
        <w:spacing w:after="0" w:line="215" w:lineRule="exact"/>
        <w:rPr>
          <w:rFonts w:ascii="Times New Roman" w:cs="Times New Roman" w:eastAsia="Times New Roman" w:hAnsi="Times New Roman"/>
          <w:sz w:val="20"/>
          <w:szCs w:val="20"/>
          <w:color w:val="auto"/>
        </w:rPr>
      </w:pPr>
    </w:p>
    <w:p>
      <w:pPr>
        <w:jc w:val="both"/>
        <w:ind w:firstLine="757"/>
        <w:spacing w:after="0" w:line="250" w:lineRule="auto"/>
        <w:tabs>
          <w:tab w:leader="none" w:pos="150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Public Trading Date</w:t>
      </w:r>
      <w:r>
        <w:rPr>
          <w:rFonts w:ascii="Times New Roman" w:cs="Times New Roman" w:eastAsia="Times New Roman" w:hAnsi="Times New Roman"/>
          <w:sz w:val="20"/>
          <w:szCs w:val="20"/>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175"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w:t>
      </w:r>
      <w:r>
        <w:rPr>
          <w:rFonts w:ascii="Times New Roman" w:cs="Times New Roman" w:eastAsia="Times New Roman" w:hAnsi="Times New Roman"/>
          <w:sz w:val="19"/>
          <w:szCs w:val="19"/>
          <w:color w:val="auto"/>
        </w:rPr>
        <w:t>” means Shares awarded to a Participant under Section VI subject to certain vesting conditions and other</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restrictions.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7" w:name="page148"/>
    <w:bookmarkEnd w:id="147"/>
    <w:p>
      <w:pPr>
        <w:jc w:val="both"/>
        <w:ind w:firstLine="757"/>
        <w:spacing w:after="0" w:line="256" w:lineRule="auto"/>
        <w:tabs>
          <w:tab w:leader="none" w:pos="150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69"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16b-3</w:t>
      </w:r>
      <w:r>
        <w:rPr>
          <w:rFonts w:ascii="Times New Roman" w:cs="Times New Roman" w:eastAsia="Times New Roman" w:hAnsi="Times New Roman"/>
          <w:sz w:val="20"/>
          <w:szCs w:val="20"/>
          <w:color w:val="auto"/>
        </w:rPr>
        <w:t>” means Rule 16b-3 promulgated under the Exchange Act.</w:t>
      </w:r>
    </w:p>
    <w:p>
      <w:pPr>
        <w:spacing w:after="0" w:line="215" w:lineRule="exact"/>
        <w:rPr>
          <w:rFonts w:ascii="Times New Roman" w:cs="Times New Roman" w:eastAsia="Times New Roman" w:hAnsi="Times New Roman"/>
          <w:sz w:val="20"/>
          <w:szCs w:val="20"/>
          <w:color w:val="auto"/>
        </w:rPr>
      </w:pPr>
    </w:p>
    <w:p>
      <w:pPr>
        <w:ind w:firstLine="757"/>
        <w:spacing w:after="0" w:line="273" w:lineRule="auto"/>
        <w:tabs>
          <w:tab w:leader="none" w:pos="150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all regulations, guidance, compliance programs and other interpretative authority thereunder.</w:t>
      </w:r>
    </w:p>
    <w:p>
      <w:pPr>
        <w:spacing w:after="0" w:line="151"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5"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Service Provider</w:t>
      </w:r>
      <w:r>
        <w:rPr>
          <w:rFonts w:ascii="Times New Roman" w:cs="Times New Roman" w:eastAsia="Times New Roman" w:hAnsi="Times New Roman"/>
          <w:sz w:val="20"/>
          <w:szCs w:val="20"/>
          <w:color w:val="auto"/>
        </w:rPr>
        <w:t>” means an Employee, Consultant or Director.</w:t>
      </w:r>
    </w:p>
    <w:p>
      <w:pPr>
        <w:spacing w:after="0" w:line="215"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means shares of Common Stock.</w:t>
      </w:r>
    </w:p>
    <w:p>
      <w:pPr>
        <w:spacing w:after="0" w:line="215"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means a stock appreciation right granted under Section V.</w:t>
      </w:r>
    </w:p>
    <w:p>
      <w:pPr>
        <w:spacing w:after="0" w:line="215" w:lineRule="exact"/>
        <w:rPr>
          <w:rFonts w:ascii="Times New Roman" w:cs="Times New Roman" w:eastAsia="Times New Roman" w:hAnsi="Times New Roman"/>
          <w:sz w:val="20"/>
          <w:szCs w:val="20"/>
          <w:color w:val="auto"/>
        </w:rPr>
      </w:pPr>
    </w:p>
    <w:p>
      <w:pPr>
        <w:jc w:val="both"/>
        <w:ind w:firstLine="757"/>
        <w:spacing w:after="0" w:line="250" w:lineRule="auto"/>
        <w:tabs>
          <w:tab w:leader="none" w:pos="150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75" w:lineRule="exact"/>
        <w:rPr>
          <w:rFonts w:ascii="Times New Roman" w:cs="Times New Roman" w:eastAsia="Times New Roman" w:hAnsi="Times New Roman"/>
          <w:sz w:val="20"/>
          <w:szCs w:val="20"/>
          <w:color w:val="auto"/>
        </w:rPr>
      </w:pPr>
    </w:p>
    <w:p>
      <w:pPr>
        <w:ind w:left="1520" w:hanging="763"/>
        <w:spacing w:after="0"/>
        <w:tabs>
          <w:tab w:leader="none" w:pos="15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Termination of Service</w:t>
      </w:r>
      <w:r>
        <w:rPr>
          <w:rFonts w:ascii="Times New Roman" w:cs="Times New Roman" w:eastAsia="Times New Roman" w:hAnsi="Times New Roman"/>
          <w:sz w:val="20"/>
          <w:szCs w:val="20"/>
          <w:color w:val="auto"/>
        </w:rPr>
        <w:t>” means the date the Participant ceases to be a Service Provider.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i w:val="1"/>
          <w:iCs w:val="1"/>
          <w:color w:val="auto"/>
        </w:rPr>
        <w:t>Form of Stock Option Grant Notice</w:t>
      </w:r>
    </w:p>
    <w:p>
      <w:pPr>
        <w:spacing w:after="0" w:line="2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2015 INCENTIVE AWARD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225" w:lineRule="exact"/>
        <w:rPr>
          <w:sz w:val="20"/>
          <w:szCs w:val="20"/>
          <w:color w:val="auto"/>
        </w:rPr>
      </w:pPr>
    </w:p>
    <w:p>
      <w:pPr>
        <w:ind w:right="180" w:firstLine="749"/>
        <w:spacing w:after="0" w:line="286" w:lineRule="auto"/>
        <w:rPr>
          <w:sz w:val="20"/>
          <w:szCs w:val="20"/>
          <w:color w:val="auto"/>
        </w:rPr>
      </w:pPr>
      <w:r>
        <w:rPr>
          <w:rFonts w:ascii="Times New Roman" w:cs="Times New Roman" w:eastAsia="Times New Roman" w:hAnsi="Times New Roman"/>
          <w:sz w:val="18"/>
          <w:szCs w:val="18"/>
          <w:color w:val="auto"/>
        </w:rPr>
        <w:t>Capitalized terms not specifically defined in this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have the meanings given to them in the 2015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Seres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18"/>
          <w:szCs w:val="18"/>
          <w:color w:val="auto"/>
        </w:rPr>
        <w:t>The Company hereby grants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stock option described in this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xml:space="preserve">”), subject to the terms and conditions of the Plan and the Stock Option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Shares Subject to the Option: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Final Expiration Date: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ectPr>
          <w:pgSz w:w="11900" w:h="16838" w:orient="portrait"/>
          <w:cols w:equalWidth="0" w:num="1">
            <w:col w:w="11240"/>
          </w:cols>
          <w:pgMar w:left="320" w:top="119"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7"/>
          <w:szCs w:val="17"/>
          <w:color w:val="auto"/>
        </w:rPr>
        <w:t>[To be specified in individual award agreements]</w:t>
      </w:r>
    </w:p>
    <w:p>
      <w:pPr>
        <w:spacing w:after="0" w:line="200" w:lineRule="exact"/>
        <w:rPr>
          <w:sz w:val="20"/>
          <w:szCs w:val="20"/>
          <w:color w:val="auto"/>
        </w:rPr>
      </w:pPr>
    </w:p>
    <w:p>
      <w:pPr>
        <w:sectPr>
          <w:pgSz w:w="11900" w:h="16838" w:orient="portrait"/>
          <w:cols w:equalWidth="0" w:num="2">
            <w:col w:w="3720" w:space="720"/>
            <w:col w:w="6800"/>
          </w:cols>
          <w:pgMar w:left="320" w:top="119" w:right="339" w:bottom="1440" w:gutter="0" w:footer="0" w:header="0"/>
          <w:type w:val="continuous"/>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Type of Option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Incentive Stock Option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Non-Qualified Stock Option</w:t>
      </w:r>
    </w:p>
    <w:p>
      <w:pPr>
        <w:spacing w:after="0" w:line="200" w:lineRule="exact"/>
        <w:rPr>
          <w:sz w:val="20"/>
          <w:szCs w:val="20"/>
          <w:color w:val="auto"/>
        </w:rPr>
      </w:pPr>
    </w:p>
    <w:p>
      <w:pPr>
        <w:sectPr>
          <w:pgSz w:w="11900" w:h="16838" w:orient="portrait"/>
          <w:cols w:equalWidth="0" w:num="3">
            <w:col w:w="3720" w:space="720"/>
            <w:col w:w="2080" w:space="40"/>
            <w:col w:w="4680"/>
          </w:cols>
          <w:pgMar w:left="320" w:top="119" w:right="339" w:bottom="1440" w:gutter="0" w:footer="0" w:header="0"/>
          <w:type w:val="continuous"/>
        </w:sectPr>
      </w:pPr>
    </w:p>
    <w:p>
      <w:pPr>
        <w:spacing w:after="0" w:line="25"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92"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18"/>
          <w:szCs w:val="18"/>
          <w:b w:val="1"/>
          <w:bCs w:val="1"/>
          <w:color w:val="auto"/>
        </w:rPr>
        <w:t>SERES THERAPEUTICS, INC.</w:t>
      </w:r>
      <w:r>
        <w:rPr>
          <w:sz w:val="20"/>
          <w:szCs w:val="20"/>
          <w:color w:val="auto"/>
        </w:rPr>
        <w:tab/>
      </w:r>
      <w:r>
        <w:rPr>
          <w:rFonts w:ascii="Times New Roman" w:cs="Times New Roman" w:eastAsia="Times New Roman" w:hAnsi="Times New Roman"/>
          <w:sz w:val="17"/>
          <w:szCs w:val="17"/>
          <w:b w:val="1"/>
          <w:bCs w:val="1"/>
          <w:color w:val="auto"/>
        </w:rPr>
        <w:t>PARTICIPANT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wp:posOffset>
            </wp:positionV>
            <wp:extent cx="239141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wp:posOffset>
            </wp:positionV>
            <wp:extent cx="63093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wp:posOffset>
            </wp:positionV>
            <wp:extent cx="239141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9" w:name="page150"/>
    <w:bookmarkEnd w:id="149"/>
    <w:p>
      <w:pPr>
        <w:ind w:left="104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Pursuant to the Grant Notice to which this Agreement is attached, the Company has granted to Participant the Option effective as of the grant date set forth in the Grant Notice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20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Commencement of Exercisability</w:t>
      </w:r>
      <w:r>
        <w:rPr>
          <w:rFonts w:ascii="Times New Roman" w:cs="Times New Roman" w:eastAsia="Times New Roman" w:hAnsi="Times New Roman"/>
          <w:sz w:val="18"/>
          <w:szCs w:val="18"/>
          <w:color w:val="auto"/>
        </w:rPr>
        <w:t>. The Option will vest and become exercisable according to the vesting schedule in the Grant Notice (the “</w:t>
      </w: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83"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The Option may not be exercised to any extent by anyone after, and will expire on, the first of the following to occur:</w:t>
      </w:r>
    </w:p>
    <w:p>
      <w:pPr>
        <w:spacing w:after="0" w:line="225" w:lineRule="exact"/>
        <w:rPr>
          <w:sz w:val="20"/>
          <w:szCs w:val="20"/>
          <w:color w:val="auto"/>
        </w:rPr>
      </w:pPr>
    </w:p>
    <w:p>
      <w:pPr>
        <w:ind w:left="1760" w:hanging="255"/>
        <w:spacing w:after="0"/>
        <w:tabs>
          <w:tab w:leader="none" w:pos="17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expiration date in the Grant Notice;</w:t>
      </w:r>
    </w:p>
    <w:p>
      <w:pPr>
        <w:spacing w:after="0" w:line="225" w:lineRule="exact"/>
        <w:rPr>
          <w:rFonts w:ascii="Times New Roman" w:cs="Times New Roman" w:eastAsia="Times New Roman" w:hAnsi="Times New Roman"/>
          <w:sz w:val="18"/>
          <w:szCs w:val="18"/>
          <w:color w:val="auto"/>
        </w:rPr>
      </w:pPr>
    </w:p>
    <w:p>
      <w:pPr>
        <w:ind w:left="760" w:right="140" w:firstLine="745"/>
        <w:spacing w:after="0" w:line="282" w:lineRule="auto"/>
        <w:tabs>
          <w:tab w:leader="none" w:pos="176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61" w:lineRule="exact"/>
        <w:rPr>
          <w:rFonts w:ascii="Times New Roman" w:cs="Times New Roman" w:eastAsia="Times New Roman" w:hAnsi="Times New Roman"/>
          <w:sz w:val="18"/>
          <w:szCs w:val="18"/>
          <w:color w:val="auto"/>
        </w:rPr>
      </w:pPr>
    </w:p>
    <w:p>
      <w:pPr>
        <w:ind w:left="760" w:right="280" w:firstLine="745"/>
        <w:spacing w:after="0" w:line="282" w:lineRule="auto"/>
        <w:tabs>
          <w:tab w:leader="none" w:pos="175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one (1) year from the date of Participant’s Termination of Service by reason of Participant’s death or Disability; and</w:t>
      </w:r>
    </w:p>
    <w:p>
      <w:pPr>
        <w:spacing w:after="0" w:line="161"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Participant’s Termination of Service for Cause.</w:t>
      </w:r>
    </w:p>
    <w:p>
      <w:pPr>
        <w:spacing w:after="0" w:line="22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(i) if Participant is a party to a written employment or consulting agreement with the Company or its Subsidiary in which the term “cause” is defined (a “</w:t>
      </w:r>
      <w:r>
        <w:rPr>
          <w:rFonts w:ascii="Times New Roman" w:cs="Times New Roman" w:eastAsia="Times New Roman" w:hAnsi="Times New Roman"/>
          <w:sz w:val="18"/>
          <w:szCs w:val="18"/>
          <w:b w:val="1"/>
          <w:bCs w:val="1"/>
          <w:i w:val="1"/>
          <w:iCs w:val="1"/>
          <w:color w:val="auto"/>
        </w:rPr>
        <w:t>Relevant Agreement</w:t>
      </w:r>
      <w:r>
        <w:rPr>
          <w:rFonts w:ascii="Times New Roman" w:cs="Times New Roman" w:eastAsia="Times New Roman" w:hAnsi="Times New Roman"/>
          <w:sz w:val="18"/>
          <w:szCs w:val="18"/>
          <w:color w:val="auto"/>
        </w:rPr>
        <w:t>”), “Cause” as defined in the Relevant Agreement, and (ii) if no Relevant Agreement exists,</w:t>
      </w:r>
    </w:p>
    <w:p>
      <w:pPr>
        <w:spacing w:after="0" w:line="1" w:lineRule="exact"/>
        <w:rPr>
          <w:sz w:val="20"/>
          <w:szCs w:val="20"/>
          <w:color w:val="auto"/>
        </w:rPr>
      </w:pPr>
    </w:p>
    <w:p>
      <w:pPr>
        <w:jc w:val="both"/>
        <w:ind w:right="180" w:firstLine="8"/>
        <w:spacing w:after="0" w:line="250" w:lineRule="auto"/>
        <w:tabs>
          <w:tab w:leader="none" w:pos="2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Administrator’s determination that Participant failed to substantially perform Participant’s duties (other than a failure resulting from Participant’s Disability); (B) the Administrator’s determination that Participant failed to carry out, or comply with any lawful and reasonable directive of the Board or Participant’s immediate supervisor; (C) Participant’s conviction, plea of no contest, plea of nolo contendere, or imposition of unadjudicated probation for any felony or indictable offense or crime involving moral turpitude; (D) Participant’s unlawful use (including being under the influence) or possession of illegal drugs on the premises of the Company or any of its Subsidiaries or while performing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50" w:name="page151"/>
    <w:bookmarkEnd w:id="150"/>
    <w:p>
      <w:pPr>
        <w:ind w:right="480"/>
        <w:spacing w:after="0" w:line="282" w:lineRule="auto"/>
        <w:rPr>
          <w:sz w:val="20"/>
          <w:szCs w:val="20"/>
          <w:color w:val="auto"/>
        </w:rPr>
      </w:pPr>
      <w:r>
        <w:rPr>
          <w:rFonts w:ascii="Times New Roman" w:cs="Times New Roman" w:eastAsia="Times New Roman" w:hAnsi="Times New Roman"/>
          <w:sz w:val="18"/>
          <w:szCs w:val="18"/>
          <w:color w:val="auto"/>
        </w:rPr>
        <w:t>Participant’s duties and responsibilities for the Company or any of its Subsidiaries; or (E) Participant’s commission of an act of fraud, embezzlement, misappropriation, misconduct, or breach of fiduciary duty against the Company or any of its Subsidiaries.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207" w:lineRule="exact"/>
        <w:rPr>
          <w:sz w:val="20"/>
          <w:szCs w:val="20"/>
          <w:color w:val="auto"/>
        </w:rPr>
      </w:pPr>
    </w:p>
    <w:p>
      <w:pPr>
        <w:ind w:right="260" w:firstLine="749"/>
        <w:spacing w:after="0" w:line="312"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Person Eligible to Exercise</w:t>
      </w:r>
      <w:r>
        <w:rPr>
          <w:rFonts w:ascii="Times New Roman" w:cs="Times New Roman" w:eastAsia="Times New Roman" w:hAnsi="Times New Roman"/>
          <w:sz w:val="17"/>
          <w:szCs w:val="17"/>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40"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757"/>
        <w:spacing w:after="0" w:line="266" w:lineRule="auto"/>
        <w:tabs>
          <w:tab w:leader="none" w:pos="110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75" w:lineRule="exact"/>
        <w:rPr>
          <w:rFonts w:ascii="Times New Roman" w:cs="Times New Roman" w:eastAsia="Times New Roman" w:hAnsi="Times New Roman"/>
          <w:sz w:val="18"/>
          <w:szCs w:val="18"/>
          <w:color w:val="auto"/>
        </w:rPr>
      </w:pPr>
    </w:p>
    <w:p>
      <w:pPr>
        <w:ind w:right="40" w:firstLine="757"/>
        <w:spacing w:after="0" w:line="258" w:lineRule="auto"/>
        <w:tabs>
          <w:tab w:leader="none" w:pos="110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Option is subject to adjustment, modification and termination in certain events as provided in this Agreement and the Plan.</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4.2 Notices.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6" w:lineRule="exact"/>
        <w:rPr>
          <w:sz w:val="20"/>
          <w:szCs w:val="20"/>
          <w:color w:val="auto"/>
        </w:rPr>
      </w:pPr>
    </w:p>
    <w:p>
      <w:pPr>
        <w:ind w:right="800" w:firstLine="749"/>
        <w:spacing w:after="0" w:line="260"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will inure to the benefit of the successors and assigns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ind w:right="340"/>
        <w:spacing w:after="0" w:line="282" w:lineRule="auto"/>
        <w:rPr>
          <w:sz w:val="20"/>
          <w:szCs w:val="20"/>
          <w:color w:val="auto"/>
        </w:rPr>
      </w:pPr>
      <w:r>
        <w:rPr>
          <w:rFonts w:ascii="Times New Roman" w:cs="Times New Roman" w:eastAsia="Times New Roman" w:hAnsi="Times New Roman"/>
          <w:sz w:val="18"/>
          <w:szCs w:val="18"/>
          <w:color w:val="auto"/>
        </w:rPr>
        <w:t>Company. Subject to the restrictions on transfer set forth in the Plan, this Agreement will be binding upon and inure to the benefit of the heirs, legatees, legal representatives, successors and assigns of the parties hereto.</w:t>
      </w:r>
    </w:p>
    <w:p>
      <w:pPr>
        <w:spacing w:after="0" w:line="162" w:lineRule="exact"/>
        <w:rPr>
          <w:sz w:val="20"/>
          <w:szCs w:val="20"/>
          <w:color w:val="auto"/>
        </w:rPr>
      </w:pPr>
    </w:p>
    <w:p>
      <w:pPr>
        <w:ind w:right="20" w:firstLine="749"/>
        <w:spacing w:after="0" w:line="281"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Limitations Applicable to Section 16 Persons</w:t>
      </w:r>
      <w:r>
        <w:rPr>
          <w:rFonts w:ascii="Times New Roman" w:cs="Times New Roman" w:eastAsia="Times New Roman" w:hAnsi="Times New Roman"/>
          <w:sz w:val="17"/>
          <w:szCs w:val="17"/>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64" w:lineRule="exact"/>
        <w:rPr>
          <w:sz w:val="20"/>
          <w:szCs w:val="20"/>
          <w:color w:val="auto"/>
        </w:rPr>
      </w:pPr>
    </w:p>
    <w:p>
      <w:pPr>
        <w:jc w:val="both"/>
        <w:ind w:right="460" w:firstLine="749"/>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4.11 Counterparts. The Grant Notice may be executed in one or more counterparts, including by way of any electronic signature, subject to Applicable Law, each of which will be deemed an original and all of which together will constitute one instrument.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If the Option is designated as an Incentive Stock Option:</w:t>
      </w:r>
    </w:p>
    <w:p>
      <w:pPr>
        <w:spacing w:after="0" w:line="225" w:lineRule="exact"/>
        <w:rPr>
          <w:sz w:val="20"/>
          <w:szCs w:val="20"/>
          <w:color w:val="auto"/>
        </w:rPr>
      </w:pPr>
    </w:p>
    <w:p>
      <w:pPr>
        <w:ind w:firstLine="757"/>
        <w:spacing w:after="0" w:line="254" w:lineRule="auto"/>
        <w:tabs>
          <w:tab w:leader="none" w:pos="115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(3) months after Participant’s Termination of Service, other than by reason of death or disability, the Option will be taxed as a Non-Qualified Stock Option.</w:t>
      </w:r>
    </w:p>
    <w:p>
      <w:pPr>
        <w:spacing w:after="0" w:line="191" w:lineRule="exact"/>
        <w:rPr>
          <w:rFonts w:ascii="Times New Roman" w:cs="Times New Roman" w:eastAsia="Times New Roman" w:hAnsi="Times New Roman"/>
          <w:sz w:val="18"/>
          <w:szCs w:val="18"/>
          <w:color w:val="auto"/>
        </w:rPr>
      </w:pPr>
    </w:p>
    <w:p>
      <w:pPr>
        <w:ind w:right="40" w:firstLine="757"/>
        <w:spacing w:after="0" w:line="255" w:lineRule="auto"/>
        <w:tabs>
          <w:tab w:leader="none" w:pos="110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jc w:val="center"/>
        <w:ind w:right="59"/>
        <w:spacing w:after="0"/>
        <w:rPr>
          <w:sz w:val="20"/>
          <w:szCs w:val="20"/>
          <w:color w:val="auto"/>
        </w:rPr>
      </w:pPr>
      <w:r>
        <w:rPr>
          <w:rFonts w:ascii="Times New Roman" w:cs="Times New Roman" w:eastAsia="Times New Roman" w:hAnsi="Times New Roman"/>
          <w:sz w:val="18"/>
          <w:szCs w:val="18"/>
          <w:color w:val="auto"/>
        </w:rPr>
        <w:t>* * * * *</w:t>
      </w:r>
    </w:p>
    <w:p>
      <w:pPr>
        <w:sectPr>
          <w:pgSz w:w="11900" w:h="16838" w:orient="portrait"/>
          <w:cols w:equalWidth="0" w:num="1">
            <w:col w:w="9019"/>
          </w:cols>
          <w:pgMar w:left="1440" w:top="337" w:right="1440"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i w:val="1"/>
          <w:iCs w:val="1"/>
          <w:color w:val="auto"/>
        </w:rPr>
        <w:t>Form of Restricted Stock Unit Grant Notice</w:t>
      </w:r>
    </w:p>
    <w:p>
      <w:pPr>
        <w:spacing w:after="0" w:line="2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2015 INCENTIVE AWARD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otice</w:t>
      </w:r>
    </w:p>
    <w:p>
      <w:pPr>
        <w:spacing w:after="0" w:line="225"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color w:val="auto"/>
        </w:rPr>
        <w:t>Capitalized terms not specifically defined in this Restricted Stock Unit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have the meanings given to them in the 2015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Seres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hereby grants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Restricted Stock Units described in this Grant Notice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xml:space="preserve">”), subject to the terms and conditions of the Plan and the Restricted Stock Unit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incorporated into this Grant Notice by reference.</w:t>
      </w: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Number of RSUs:</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117" w:lineRule="exact"/>
        <w:rPr>
          <w:sz w:val="20"/>
          <w:szCs w:val="20"/>
          <w:color w:val="auto"/>
        </w:rPr>
      </w:pPr>
    </w:p>
    <w:p>
      <w:pPr>
        <w:ind w:left="100"/>
        <w:spacing w:after="0"/>
        <w:tabs>
          <w:tab w:leader="none" w:pos="444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[To be specified in individual award agreements]</w:t>
      </w:r>
    </w:p>
    <w:p>
      <w:pPr>
        <w:spacing w:after="0" w:line="121"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76"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18"/>
          <w:szCs w:val="18"/>
          <w:b w:val="1"/>
          <w:bCs w:val="1"/>
          <w:color w:val="auto"/>
        </w:rPr>
        <w:t>SERES THERAPEUTICS, INC.</w:t>
      </w:r>
      <w:r>
        <w:rPr>
          <w:sz w:val="20"/>
          <w:szCs w:val="20"/>
          <w:color w:val="auto"/>
        </w:rPr>
        <w:tab/>
      </w:r>
      <w:r>
        <w:rPr>
          <w:rFonts w:ascii="Times New Roman" w:cs="Times New Roman" w:eastAsia="Times New Roman" w:hAnsi="Times New Roman"/>
          <w:sz w:val="17"/>
          <w:szCs w:val="17"/>
          <w:b w:val="1"/>
          <w:bCs w:val="1"/>
          <w:color w:val="auto"/>
        </w:rPr>
        <w:t>PARTICIPANT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wp:posOffset>
            </wp:positionV>
            <wp:extent cx="239141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wp:posOffset>
            </wp:positionV>
            <wp:extent cx="630936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wp:posOffset>
            </wp:positionV>
            <wp:extent cx="239141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4" w:name="page155"/>
    <w:bookmarkEnd w:id="154"/>
    <w:p>
      <w:pPr>
        <w:ind w:left="104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Award of RSUs and Dividend Equivalents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40" w:firstLine="757"/>
        <w:spacing w:after="0" w:line="268" w:lineRule="auto"/>
        <w:tabs>
          <w:tab w:leader="none" w:pos="110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granted the RSUs to Participant effective as of the grant date set forth in the Grant Notice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74" w:lineRule="exact"/>
        <w:rPr>
          <w:rFonts w:ascii="Times New Roman" w:cs="Times New Roman" w:eastAsia="Times New Roman" w:hAnsi="Times New Roman"/>
          <w:sz w:val="18"/>
          <w:szCs w:val="18"/>
          <w:color w:val="auto"/>
        </w:rPr>
      </w:pPr>
    </w:p>
    <w:p>
      <w:pPr>
        <w:ind w:firstLine="757"/>
        <w:spacing w:after="0" w:line="258" w:lineRule="auto"/>
        <w:tabs>
          <w:tab w:leader="none" w:pos="110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 w:cs="Times New Roman" w:eastAsia="Times New Roman" w:hAnsi="Times New Roman"/>
          <w:sz w:val="18"/>
          <w:szCs w:val="18"/>
          <w:b w:val="1"/>
          <w:bCs w:val="1"/>
          <w:i w:val="1"/>
          <w:iCs w:val="1"/>
          <w:color w:val="auto"/>
        </w:rPr>
        <w:t>Dividend Equivalent Account</w:t>
      </w:r>
      <w:r>
        <w:rPr>
          <w:rFonts w:ascii="Times New Roman" w:cs="Times New Roman" w:eastAsia="Times New Roman" w:hAnsi="Times New Roman"/>
          <w:sz w:val="18"/>
          <w:szCs w:val="18"/>
          <w:color w:val="auto"/>
        </w:rPr>
        <w:t>”) for each Dividend Equivalent and credit the Dividend Equivalent Account (without interest) on the applicable dividend payment date with the amount of any such cash paid.</w:t>
      </w:r>
    </w:p>
    <w:p>
      <w:pPr>
        <w:spacing w:after="0" w:line="183"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62"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and Dividend Equivalents will at all times prior to settlement represent an unsecured Company obligation payable only from the Company’s general assets.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VESTING; FORFEITURE AND SETTLEMENT</w:t>
      </w:r>
    </w:p>
    <w:p>
      <w:pPr>
        <w:spacing w:after="0" w:line="20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Vesting; Forfeiture</w:t>
      </w:r>
      <w:r>
        <w:rPr>
          <w:rFonts w:ascii="Times New Roman" w:cs="Times New Roman" w:eastAsia="Times New Roman" w:hAnsi="Times New Roman"/>
          <w:sz w:val="18"/>
          <w:szCs w:val="18"/>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757"/>
        <w:spacing w:after="0" w:line="256" w:lineRule="auto"/>
        <w:tabs>
          <w:tab w:leader="none" w:pos="110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87" w:lineRule="exact"/>
        <w:rPr>
          <w:rFonts w:ascii="Times New Roman" w:cs="Times New Roman" w:eastAsia="Times New Roman" w:hAnsi="Times New Roman"/>
          <w:sz w:val="18"/>
          <w:szCs w:val="18"/>
          <w:color w:val="auto"/>
        </w:rPr>
      </w:pPr>
    </w:p>
    <w:p>
      <w:pPr>
        <w:ind w:right="780" w:firstLine="757"/>
        <w:spacing w:after="0" w:line="282" w:lineRule="auto"/>
        <w:tabs>
          <w:tab w:leader="none" w:pos="110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is paid in cash, the amount of cash paid with respect to the RSU will equal the Fair Market Value of a Share on the day immediately preceding the payment date. If a Dividend Equivalent is paid</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5" w:name="page156"/>
    <w:bookmarkEnd w:id="155"/>
    <w:p>
      <w:pPr>
        <w:ind w:right="420"/>
        <w:spacing w:after="0" w:line="282" w:lineRule="auto"/>
        <w:rPr>
          <w:sz w:val="20"/>
          <w:szCs w:val="20"/>
          <w:color w:val="auto"/>
        </w:rPr>
      </w:pPr>
      <w:r>
        <w:rPr>
          <w:rFonts w:ascii="Times New Roman" w:cs="Times New Roman" w:eastAsia="Times New Roman" w:hAnsi="Times New Roman"/>
          <w:sz w:val="18"/>
          <w:szCs w:val="18"/>
          <w:color w:val="auto"/>
        </w:rPr>
        <w:t>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57"/>
        <w:spacing w:after="0" w:line="266" w:lineRule="auto"/>
        <w:tabs>
          <w:tab w:leader="none" w:pos="110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75" w:lineRule="exact"/>
        <w:rPr>
          <w:rFonts w:ascii="Times New Roman" w:cs="Times New Roman" w:eastAsia="Times New Roman" w:hAnsi="Times New Roman"/>
          <w:sz w:val="18"/>
          <w:szCs w:val="18"/>
          <w:color w:val="auto"/>
        </w:rPr>
      </w:pPr>
    </w:p>
    <w:p>
      <w:pPr>
        <w:ind w:firstLine="757"/>
        <w:spacing w:after="0" w:line="256" w:lineRule="auto"/>
        <w:tabs>
          <w:tab w:leader="none" w:pos="110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8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Sell to Cover</w:t>
      </w:r>
    </w:p>
    <w:p>
      <w:pPr>
        <w:spacing w:after="0" w:line="225" w:lineRule="exact"/>
        <w:rPr>
          <w:rFonts w:ascii="Times New Roman" w:cs="Times New Roman" w:eastAsia="Times New Roman" w:hAnsi="Times New Roman"/>
          <w:sz w:val="18"/>
          <w:szCs w:val="18"/>
          <w:color w:val="auto"/>
        </w:rPr>
      </w:pPr>
    </w:p>
    <w:p>
      <w:pPr>
        <w:ind w:left="760" w:firstLine="745"/>
        <w:spacing w:after="0" w:line="269" w:lineRule="auto"/>
        <w:tabs>
          <w:tab w:leader="none" w:pos="1869"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accepting this Award, Participant understands and agrees that as a condition of the grant of the RSUs hereunder, Participant is required to, and hereby affirmatively elects to (the “Sell to Cover Election”), (1) sell that number of Shares determined in accordance with this Section 3.2(c) as may be necessary to satisfy all applicable withholding obligations with respect to any taxable event arising in connection with the RSUs and similarly sell such number of Shares as may be necessary to satisfy all applicable withholding obligations with respect to any other awards of restricted stock units granted to Participant under the Plan or any other equity incentive plans of the Company or its predecessor, and</w:t>
      </w:r>
    </w:p>
    <w:p>
      <w:pPr>
        <w:spacing w:after="0" w:line="2" w:lineRule="exact"/>
        <w:rPr>
          <w:rFonts w:ascii="Times New Roman" w:cs="Times New Roman" w:eastAsia="Times New Roman" w:hAnsi="Times New Roman"/>
          <w:sz w:val="17"/>
          <w:szCs w:val="17"/>
          <w:color w:val="auto"/>
        </w:rPr>
      </w:pPr>
    </w:p>
    <w:p>
      <w:pPr>
        <w:ind w:left="760"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to allow the transfer agent (together with any other party the Company determines necessary to execute the Sell to Cover Election, the “Agent”) to remit the cash proceeds of such sale(s) to the Company. Furthermore, Participant directs the Company to make a cash payment equal to the required tax withholding from the cash proceeds of such sale(s) directly to the appropriate taxing authorities.</w:t>
      </w:r>
    </w:p>
    <w:p>
      <w:pPr>
        <w:spacing w:after="0" w:line="185" w:lineRule="exact"/>
        <w:rPr>
          <w:rFonts w:ascii="Times New Roman" w:cs="Times New Roman" w:eastAsia="Times New Roman" w:hAnsi="Times New Roman"/>
          <w:sz w:val="17"/>
          <w:szCs w:val="17"/>
          <w:color w:val="auto"/>
        </w:rPr>
      </w:pPr>
    </w:p>
    <w:p>
      <w:pPr>
        <w:ind w:left="760" w:right="40" w:firstLine="745"/>
        <w:spacing w:after="0" w:line="253" w:lineRule="auto"/>
        <w:tabs>
          <w:tab w:leader="none" w:pos="186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hereby appoints the Agent as Participant’s agent and authorizes the Agent to (1) sell on the open market at the then prevailing market price(s), on the Participant’s behalf, as soon as practicable on or after the date the Shares are issued upon the vesting of the RSUs, that number (rounded up to the next whole number) of the Shares so issued necessary to generate proceeds to cover (x) any tax withholding obligations incurred with respect to such vesting or issuance and (y) all applicable fees and commissions due to, or required to be collected by, the Agent with respect thereto and (2) apply any remaining funds to Participant’s tax withholding obligations hereunder. Participant hereby authorizes the Company and the Agent to cooperate and communicate with one another to determine the number of Shares that must be sold pursuant to this Section 3.2(c)(ii). Participant understands that the Agent may effect sales as provided in this Section 3.2(c)(ii) in one or more sales and that the average price for executions resulting from bunched orders will be assigned to Participant’s account. In addition, Participant acknowledges that it may not be possible to sell Shares as provided by this Section 3.2(c)(ii) due to (1) a legal or contractual restriction applicable to Participant or the Agent, (2) a market disruption, or (3) rules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6" w:name="page157"/>
    <w:bookmarkEnd w:id="156"/>
    <w:p>
      <w:pPr>
        <w:ind w:left="760"/>
        <w:spacing w:after="0" w:line="253" w:lineRule="auto"/>
        <w:rPr>
          <w:sz w:val="20"/>
          <w:szCs w:val="20"/>
          <w:color w:val="auto"/>
        </w:rPr>
      </w:pPr>
      <w:r>
        <w:rPr>
          <w:rFonts w:ascii="Times New Roman" w:cs="Times New Roman" w:eastAsia="Times New Roman" w:hAnsi="Times New Roman"/>
          <w:sz w:val="18"/>
          <w:szCs w:val="18"/>
          <w:color w:val="auto"/>
        </w:rPr>
        <w:t>governing order execution priority on the national exchange where the Shares may be traded. Participant further agrees and acknowledges that in the event the sale of Shares would result in material adverse harm to the Company, as determined by the Company in its sole discretion, the Company may instruct the Agent not to sell Shares as provided by this Section 3.2(c)(ii). In the event of the Agent’s inability to sell Shares, the Participant will continue to be responsible for the timely payment to the Company and/or its affiliates of all federal, state, local and foreign taxes that are required by applicable laws and regulations to be withheld, including but not limited to those amounts specified in this Section 3.2(c)(ii). Participant acknowledges that regardless of any other term or condition of this Section 3.2(c), the Agent will not be liable to Participant for (1) special, indirect, punitive, exemplary, or consequential damages, or incidental losses or damages of any kind, or (2) any failure to perform or for any delay in performance that results from a cause or circumstance that is beyond its reasonable control. Participant hereby agrees to execute and deliver to the Agent any other agreements or documents as the Agent reasonably deems necessary or appropriate to carry out the purposes and intent of this Section 3.2(c). The Agent is a third-party beneficiary of this Section 3.2(c). This Section 3.2(c) shall terminate not later than the date on which all tax withholding obligations arising in connection with the Award have been satisfied.</w:t>
      </w:r>
    </w:p>
    <w:p>
      <w:pPr>
        <w:spacing w:after="0" w:line="188" w:lineRule="exact"/>
        <w:rPr>
          <w:sz w:val="20"/>
          <w:szCs w:val="20"/>
          <w:color w:val="auto"/>
        </w:rPr>
      </w:pPr>
    </w:p>
    <w:p>
      <w:pPr>
        <w:ind w:left="760" w:right="20" w:hanging="3"/>
        <w:spacing w:after="0" w:line="255" w:lineRule="auto"/>
        <w:tabs>
          <w:tab w:leader="none" w:pos="11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 has carefully reviewed this Section 3.2(c) and Participant hereby represents and warrants that on the date hereof he or she is not aware of any material, nonpublic information with respect to the Company or any securities of the Company, is not subject to any legal, regulatory or contractual restriction that would prevent the Agent from conducting sales, does not have, and will not attempt to exercise, authority, influence or control over any sales of Shares effected by the Agent pursuant to the Agreement, and is entering into the Agreement and this election to “sell to cover” in good faith and not as part of a plan or scheme to evade the prohibitions of Rule 10b5-1 (regarding trading of the Company’s securities on the basis of material nonpublic information) under the Exchange Act. It is Participant’s intent that this election to “sell to cover” comply with the requirements of Rule 10b5-1(c)(1)(i)(B) under the Exchange Act and be interpreted to comply with the requirements of Rule 10b5-1(c) under the Exchange Act.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ind w:right="700" w:firstLine="749"/>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the Shares subject to the RSUs and the Dividend Equivalents are subject to adjustment, modification and termination in certain events as provided in this Agreement and the Plan.</w:t>
      </w:r>
    </w:p>
    <w:p>
      <w:pPr>
        <w:spacing w:after="0" w:line="16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6" w:lineRule="exact"/>
        <w:rPr>
          <w:sz w:val="20"/>
          <w:szCs w:val="20"/>
          <w:color w:val="auto"/>
        </w:rPr>
      </w:pPr>
    </w:p>
    <w:p>
      <w:pPr>
        <w:ind w:right="760" w:firstLine="749"/>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will inure to the benefit of the successors and assigns of the Company.</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7" w:name="page158"/>
    <w:bookmarkEnd w:id="157"/>
    <w:p>
      <w:pPr>
        <w:ind w:right="700"/>
        <w:spacing w:after="0" w:line="282" w:lineRule="auto"/>
        <w:rPr>
          <w:sz w:val="20"/>
          <w:szCs w:val="20"/>
          <w:color w:val="auto"/>
        </w:rPr>
      </w:pPr>
      <w:r>
        <w:rPr>
          <w:rFonts w:ascii="Times New Roman" w:cs="Times New Roman" w:eastAsia="Times New Roman" w:hAnsi="Times New Roman"/>
          <w:sz w:val="18"/>
          <w:szCs w:val="18"/>
          <w:color w:val="auto"/>
        </w:rPr>
        <w:t>Subject to the restrictions on transfer set forth in the Plan, this Agreement will be binding upon and inure to the benefit of the heirs, legatees, legal representatives, successors and assigns of the parties hereto.</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3" w:lineRule="exact"/>
        <w:rPr>
          <w:sz w:val="20"/>
          <w:szCs w:val="20"/>
          <w:color w:val="auto"/>
        </w:rPr>
      </w:pPr>
    </w:p>
    <w:p>
      <w:pPr>
        <w:jc w:val="both"/>
        <w:ind w:right="440" w:firstLine="749"/>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2"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8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eres</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jc w:val="center"/>
        <w:spacing w:after="0"/>
        <w:rPr>
          <w:sz w:val="20"/>
          <w:szCs w:val="20"/>
          <w:color w:val="auto"/>
        </w:rPr>
      </w:pPr>
      <w:r>
        <w:rPr>
          <w:rFonts w:ascii="Times New Roman" w:cs="Times New Roman" w:eastAsia="Times New Roman" w:hAnsi="Times New Roman"/>
          <w:sz w:val="20"/>
          <w:szCs w:val="20"/>
          <w:b w:val="1"/>
          <w:bCs w:val="1"/>
          <w:color w:val="auto"/>
        </w:rPr>
        <w:t>2022 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nducement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b w:val="1"/>
          <w:bCs w:val="1"/>
          <w:i w:val="1"/>
          <w:iCs w:val="1"/>
          <w:color w:val="auto"/>
        </w:rPr>
        <w:t>Purpose</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Plan’s purpose is to enhance the Company’s ability to attract, retain and motivate persons who are expected to make important contributions to the Company by providing these individuals with equity ownership opportunities. Capitalized terms used in the Plan are defined in Section 11.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b w:val="1"/>
          <w:bCs w:val="1"/>
          <w:i w:val="1"/>
          <w:iCs w:val="1"/>
          <w:color w:val="auto"/>
        </w:rPr>
        <w:t>Eligibility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Eligible Individuals are eligible to be granted Awards under the Plan, subject to the limitations described herein.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b w:val="1"/>
          <w:bCs w:val="1"/>
          <w:i w:val="1"/>
          <w:iCs w:val="1"/>
          <w:color w:val="auto"/>
        </w:rPr>
        <w:t>Administration and Delegation</w:t>
      </w:r>
    </w:p>
    <w:p>
      <w:pPr>
        <w:spacing w:after="0" w:line="216" w:lineRule="exact"/>
        <w:rPr>
          <w:sz w:val="20"/>
          <w:szCs w:val="20"/>
          <w:color w:val="auto"/>
        </w:rPr>
      </w:pPr>
    </w:p>
    <w:p>
      <w:pPr>
        <w:jc w:val="both"/>
        <w:ind w:left="120" w:firstLine="756"/>
        <w:spacing w:after="0" w:line="242" w:lineRule="auto"/>
        <w:tabs>
          <w:tab w:leader="none" w:pos="161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Plan is administered by the Administrator. The Administrator has authority to determine which Eligible Individuals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 may adopt procedures from time to time that are intended to ensure that an individual is an Eligible Individual prior to the granting of any Awards to such individual (including without limitation a requirement that each such individual certify to the Company prior to the receipt of an Award that he or she is not currently employed by the Company or a Subsidiary and, if previously so employed, has had a bona fide period of interruption of employment, and that the grant of Awards is an inducement material to the Eligible Individual's agreement to enter into employment with the Company or a Subsidiary). The Administrator’s determinations under the Plan are in its sole discretion and will be final and binding on all persons having or claiming any interest in the Plan or any Award.</w:t>
      </w:r>
    </w:p>
    <w:p>
      <w:pPr>
        <w:spacing w:after="0" w:line="187" w:lineRule="exact"/>
        <w:rPr>
          <w:rFonts w:ascii="Times New Roman" w:cs="Times New Roman" w:eastAsia="Times New Roman" w:hAnsi="Times New Roman"/>
          <w:sz w:val="20"/>
          <w:szCs w:val="20"/>
          <w:color w:val="auto"/>
        </w:rPr>
      </w:pPr>
    </w:p>
    <w:p>
      <w:pPr>
        <w:jc w:val="both"/>
        <w:ind w:left="120" w:firstLine="756"/>
        <w:spacing w:after="0" w:line="256" w:lineRule="auto"/>
        <w:tabs>
          <w:tab w:leader="none" w:pos="161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 of Committees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To the extent Applicable Laws permit, the Board may delegate any or all of its powers under the Plan to one or more Committees. The Board may abolish any Committee or re-vest in itself any previously delegated authority at any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b w:val="1"/>
          <w:bCs w:val="1"/>
          <w:i w:val="1"/>
          <w:iCs w:val="1"/>
          <w:color w:val="auto"/>
        </w:rPr>
        <w:t>Stock Available for Awards</w:t>
      </w:r>
    </w:p>
    <w:p>
      <w:pPr>
        <w:spacing w:after="0" w:line="216" w:lineRule="exact"/>
        <w:rPr>
          <w:sz w:val="20"/>
          <w:szCs w:val="20"/>
          <w:color w:val="auto"/>
        </w:rPr>
      </w:pPr>
    </w:p>
    <w:p>
      <w:pPr>
        <w:jc w:val="both"/>
        <w:ind w:left="120" w:firstLine="756"/>
        <w:spacing w:after="0" w:line="256" w:lineRule="auto"/>
        <w:tabs>
          <w:tab w:leader="none" w:pos="161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Subject to adjustment under Section 8 and the terms of this Section 4, Awards may be made under the Plan covering up to the Overall Share Limit. Shares issued under the Plan may consist of authorized but unissued Shares, Shares purchased on the open market or treasury Shares.</w:t>
      </w:r>
    </w:p>
    <w:p>
      <w:pPr>
        <w:spacing w:after="0" w:line="172" w:lineRule="exact"/>
        <w:rPr>
          <w:rFonts w:ascii="Times New Roman" w:cs="Times New Roman" w:eastAsia="Times New Roman" w:hAnsi="Times New Roman"/>
          <w:sz w:val="20"/>
          <w:szCs w:val="20"/>
          <w:color w:val="auto"/>
        </w:rPr>
      </w:pPr>
    </w:p>
    <w:p>
      <w:pPr>
        <w:jc w:val="both"/>
        <w:ind w:left="120" w:firstLine="756"/>
        <w:spacing w:after="0" w:line="259" w:lineRule="auto"/>
        <w:tabs>
          <w:tab w:leader="none" w:pos="1617"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Share Recycling</w:t>
      </w:r>
      <w:r>
        <w:rPr>
          <w:rFonts w:ascii="Times New Roman" w:cs="Times New Roman" w:eastAsia="Times New Roman" w:hAnsi="Times New Roman"/>
          <w:sz w:val="19"/>
          <w:szCs w:val="19"/>
          <w:color w:val="auto"/>
        </w:rPr>
        <w:t>. If all or any part of an Award expires, lapses or is terminated, exchanged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will again be available for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9" w:name="page160"/>
    <w:bookmarkEnd w:id="159"/>
    <w:p>
      <w:pPr>
        <w:ind w:left="120"/>
        <w:spacing w:after="0" w:line="268" w:lineRule="auto"/>
        <w:rPr>
          <w:sz w:val="20"/>
          <w:szCs w:val="20"/>
          <w:color w:val="auto"/>
        </w:rPr>
      </w:pPr>
      <w:r>
        <w:rPr>
          <w:rFonts w:ascii="Times New Roman" w:cs="Times New Roman" w:eastAsia="Times New Roman" w:hAnsi="Times New Roman"/>
          <w:sz w:val="20"/>
          <w:szCs w:val="20"/>
          <w:color w:val="auto"/>
        </w:rPr>
        <w:t>under the Plan. The payment of Dividend Equivalents in cash in conjunction with any outstanding Awards shall not count against the Overall Share Limit.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b w:val="1"/>
          <w:bCs w:val="1"/>
          <w:i w:val="1"/>
          <w:iCs w:val="1"/>
          <w:color w:val="auto"/>
        </w:rPr>
        <w:t>Stock Options and Stock Appreciation Rights</w:t>
      </w:r>
    </w:p>
    <w:p>
      <w:pPr>
        <w:spacing w:after="0" w:line="216" w:lineRule="exact"/>
        <w:rPr>
          <w:sz w:val="20"/>
          <w:szCs w:val="20"/>
          <w:color w:val="auto"/>
        </w:rPr>
      </w:pPr>
    </w:p>
    <w:p>
      <w:pPr>
        <w:jc w:val="both"/>
        <w:ind w:left="120" w:firstLine="756"/>
        <w:spacing w:after="0" w:line="243" w:lineRule="auto"/>
        <w:tabs>
          <w:tab w:leader="none" w:pos="161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grant Non-Qualified Options or Stock Appreciation Rights to Eligible Individuals subject to the conditions and limitations in the Plan.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5" w:lineRule="exact"/>
        <w:rPr>
          <w:rFonts w:ascii="Times New Roman" w:cs="Times New Roman" w:eastAsia="Times New Roman" w:hAnsi="Times New Roman"/>
          <w:sz w:val="20"/>
          <w:szCs w:val="20"/>
          <w:color w:val="auto"/>
        </w:rPr>
      </w:pPr>
    </w:p>
    <w:p>
      <w:pPr>
        <w:jc w:val="both"/>
        <w:ind w:left="120" w:firstLine="756"/>
        <w:spacing w:after="0" w:line="256" w:lineRule="auto"/>
        <w:tabs>
          <w:tab w:leader="none" w:pos="161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68" w:lineRule="exact"/>
        <w:rPr>
          <w:rFonts w:ascii="Times New Roman" w:cs="Times New Roman" w:eastAsia="Times New Roman" w:hAnsi="Times New Roman"/>
          <w:sz w:val="20"/>
          <w:szCs w:val="20"/>
          <w:color w:val="auto"/>
        </w:rPr>
      </w:pPr>
    </w:p>
    <w:p>
      <w:pPr>
        <w:ind w:left="120" w:firstLine="756"/>
        <w:spacing w:after="0" w:line="273" w:lineRule="auto"/>
        <w:tabs>
          <w:tab w:leader="none" w:pos="161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of Options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Option or Stock Appreciation Right will be exercisable at such times and as specified in the Award Agreement, provided that the term of an Option or Stock Appreciation Right will not exceed ten years.</w:t>
      </w:r>
    </w:p>
    <w:p>
      <w:pPr>
        <w:spacing w:after="0" w:line="151" w:lineRule="exact"/>
        <w:rPr>
          <w:rFonts w:ascii="Times New Roman" w:cs="Times New Roman" w:eastAsia="Times New Roman" w:hAnsi="Times New Roman"/>
          <w:sz w:val="20"/>
          <w:szCs w:val="20"/>
          <w:color w:val="auto"/>
        </w:rPr>
      </w:pPr>
    </w:p>
    <w:p>
      <w:pPr>
        <w:jc w:val="both"/>
        <w:ind w:left="120" w:firstLine="756"/>
        <w:spacing w:after="0" w:line="247" w:lineRule="auto"/>
        <w:tabs>
          <w:tab w:leader="none" w:pos="161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5(e) for the number of Shares for which the Award is exercised and (ii) as specified in Section 9(e) for any applicable taxes. Unless the Administrator otherwise determines, an Option or Stock Appreciation Right may not be exercised for a fraction of a Share.</w:t>
      </w:r>
    </w:p>
    <w:p>
      <w:pPr>
        <w:spacing w:after="0" w:line="180" w:lineRule="exact"/>
        <w:rPr>
          <w:rFonts w:ascii="Times New Roman" w:cs="Times New Roman" w:eastAsia="Times New Roman" w:hAnsi="Times New Roman"/>
          <w:sz w:val="20"/>
          <w:szCs w:val="20"/>
          <w:color w:val="auto"/>
        </w:rPr>
      </w:pPr>
    </w:p>
    <w:p>
      <w:pPr>
        <w:jc w:val="both"/>
        <w:ind w:left="120" w:right="20" w:firstLine="756"/>
        <w:spacing w:after="0" w:line="256" w:lineRule="auto"/>
        <w:tabs>
          <w:tab w:leader="none" w:pos="161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exercise price of an Option must be paid in cash, wire transfer of immediately available funds or by check payable to the order of the Company or, subject to Section 10(i), any Company insider trading policy (including blackout periods) and Applicable Laws, by:</w:t>
      </w:r>
    </w:p>
    <w:p>
      <w:pPr>
        <w:spacing w:after="0" w:line="172"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257"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of exercise, unless the Administrator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84" w:lineRule="exact"/>
        <w:rPr>
          <w:rFonts w:ascii="Times New Roman" w:cs="Times New Roman" w:eastAsia="Times New Roman" w:hAnsi="Times New Roman"/>
          <w:sz w:val="20"/>
          <w:szCs w:val="20"/>
          <w:color w:val="auto"/>
        </w:rPr>
      </w:pPr>
    </w:p>
    <w:p>
      <w:pPr>
        <w:ind w:left="760" w:firstLine="745"/>
        <w:spacing w:after="0" w:line="269" w:lineRule="auto"/>
        <w:tabs>
          <w:tab w:leader="none" w:pos="2257"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attestation) of Shares owned by the Participant valued at their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ind w:left="760" w:firstLine="745"/>
        <w:spacing w:after="0" w:line="268" w:lineRule="auto"/>
        <w:tabs>
          <w:tab w:leader="none" w:pos="2257"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then issuable upon the Option’s exercise valued at their Fair Market Value on the exercise date;</w:t>
      </w:r>
    </w:p>
    <w:p>
      <w:pPr>
        <w:spacing w:after="0" w:line="160" w:lineRule="exact"/>
        <w:rPr>
          <w:rFonts w:ascii="Times New Roman" w:cs="Times New Roman" w:eastAsia="Times New Roman" w:hAnsi="Times New Roman"/>
          <w:sz w:val="20"/>
          <w:szCs w:val="20"/>
          <w:color w:val="auto"/>
        </w:rPr>
      </w:pPr>
    </w:p>
    <w:p>
      <w:pPr>
        <w:ind w:left="760" w:firstLine="745"/>
        <w:spacing w:after="0" w:line="269" w:lineRule="auto"/>
        <w:tabs>
          <w:tab w:leader="none" w:pos="2257"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 promissory note or any other property that the Administrator determines is good and valuable consideration; or</w:t>
      </w:r>
    </w:p>
    <w:p>
      <w:pPr>
        <w:spacing w:after="0" w:line="15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above permitted payment forms (including cash, wire transfer or check).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b w:val="1"/>
          <w:bCs w:val="1"/>
          <w:i w:val="1"/>
          <w:iCs w:val="1"/>
          <w:color w:val="auto"/>
        </w:rPr>
        <w:t>Restricted Stock; Restricted Stock Units</w:t>
      </w:r>
    </w:p>
    <w:p>
      <w:pPr>
        <w:spacing w:after="0" w:line="216" w:lineRule="exact"/>
        <w:rPr>
          <w:sz w:val="20"/>
          <w:szCs w:val="20"/>
          <w:color w:val="auto"/>
        </w:rPr>
      </w:pPr>
    </w:p>
    <w:p>
      <w:pPr>
        <w:jc w:val="both"/>
        <w:ind w:left="120" w:firstLine="756"/>
        <w:spacing w:after="0" w:line="244" w:lineRule="auto"/>
        <w:tabs>
          <w:tab w:leader="none" w:pos="1617"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grant Restricted Stock, or the right to purchase Restricted Stock, to any Eligible Individual,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and subject to the conditions and limitations in the Plan. In addition, subject to the conditions and limitations in the Plan, the Administrator may grant to Eligible Individuals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81" w:lineRule="exact"/>
        <w:rPr>
          <w:rFonts w:ascii="Times New Roman" w:cs="Times New Roman" w:eastAsia="Times New Roman" w:hAnsi="Times New Roman"/>
          <w:sz w:val="20"/>
          <w:szCs w:val="20"/>
          <w:color w:val="auto"/>
        </w:rPr>
      </w:pPr>
    </w:p>
    <w:p>
      <w:pPr>
        <w:ind w:left="1620" w:hanging="744"/>
        <w:spacing w:after="0"/>
        <w:tabs>
          <w:tab w:leader="none" w:pos="162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2257"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 Participants holding shares of Restricted Stock will be entitled to all ordinary cash dividends paid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80" w:lineRule="exact"/>
        <w:rPr>
          <w:rFonts w:ascii="Times New Roman" w:cs="Times New Roman" w:eastAsia="Times New Roman" w:hAnsi="Times New Roman"/>
          <w:sz w:val="20"/>
          <w:szCs w:val="20"/>
          <w:color w:val="auto"/>
        </w:rPr>
      </w:pPr>
    </w:p>
    <w:p>
      <w:pPr>
        <w:ind w:left="760" w:firstLine="745"/>
        <w:spacing w:after="0" w:line="273" w:lineRule="auto"/>
        <w:tabs>
          <w:tab w:leader="none" w:pos="2257"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 Certificates. </w:t>
      </w:r>
      <w:r>
        <w:rPr>
          <w:rFonts w:ascii="Times New Roman" w:cs="Times New Roman" w:eastAsia="Times New Roman" w:hAnsi="Times New Roman"/>
          <w:sz w:val="20"/>
          <w:szCs w:val="20"/>
          <w:color w:val="auto"/>
        </w:rPr>
        <w:t>The Company may require that the Participant deposit in escrow with the Company (or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designee) any stock certificates issued in respect of shares of Restricted Stock, together with a stock power endorsed in blank.</w:t>
      </w:r>
    </w:p>
    <w:p>
      <w:pPr>
        <w:spacing w:after="0" w:line="151" w:lineRule="exact"/>
        <w:rPr>
          <w:rFonts w:ascii="Times New Roman" w:cs="Times New Roman" w:eastAsia="Times New Roman" w:hAnsi="Times New Roman"/>
          <w:sz w:val="20"/>
          <w:szCs w:val="20"/>
          <w:color w:val="auto"/>
        </w:rPr>
      </w:pPr>
    </w:p>
    <w:p>
      <w:pPr>
        <w:ind w:left="1620" w:hanging="744"/>
        <w:spacing w:after="0"/>
        <w:tabs>
          <w:tab w:leader="none" w:pos="162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6" w:lineRule="auto"/>
        <w:tabs>
          <w:tab w:leader="none" w:pos="2257"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Settlement. </w:t>
      </w:r>
      <w:r>
        <w:rPr>
          <w:rFonts w:ascii="Times New Roman" w:cs="Times New Roman" w:eastAsia="Times New Roman" w:hAnsi="Times New Roman"/>
          <w:sz w:val="20"/>
          <w:szCs w:val="20"/>
          <w:color w:val="auto"/>
        </w:rPr>
        <w:t>The Administrator may provide that settlement of Restricted Stock Units will occur upon or as soon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reasonably practicable after the Restricted Stock Units vest or will instead be deferred, on a mandatory basis or at the Participant’s election, in a manner intended to comply with Section 409A.</w:t>
      </w:r>
    </w:p>
    <w:p>
      <w:pPr>
        <w:spacing w:after="0" w:line="168" w:lineRule="exact"/>
        <w:rPr>
          <w:rFonts w:ascii="Times New Roman" w:cs="Times New Roman" w:eastAsia="Times New Roman" w:hAnsi="Times New Roman"/>
          <w:sz w:val="20"/>
          <w:szCs w:val="20"/>
          <w:color w:val="auto"/>
        </w:rPr>
      </w:pPr>
    </w:p>
    <w:p>
      <w:pPr>
        <w:ind w:left="760" w:firstLine="745"/>
        <w:spacing w:after="0" w:line="273" w:lineRule="auto"/>
        <w:tabs>
          <w:tab w:leader="none" w:pos="2257"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Stockholder Rights. </w:t>
      </w:r>
      <w:r>
        <w:rPr>
          <w:rFonts w:ascii="Times New Roman" w:cs="Times New Roman" w:eastAsia="Times New Roman" w:hAnsi="Times New Roman"/>
          <w:sz w:val="20"/>
          <w:szCs w:val="20"/>
          <w:color w:val="auto"/>
        </w:rPr>
        <w:t>A Participant will have no rights of a stockholder with respect to Shares subject to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Restricted Stock Unit unless and until the Shares are delivered in settlement of the Restricted Stock Unit.</w:t>
      </w:r>
    </w:p>
    <w:p>
      <w:pPr>
        <w:spacing w:after="0" w:line="151" w:lineRule="exact"/>
        <w:rPr>
          <w:rFonts w:ascii="Times New Roman" w:cs="Times New Roman" w:eastAsia="Times New Roman" w:hAnsi="Times New Roman"/>
          <w:sz w:val="20"/>
          <w:szCs w:val="20"/>
          <w:color w:val="auto"/>
        </w:rPr>
      </w:pPr>
    </w:p>
    <w:p>
      <w:pPr>
        <w:jc w:val="both"/>
        <w:ind w:left="760" w:firstLine="745"/>
        <w:spacing w:after="0" w:line="256" w:lineRule="auto"/>
        <w:tabs>
          <w:tab w:leader="none" w:pos="2257"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Dividend Equivalents. </w:t>
      </w:r>
      <w:r>
        <w:rPr>
          <w:rFonts w:ascii="Times New Roman" w:cs="Times New Roman" w:eastAsia="Times New Roman" w:hAnsi="Times New Roman"/>
          <w:sz w:val="20"/>
          <w:szCs w:val="20"/>
          <w:color w:val="auto"/>
        </w:rPr>
        <w:t>If the Administrator provides, a grant of Restricted Stock Units may provide a Participant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the right to receive Dividend Equivalents. Dividend Equivalents may be paid currently or credited to an account for the Participant, settled in cash or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ind w:left="760" w:right="20"/>
        <w:spacing w:after="0" w:line="268" w:lineRule="auto"/>
        <w:rPr>
          <w:sz w:val="20"/>
          <w:szCs w:val="20"/>
          <w:color w:val="auto"/>
        </w:rPr>
      </w:pPr>
      <w:r>
        <w:rPr>
          <w:rFonts w:ascii="Times New Roman" w:cs="Times New Roman" w:eastAsia="Times New Roman" w:hAnsi="Times New Roman"/>
          <w:sz w:val="20"/>
          <w:szCs w:val="20"/>
          <w:color w:val="auto"/>
        </w:rPr>
        <w:t>subject to the same restrictions on transferability and forfeitability as the Restricted Stock Units with respect to which the Dividend Equivalents are granted and subject to other terms and conditions as set forth in the Award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b w:val="1"/>
          <w:bCs w:val="1"/>
          <w:i w:val="1"/>
          <w:iCs w:val="1"/>
          <w:color w:val="auto"/>
        </w:rPr>
        <w:t>Other Stock or Cash Based Awards</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r>
        <w:rPr>
          <w:rFonts w:ascii="Times New Roman" w:cs="Times New Roman" w:eastAsia="Times New Roman" w:hAnsi="Times New Roman"/>
          <w:sz w:val="20"/>
          <w:szCs w:val="20"/>
          <w:b w:val="1"/>
          <w:bCs w:val="1"/>
          <w:i w:val="1"/>
          <w:iCs w:val="1"/>
          <w:color w:val="auto"/>
        </w:rPr>
        <w:t>Adjustments for Changes in Common Stock and Certain Other Events</w:t>
      </w:r>
    </w:p>
    <w:p>
      <w:pPr>
        <w:spacing w:after="0" w:line="216" w:lineRule="exact"/>
        <w:rPr>
          <w:sz w:val="20"/>
          <w:szCs w:val="20"/>
          <w:color w:val="auto"/>
        </w:rPr>
      </w:pPr>
    </w:p>
    <w:p>
      <w:pPr>
        <w:jc w:val="both"/>
        <w:ind w:left="120" w:firstLine="756"/>
        <w:spacing w:after="0" w:line="246" w:lineRule="auto"/>
        <w:tabs>
          <w:tab w:leader="none" w:pos="1617"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connection with any Equity Restructuring, notwithstanding anything to the contrary in this Section 8,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(subject to Section 10(d)), and making a cash payment to Participants. The adjustments provided under this Section 8(a) will be nondiscretionary and final and binding on the affected Participant and the Company; provided that the Administrator will determine whether an adjustment is equitable.</w:t>
      </w:r>
    </w:p>
    <w:p>
      <w:pPr>
        <w:spacing w:after="0" w:line="178" w:lineRule="exact"/>
        <w:rPr>
          <w:rFonts w:ascii="Times New Roman" w:cs="Times New Roman" w:eastAsia="Times New Roman" w:hAnsi="Times New Roman"/>
          <w:sz w:val="20"/>
          <w:szCs w:val="20"/>
          <w:color w:val="auto"/>
        </w:rPr>
      </w:pPr>
    </w:p>
    <w:p>
      <w:pPr>
        <w:jc w:val="both"/>
        <w:ind w:left="120" w:firstLine="756"/>
        <w:spacing w:after="0" w:line="256" w:lineRule="auto"/>
        <w:tabs>
          <w:tab w:leader="none" w:pos="1617"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Corporate Transactions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In the event of any dividend or other distribution (whether in the form of cash, Common Stock, other securities, or other property), reorganization, merger, consolidation, combination,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77" w:lineRule="exact"/>
        <w:rPr>
          <w:rFonts w:ascii="Times New Roman" w:cs="Times New Roman" w:eastAsia="Times New Roman" w:hAnsi="Times New Roman"/>
          <w:sz w:val="19"/>
          <w:szCs w:val="19"/>
          <w:color w:val="auto"/>
        </w:rPr>
      </w:pPr>
    </w:p>
    <w:p>
      <w:pPr>
        <w:jc w:val="both"/>
        <w:ind w:left="760" w:firstLine="745"/>
        <w:spacing w:after="0" w:line="249" w:lineRule="auto"/>
        <w:tabs>
          <w:tab w:leader="none" w:pos="2257"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color w:val="auto"/>
        </w:rPr>
        <w:t>Participant’s rights, in any case, is equal to or less than zero, then the Award may be terminated without payment;</w:t>
      </w:r>
    </w:p>
    <w:p>
      <w:pPr>
        <w:spacing w:after="0" w:line="215" w:lineRule="exact"/>
        <w:rPr>
          <w:sz w:val="20"/>
          <w:szCs w:val="20"/>
          <w:color w:val="auto"/>
        </w:rPr>
      </w:pPr>
    </w:p>
    <w:p>
      <w:pPr>
        <w:ind w:right="20" w:firstLine="745"/>
        <w:spacing w:after="0" w:line="269" w:lineRule="auto"/>
        <w:tabs>
          <w:tab w:leader="none" w:pos="149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59" w:lineRule="exact"/>
        <w:rPr>
          <w:rFonts w:ascii="Times New Roman" w:cs="Times New Roman" w:eastAsia="Times New Roman" w:hAnsi="Times New Roman"/>
          <w:sz w:val="20"/>
          <w:szCs w:val="20"/>
          <w:color w:val="auto"/>
        </w:rPr>
      </w:pPr>
    </w:p>
    <w:p>
      <w:pPr>
        <w:jc w:val="both"/>
        <w:ind w:firstLine="745"/>
        <w:spacing w:after="0" w:line="249" w:lineRule="auto"/>
        <w:tabs>
          <w:tab w:leader="none" w:pos="149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79" w:lineRule="exact"/>
        <w:rPr>
          <w:rFonts w:ascii="Times New Roman" w:cs="Times New Roman" w:eastAsia="Times New Roman" w:hAnsi="Times New Roman"/>
          <w:sz w:val="20"/>
          <w:szCs w:val="20"/>
          <w:color w:val="auto"/>
        </w:rPr>
      </w:pPr>
    </w:p>
    <w:p>
      <w:pPr>
        <w:jc w:val="both"/>
        <w:ind w:firstLine="745"/>
        <w:spacing w:after="0" w:line="249" w:lineRule="auto"/>
        <w:tabs>
          <w:tab w:leader="none" w:pos="149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Section 4 hereof on the maximum number and kind of shares which may be issued) and/or in the terms and conditions of (including the grant or exercise price), and the criteria included in, outstanding Awards;</w:t>
      </w:r>
    </w:p>
    <w:p>
      <w:pPr>
        <w:spacing w:after="0" w:line="179" w:lineRule="exact"/>
        <w:rPr>
          <w:rFonts w:ascii="Times New Roman" w:cs="Times New Roman" w:eastAsia="Times New Roman" w:hAnsi="Times New Roman"/>
          <w:sz w:val="20"/>
          <w:szCs w:val="20"/>
          <w:color w:val="auto"/>
        </w:rPr>
      </w:pPr>
    </w:p>
    <w:p>
      <w:pPr>
        <w:ind w:left="1500" w:hanging="755"/>
        <w:spacing w:after="0"/>
        <w:tabs>
          <w:tab w:leader="none" w:pos="150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replace such Award with other rights or property selected by the Administrator; and/or</w:t>
      </w:r>
    </w:p>
    <w:p>
      <w:pPr>
        <w:spacing w:after="0" w:line="215" w:lineRule="exact"/>
        <w:rPr>
          <w:rFonts w:ascii="Times New Roman" w:cs="Times New Roman" w:eastAsia="Times New Roman" w:hAnsi="Times New Roman"/>
          <w:sz w:val="20"/>
          <w:szCs w:val="20"/>
          <w:color w:val="auto"/>
        </w:rPr>
      </w:pPr>
    </w:p>
    <w:p>
      <w:pPr>
        <w:ind w:left="1500" w:hanging="755"/>
        <w:spacing w:after="0"/>
        <w:tabs>
          <w:tab w:leader="none" w:pos="150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Award will terminate and cannot vest, be exercised or become payable after the applicable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w:t>
      </w:r>
    </w:p>
    <w:p>
      <w:pPr>
        <w:spacing w:after="0" w:line="189" w:lineRule="exact"/>
        <w:rPr>
          <w:rFonts w:ascii="Times New Roman" w:cs="Times New Roman" w:eastAsia="Times New Roman" w:hAnsi="Times New Roman"/>
          <w:sz w:val="20"/>
          <w:szCs w:val="20"/>
          <w:color w:val="auto"/>
        </w:rPr>
      </w:pPr>
    </w:p>
    <w:p>
      <w:pPr>
        <w:jc w:val="both"/>
        <w:ind w:left="-640" w:firstLine="756"/>
        <w:spacing w:after="0" w:line="247" w:lineRule="auto"/>
        <w:tabs>
          <w:tab w:leader="none" w:pos="85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Stand Still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80" w:lineRule="exact"/>
        <w:rPr>
          <w:rFonts w:ascii="Times New Roman" w:cs="Times New Roman" w:eastAsia="Times New Roman" w:hAnsi="Times New Roman"/>
          <w:sz w:val="20"/>
          <w:szCs w:val="20"/>
          <w:color w:val="auto"/>
        </w:rPr>
      </w:pPr>
    </w:p>
    <w:p>
      <w:pPr>
        <w:jc w:val="both"/>
        <w:ind w:left="-640" w:firstLine="756"/>
        <w:spacing w:after="0" w:line="242" w:lineRule="auto"/>
        <w:tabs>
          <w:tab w:leader="none" w:pos="85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8(a)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Section 8.</w:t>
      </w:r>
    </w:p>
    <w:p>
      <w:pPr>
        <w:spacing w:after="0" w:line="193" w:lineRule="exact"/>
        <w:rPr>
          <w:rFonts w:ascii="Times New Roman" w:cs="Times New Roman" w:eastAsia="Times New Roman" w:hAnsi="Times New Roman"/>
          <w:sz w:val="20"/>
          <w:szCs w:val="20"/>
          <w:color w:val="auto"/>
        </w:rPr>
      </w:pPr>
    </w:p>
    <w:p>
      <w:pPr>
        <w:jc w:val="both"/>
        <w:ind w:left="-640" w:firstLine="756"/>
        <w:spacing w:after="0" w:line="249" w:lineRule="auto"/>
        <w:tabs>
          <w:tab w:leader="none" w:pos="85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Section 8(b) above, if a Change in Control occurs and Awards are not continued, converted, assumed, or replaced with a comparable award (as determined by the Administrator) by (i) the Company or (ii) a successor entity or its parent or subsidiary (an “</w:t>
      </w:r>
      <w:r>
        <w:rPr>
          <w:rFonts w:ascii="Times New Roman" w:cs="Times New Roman" w:eastAsia="Times New Roman" w:hAnsi="Times New Roman"/>
          <w:sz w:val="20"/>
          <w:szCs w:val="20"/>
          <w:b w:val="1"/>
          <w:bCs w:val="1"/>
          <w:i w:val="1"/>
          <w:iCs w:val="1"/>
          <w:color w:val="auto"/>
        </w:rPr>
        <w:t>Assumption</w:t>
      </w:r>
      <w:r>
        <w:rPr>
          <w:rFonts w:ascii="Times New Roman" w:cs="Times New Roman" w:eastAsia="Times New Roman" w:hAnsi="Times New Roman"/>
          <w:sz w:val="20"/>
          <w:szCs w:val="20"/>
          <w:color w:val="auto"/>
        </w:rPr>
        <w:t>”), and provided that the Participant has not had a Termination of Service, then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338455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8" w:right="339" w:bottom="1440" w:gutter="0" w:footer="0" w:header="0"/>
        </w:sectPr>
      </w:pPr>
    </w:p>
    <w:bookmarkStart w:id="163" w:name="page164"/>
    <w:bookmarkEnd w:id="163"/>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prior to the Change in Control, such Awards (other than any Award that is regularly scheduled to vest based on the attainment of Performance Criteria or other performance-based vesting conditions) will become fully vested, exercisable and/or payable, as applicable, and all forfeiture, repurchase and other restrictions on such Awards will lapse, in which case, such Awards will be canceled upon the consummation of the Change in Control in exchange for the right to receive the Change in Control consideration payable to other holders of Shares, which may be on such terms and conditions as apply generally to holders of Shares under the Change in Control documents (including, without limitation, any escrow, earn-out or other deferred consideration provisions) or such other terms and conditions as the Administrator may provide, and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An Award will be considered replaced with a comparable award if the Award is exchanged for an amount of cash or other property with a value equal to the amount that could 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b w:val="1"/>
          <w:bCs w:val="1"/>
          <w:i w:val="1"/>
          <w:iCs w:val="1"/>
          <w:color w:val="auto"/>
        </w:rPr>
        <w:t>General Provisions Applicable to Awards.</w:t>
      </w:r>
    </w:p>
    <w:p>
      <w:pPr>
        <w:spacing w:after="0" w:line="216" w:lineRule="exact"/>
        <w:rPr>
          <w:sz w:val="20"/>
          <w:szCs w:val="20"/>
          <w:color w:val="auto"/>
        </w:rPr>
      </w:pPr>
    </w:p>
    <w:p>
      <w:pPr>
        <w:jc w:val="both"/>
        <w:ind w:left="120" w:firstLine="756"/>
        <w:spacing w:after="0" w:line="247" w:lineRule="auto"/>
        <w:tabs>
          <w:tab w:leader="none" w:pos="161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the Administrator may determine or provide in an Award Agreement or otherwise,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80" w:lineRule="exact"/>
        <w:rPr>
          <w:rFonts w:ascii="Times New Roman" w:cs="Times New Roman" w:eastAsia="Times New Roman" w:hAnsi="Times New Roman"/>
          <w:sz w:val="20"/>
          <w:szCs w:val="20"/>
          <w:color w:val="auto"/>
        </w:rPr>
      </w:pPr>
    </w:p>
    <w:p>
      <w:pPr>
        <w:ind w:left="120" w:firstLine="756"/>
        <w:spacing w:after="0" w:line="273" w:lineRule="auto"/>
        <w:tabs>
          <w:tab w:leader="none" w:pos="161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Award will be evidenced in an Award Agreement, which may be written or electronic, as the Administrator determines. Each Award may contain terms and conditions in addition to those set forth in the Plan.</w:t>
      </w:r>
    </w:p>
    <w:p>
      <w:pPr>
        <w:spacing w:after="0" w:line="151" w:lineRule="exact"/>
        <w:rPr>
          <w:rFonts w:ascii="Times New Roman" w:cs="Times New Roman" w:eastAsia="Times New Roman" w:hAnsi="Times New Roman"/>
          <w:sz w:val="20"/>
          <w:szCs w:val="20"/>
          <w:color w:val="auto"/>
        </w:rPr>
      </w:pPr>
    </w:p>
    <w:p>
      <w:pPr>
        <w:jc w:val="both"/>
        <w:ind w:left="120" w:firstLine="756"/>
        <w:spacing w:after="0" w:line="256" w:lineRule="auto"/>
        <w:tabs>
          <w:tab w:leader="none" w:pos="161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68" w:lineRule="exact"/>
        <w:rPr>
          <w:rFonts w:ascii="Times New Roman" w:cs="Times New Roman" w:eastAsia="Times New Roman" w:hAnsi="Times New Roman"/>
          <w:sz w:val="20"/>
          <w:szCs w:val="20"/>
          <w:color w:val="auto"/>
        </w:rPr>
      </w:pPr>
    </w:p>
    <w:p>
      <w:pPr>
        <w:jc w:val="both"/>
        <w:ind w:left="120" w:firstLine="756"/>
        <w:spacing w:after="0" w:line="250" w:lineRule="auto"/>
        <w:tabs>
          <w:tab w:leader="none" w:pos="161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75" w:lineRule="exact"/>
        <w:rPr>
          <w:rFonts w:ascii="Times New Roman" w:cs="Times New Roman" w:eastAsia="Times New Roman" w:hAnsi="Times New Roman"/>
          <w:sz w:val="20"/>
          <w:szCs w:val="20"/>
          <w:color w:val="auto"/>
        </w:rPr>
      </w:pPr>
    </w:p>
    <w:p>
      <w:pPr>
        <w:jc w:val="both"/>
        <w:ind w:left="120" w:firstLine="756"/>
        <w:spacing w:after="0" w:line="256" w:lineRule="auto"/>
        <w:tabs>
          <w:tab w:leader="none" w:pos="161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Participant must pay the Company, or make provision satisfactory to the Administrator for payment of, any taxes required by law to be withheld in connection with such Participant’s Awards by the date of the event creating the tax liability. The Company may deduct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jc w:val="both"/>
        <w:spacing w:after="0" w:line="254" w:lineRule="auto"/>
        <w:rPr>
          <w:sz w:val="20"/>
          <w:szCs w:val="20"/>
          <w:color w:val="auto"/>
        </w:rPr>
      </w:pPr>
      <w:r>
        <w:rPr>
          <w:rFonts w:ascii="Times New Roman" w:cs="Times New Roman" w:eastAsia="Times New Roman" w:hAnsi="Times New Roman"/>
          <w:sz w:val="19"/>
          <w:szCs w:val="19"/>
          <w:color w:val="auto"/>
        </w:rPr>
        <w:t>amount sufficient to satisfy such tax obligations based on the minimum statutory withholding rates from any payment of any kind otherwise due to a Participant. Participants may satisfy such tax obligations in cash, by wire transfer of immediately available funds, by check made payable to the order of the Company, or subject to Section 10(i) and any Company insider trading policy (including blackout periods), (i) to the extent permitted by the Administrator, in whole or in part by delivery of Shares, including Shares retained from the Award creating the tax obligation, valued at their Fair Market Value, (ii) if there is a public market for Shares at the time the tax obligations are satisfied, unless the Administrator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(iii) any combination of the foregoing permitted payment forms (including cash, wire transfer or check). If any tax withholding obligation will be satisfied under clause (i)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4" w:lineRule="exact"/>
        <w:rPr>
          <w:sz w:val="20"/>
          <w:szCs w:val="20"/>
          <w:color w:val="auto"/>
        </w:rPr>
      </w:pPr>
    </w:p>
    <w:p>
      <w:pPr>
        <w:jc w:val="both"/>
        <w:ind w:firstLine="756"/>
        <w:spacing w:after="0" w:line="244" w:lineRule="auto"/>
        <w:tabs>
          <w:tab w:leader="none" w:pos="149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Award; Repricing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amend, modify or terminate any outstanding Award, including by substituting another Award of the same or a different type or changing the exercise or settlement date. The Participant’s consent to such action will be required unless (i) the action, taking into account any related action, does not materially and adversely affect the Participant’s rights under the Award, or (ii) the change is permitted under Section 8 or pursuant to Section 10(g).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81" w:lineRule="exact"/>
        <w:rPr>
          <w:rFonts w:ascii="Times New Roman" w:cs="Times New Roman" w:eastAsia="Times New Roman" w:hAnsi="Times New Roman"/>
          <w:sz w:val="20"/>
          <w:szCs w:val="20"/>
          <w:color w:val="auto"/>
        </w:rPr>
      </w:pPr>
    </w:p>
    <w:p>
      <w:pPr>
        <w:jc w:val="both"/>
        <w:ind w:firstLine="756"/>
        <w:spacing w:after="0" w:line="244" w:lineRule="auto"/>
        <w:tabs>
          <w:tab w:leader="none" w:pos="149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on Delivery of Stock</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1" w:lineRule="exact"/>
        <w:rPr>
          <w:rFonts w:ascii="Times New Roman" w:cs="Times New Roman" w:eastAsia="Times New Roman" w:hAnsi="Times New Roman"/>
          <w:sz w:val="20"/>
          <w:szCs w:val="20"/>
          <w:color w:val="auto"/>
        </w:rPr>
      </w:pPr>
    </w:p>
    <w:p>
      <w:pPr>
        <w:ind w:firstLine="756"/>
        <w:spacing w:after="0" w:line="273" w:lineRule="auto"/>
        <w:tabs>
          <w:tab w:leader="none" w:pos="149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at any time provide that any Award will become immediately vested and fully or partially exercisable, free of some or all restrictions or conditions, or otherwise fully or partially realizable.</w:t>
      </w:r>
    </w:p>
    <w:p>
      <w:pPr>
        <w:spacing w:after="0" w:line="151" w:lineRule="exact"/>
        <w:rPr>
          <w:rFonts w:ascii="Times New Roman" w:cs="Times New Roman" w:eastAsia="Times New Roman" w:hAnsi="Times New Roman"/>
          <w:sz w:val="20"/>
          <w:szCs w:val="20"/>
          <w:color w:val="auto"/>
        </w:rPr>
      </w:pPr>
    </w:p>
    <w:p>
      <w:pPr>
        <w:ind w:right="20" w:firstLine="756"/>
        <w:spacing w:after="0" w:line="273" w:lineRule="auto"/>
        <w:tabs>
          <w:tab w:leader="none" w:pos="149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 Required Upon Grant of Award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Promptly following the grant of an Award, the Company shall, in accordance with NASDAQ Rule 5635(c), (a) issue a press release disclosing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323850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8" w:right="339" w:bottom="1440" w:gutter="0" w:footer="0" w:header="0"/>
        </w:sectPr>
      </w:pPr>
    </w:p>
    <w:bookmarkStart w:id="165" w:name="page166"/>
    <w:bookmarkEnd w:id="165"/>
    <w:p>
      <w:pPr>
        <w:ind w:left="120" w:right="20"/>
        <w:spacing w:after="0" w:line="268" w:lineRule="auto"/>
        <w:rPr>
          <w:sz w:val="20"/>
          <w:szCs w:val="20"/>
          <w:color w:val="auto"/>
        </w:rPr>
      </w:pPr>
      <w:r>
        <w:rPr>
          <w:rFonts w:ascii="Times New Roman" w:cs="Times New Roman" w:eastAsia="Times New Roman" w:hAnsi="Times New Roman"/>
          <w:sz w:val="20"/>
          <w:szCs w:val="20"/>
          <w:color w:val="auto"/>
        </w:rPr>
        <w:t>material terms of the Award, including the recipient(s) of the Award and the number of Shares involved and(b) provide written notice to the NASDAQ of the grant.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b w:val="1"/>
          <w:bCs w:val="1"/>
          <w:i w:val="1"/>
          <w:iCs w:val="1"/>
          <w:color w:val="auto"/>
        </w:rPr>
        <w:t>Miscellaneous.</w:t>
      </w:r>
    </w:p>
    <w:p>
      <w:pPr>
        <w:spacing w:after="0" w:line="216" w:lineRule="exact"/>
        <w:rPr>
          <w:sz w:val="20"/>
          <w:szCs w:val="20"/>
          <w:color w:val="auto"/>
        </w:rPr>
      </w:pPr>
    </w:p>
    <w:p>
      <w:pPr>
        <w:jc w:val="both"/>
        <w:ind w:left="120" w:firstLine="756"/>
        <w:spacing w:after="0" w:line="250" w:lineRule="auto"/>
        <w:tabs>
          <w:tab w:leader="none" w:pos="161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75" w:lineRule="exact"/>
        <w:rPr>
          <w:rFonts w:ascii="Times New Roman" w:cs="Times New Roman" w:eastAsia="Times New Roman" w:hAnsi="Times New Roman"/>
          <w:sz w:val="20"/>
          <w:szCs w:val="20"/>
          <w:color w:val="auto"/>
        </w:rPr>
      </w:pPr>
    </w:p>
    <w:p>
      <w:pPr>
        <w:jc w:val="both"/>
        <w:ind w:left="120" w:firstLine="756"/>
        <w:spacing w:after="0" w:line="245" w:lineRule="auto"/>
        <w:tabs>
          <w:tab w:leader="none" w:pos="161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Stockholder; Certificates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79" w:lineRule="exact"/>
        <w:rPr>
          <w:rFonts w:ascii="Times New Roman" w:cs="Times New Roman" w:eastAsia="Times New Roman" w:hAnsi="Times New Roman"/>
          <w:sz w:val="20"/>
          <w:szCs w:val="20"/>
          <w:color w:val="auto"/>
        </w:rPr>
      </w:pPr>
    </w:p>
    <w:p>
      <w:pPr>
        <w:jc w:val="both"/>
        <w:ind w:left="120" w:firstLine="756"/>
        <w:spacing w:after="0" w:line="276" w:lineRule="auto"/>
        <w:tabs>
          <w:tab w:leader="none" w:pos="1617"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 and Term of Plan</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Unless earlier terminated by the Board, the Plan will become effective on the date it is approved by the Board and will remain in effect until the tenth anniversary of such date, but Awards previously granted may extend beyond that date in accordance with the Plan. No Awards may be granted under the Plan during any suspension period or after Plan termination.</w:t>
      </w:r>
    </w:p>
    <w:p>
      <w:pPr>
        <w:spacing w:after="0" w:line="150" w:lineRule="exact"/>
        <w:rPr>
          <w:rFonts w:ascii="Times New Roman" w:cs="Times New Roman" w:eastAsia="Times New Roman" w:hAnsi="Times New Roman"/>
          <w:sz w:val="19"/>
          <w:szCs w:val="19"/>
          <w:color w:val="auto"/>
        </w:rPr>
      </w:pPr>
    </w:p>
    <w:p>
      <w:pPr>
        <w:jc w:val="both"/>
        <w:ind w:left="120" w:firstLine="756"/>
        <w:spacing w:after="0" w:line="257" w:lineRule="auto"/>
        <w:tabs>
          <w:tab w:leader="none" w:pos="1617"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Stockholder Approval Not Required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It is expressly intended that approval of the Company’s stockholders not be required as a condition of the effectiveness of the Plan, and the Plan’s provisions shall be interpreted in a manner consistent with such intent for all purposes. Specifically, NASDAQ Rule 5635(c) generally requires stockholder approval for equity 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(a) the Board, acting through a majority of the Company’s Independent Directors or (b) the independent Compensation Committee of the Board. Accordingly, pursuant to NASDAQ Rule 5635(c)(4), the issuance of Awards and the Shares issuable upon exercise or vesting of such Awards pursuant to the Plan is not subject to the approval of the Company’s stockholders.</w:t>
      </w:r>
    </w:p>
    <w:p>
      <w:pPr>
        <w:spacing w:after="0" w:line="171" w:lineRule="exact"/>
        <w:rPr>
          <w:rFonts w:ascii="Times New Roman" w:cs="Times New Roman" w:eastAsia="Times New Roman" w:hAnsi="Times New Roman"/>
          <w:sz w:val="19"/>
          <w:szCs w:val="19"/>
          <w:color w:val="auto"/>
        </w:rPr>
      </w:pPr>
    </w:p>
    <w:p>
      <w:pPr>
        <w:jc w:val="both"/>
        <w:ind w:left="120" w:firstLine="756"/>
        <w:spacing w:after="0" w:line="247" w:lineRule="auto"/>
        <w:tabs>
          <w:tab w:leader="none" w:pos="161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amend, suspend or terminate the Plan at any time; provided that no amendment, other than an increase to the Overall Share Limit, may materially and adversely affect any Award outstanding at the time of such amendment without the affected Participant’s consent.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80" w:lineRule="exact"/>
        <w:rPr>
          <w:rFonts w:ascii="Times New Roman" w:cs="Times New Roman" w:eastAsia="Times New Roman" w:hAnsi="Times New Roman"/>
          <w:sz w:val="20"/>
          <w:szCs w:val="20"/>
          <w:color w:val="auto"/>
        </w:rPr>
      </w:pPr>
    </w:p>
    <w:p>
      <w:pPr>
        <w:ind w:left="120" w:firstLine="756"/>
        <w:spacing w:after="0" w:line="273" w:lineRule="auto"/>
        <w:tabs>
          <w:tab w:leader="none" w:pos="161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for Foreign Participants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Administrator may modify Awards granted to Participants who are foreign nationals or employed outside the United States or establish subplans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spacing w:after="0" w:line="268" w:lineRule="auto"/>
        <w:rPr>
          <w:sz w:val="20"/>
          <w:szCs w:val="20"/>
          <w:color w:val="auto"/>
        </w:rPr>
      </w:pPr>
      <w:r>
        <w:rPr>
          <w:rFonts w:ascii="Times New Roman" w:cs="Times New Roman" w:eastAsia="Times New Roman" w:hAnsi="Times New Roman"/>
          <w:sz w:val="20"/>
          <w:szCs w:val="20"/>
          <w:color w:val="auto"/>
        </w:rPr>
        <w:t>procedures under the Plan to address differences in laws, rules, regulations or customs of such foreign jurisdictions with respect to tax, securities, currency, employee benefit or other matters.</w:t>
      </w:r>
    </w:p>
    <w:p>
      <w:pPr>
        <w:spacing w:after="0" w:line="157" w:lineRule="exact"/>
        <w:rPr>
          <w:sz w:val="20"/>
          <w:szCs w:val="20"/>
          <w:color w:val="auto"/>
        </w:rPr>
      </w:pPr>
    </w:p>
    <w:p>
      <w:pPr>
        <w:ind w:left="1500" w:hanging="744"/>
        <w:spacing w:after="0"/>
        <w:tabs>
          <w:tab w:leader="none" w:pos="15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0"/>
          <w:szCs w:val="20"/>
          <w:color w:val="auto"/>
        </w:rPr>
      </w:pPr>
    </w:p>
    <w:p>
      <w:pPr>
        <w:jc w:val="both"/>
        <w:ind w:left="640" w:firstLine="745"/>
        <w:spacing w:after="0" w:line="242" w:lineRule="auto"/>
        <w:tabs>
          <w:tab w:leader="none" w:pos="2137"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Company intends that all Awards be structured to comply with, or be exempt from, Section 409A,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10(g)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89" w:lineRule="exact"/>
        <w:rPr>
          <w:rFonts w:ascii="Times New Roman" w:cs="Times New Roman" w:eastAsia="Times New Roman" w:hAnsi="Times New Roman"/>
          <w:sz w:val="20"/>
          <w:szCs w:val="20"/>
          <w:color w:val="auto"/>
        </w:rPr>
      </w:pPr>
    </w:p>
    <w:p>
      <w:pPr>
        <w:jc w:val="both"/>
        <w:ind w:left="640" w:firstLine="745"/>
        <w:spacing w:after="0" w:line="246" w:lineRule="auto"/>
        <w:tabs>
          <w:tab w:leader="none" w:pos="2137"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If an Award constitutes “nonqualified deferred compensation” under Section 409A,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78" w:lineRule="exact"/>
        <w:rPr>
          <w:rFonts w:ascii="Times New Roman" w:cs="Times New Roman" w:eastAsia="Times New Roman" w:hAnsi="Times New Roman"/>
          <w:sz w:val="20"/>
          <w:szCs w:val="20"/>
          <w:color w:val="auto"/>
        </w:rPr>
      </w:pPr>
    </w:p>
    <w:p>
      <w:pPr>
        <w:jc w:val="both"/>
        <w:ind w:left="640" w:firstLine="745"/>
        <w:spacing w:after="0" w:line="258" w:lineRule="auto"/>
        <w:tabs>
          <w:tab w:leader="none" w:pos="2137"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Payments to Specified Employees. </w:t>
      </w:r>
      <w:r>
        <w:rPr>
          <w:rFonts w:ascii="Times New Roman" w:cs="Times New Roman" w:eastAsia="Times New Roman" w:hAnsi="Times New Roman"/>
          <w:sz w:val="19"/>
          <w:szCs w:val="19"/>
          <w:color w:val="auto"/>
        </w:rPr>
        <w:t>Notwithstanding any contrary provision in the Plan or any Award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73" w:lineRule="exact"/>
        <w:rPr>
          <w:rFonts w:ascii="Times New Roman" w:cs="Times New Roman" w:eastAsia="Times New Roman" w:hAnsi="Times New Roman"/>
          <w:sz w:val="19"/>
          <w:szCs w:val="19"/>
          <w:color w:val="auto"/>
        </w:rPr>
      </w:pPr>
    </w:p>
    <w:p>
      <w:pPr>
        <w:jc w:val="both"/>
        <w:ind w:firstLine="756"/>
        <w:spacing w:after="0" w:line="245" w:lineRule="auto"/>
        <w:tabs>
          <w:tab w:leader="none" w:pos="1497"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340995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8" w:right="339" w:bottom="1440" w:gutter="0" w:footer="0" w:header="0"/>
        </w:sectPr>
      </w:pPr>
    </w:p>
    <w:bookmarkStart w:id="167" w:name="page168"/>
    <w:bookmarkEnd w:id="167"/>
    <w:p>
      <w:pPr>
        <w:spacing w:after="0" w:line="268" w:lineRule="auto"/>
        <w:rPr>
          <w:sz w:val="20"/>
          <w:szCs w:val="20"/>
          <w:color w:val="auto"/>
        </w:rPr>
      </w:pPr>
      <w:r>
        <w:rPr>
          <w:rFonts w:ascii="Times New Roman" w:cs="Times New Roman" w:eastAsia="Times New Roman" w:hAnsi="Times New Roman"/>
          <w:sz w:val="20"/>
          <w:szCs w:val="20"/>
          <w:color w:val="auto"/>
        </w:rPr>
        <w:t>(including any sum paid in settlement of a claim with the Administrator’s approval) arising from any act or omission concerning this Plan unless arising from such person’s own fraud or bad faith.</w:t>
      </w:r>
    </w:p>
    <w:p>
      <w:pPr>
        <w:spacing w:after="0" w:line="157" w:lineRule="exact"/>
        <w:rPr>
          <w:sz w:val="20"/>
          <w:szCs w:val="20"/>
          <w:color w:val="auto"/>
        </w:rPr>
      </w:pPr>
    </w:p>
    <w:p>
      <w:pPr>
        <w:jc w:val="both"/>
        <w:ind w:firstLine="756"/>
        <w:spacing w:after="0" w:line="250" w:lineRule="auto"/>
        <w:tabs>
          <w:tab w:leader="none" w:pos="149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79" w:lineRule="exact"/>
        <w:rPr>
          <w:rFonts w:ascii="Times New Roman" w:cs="Times New Roman" w:eastAsia="Times New Roman" w:hAnsi="Times New Roman"/>
          <w:sz w:val="20"/>
          <w:szCs w:val="20"/>
          <w:color w:val="auto"/>
        </w:rPr>
      </w:pPr>
    </w:p>
    <w:p>
      <w:pPr>
        <w:jc w:val="both"/>
        <w:ind w:firstLine="756"/>
        <w:spacing w:after="0" w:line="241" w:lineRule="auto"/>
        <w:tabs>
          <w:tab w:leader="none" w:pos="149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As a condition for receiving any Award, each Participant explicitly and unambiguously consents to the collection, use and transfer, in electronic or other form, of personal data as described in this paragraph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10(j)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10(j). For more information on the consequences of refusing or withdrawing consent, Participants may contact their local human resources representative.</w:t>
      </w:r>
    </w:p>
    <w:p>
      <w:pPr>
        <w:spacing w:after="0" w:line="183" w:lineRule="exact"/>
        <w:rPr>
          <w:rFonts w:ascii="Times New Roman" w:cs="Times New Roman" w:eastAsia="Times New Roman" w:hAnsi="Times New Roman"/>
          <w:sz w:val="20"/>
          <w:szCs w:val="20"/>
          <w:color w:val="auto"/>
        </w:rPr>
      </w:pPr>
    </w:p>
    <w:p>
      <w:pPr>
        <w:jc w:val="both"/>
        <w:ind w:firstLine="756"/>
        <w:spacing w:after="0" w:line="256" w:lineRule="auto"/>
        <w:tabs>
          <w:tab w:leader="none" w:pos="149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68" w:lineRule="exact"/>
        <w:rPr>
          <w:rFonts w:ascii="Times New Roman" w:cs="Times New Roman" w:eastAsia="Times New Roman" w:hAnsi="Times New Roman"/>
          <w:sz w:val="20"/>
          <w:szCs w:val="20"/>
          <w:color w:val="auto"/>
        </w:rPr>
      </w:pPr>
    </w:p>
    <w:p>
      <w:pPr>
        <w:jc w:val="both"/>
        <w:ind w:firstLine="756"/>
        <w:spacing w:after="0" w:line="256" w:lineRule="auto"/>
        <w:tabs>
          <w:tab w:leader="none" w:pos="149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72" w:lineRule="exact"/>
        <w:rPr>
          <w:rFonts w:ascii="Times New Roman" w:cs="Times New Roman" w:eastAsia="Times New Roman" w:hAnsi="Times New Roman"/>
          <w:sz w:val="20"/>
          <w:szCs w:val="20"/>
          <w:color w:val="auto"/>
        </w:rPr>
      </w:pPr>
    </w:p>
    <w:p>
      <w:pPr>
        <w:jc w:val="both"/>
        <w:ind w:firstLine="756"/>
        <w:spacing w:after="0" w:line="254" w:lineRule="auto"/>
        <w:tabs>
          <w:tab w:leader="none" w:pos="149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335280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8" w:right="339" w:bottom="1440" w:gutter="0" w:footer="0" w:header="0"/>
        </w:sectPr>
      </w:pPr>
    </w:p>
    <w:bookmarkStart w:id="168" w:name="page169"/>
    <w:bookmarkEnd w:id="168"/>
    <w:p>
      <w:pPr>
        <w:jc w:val="both"/>
        <w:ind w:left="120" w:firstLine="756"/>
        <w:spacing w:after="0" w:line="246" w:lineRule="auto"/>
        <w:tabs>
          <w:tab w:leader="none" w:pos="1617"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84" w:lineRule="exact"/>
        <w:rPr>
          <w:rFonts w:ascii="Times New Roman" w:cs="Times New Roman" w:eastAsia="Times New Roman" w:hAnsi="Times New Roman"/>
          <w:sz w:val="20"/>
          <w:szCs w:val="20"/>
          <w:color w:val="auto"/>
        </w:rPr>
      </w:pPr>
    </w:p>
    <w:p>
      <w:pPr>
        <w:ind w:left="120" w:firstLine="756"/>
        <w:spacing w:after="0" w:line="269" w:lineRule="auto"/>
        <w:tabs>
          <w:tab w:leader="none" w:pos="1617"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in the Plan are for convenience of reference only and, if any conflict, the Plan’s text, rather than such titles or headings, will control.</w:t>
      </w:r>
    </w:p>
    <w:p>
      <w:pPr>
        <w:spacing w:after="0" w:line="159" w:lineRule="exact"/>
        <w:rPr>
          <w:rFonts w:ascii="Times New Roman" w:cs="Times New Roman" w:eastAsia="Times New Roman" w:hAnsi="Times New Roman"/>
          <w:sz w:val="20"/>
          <w:szCs w:val="20"/>
          <w:color w:val="auto"/>
        </w:rPr>
      </w:pPr>
    </w:p>
    <w:p>
      <w:pPr>
        <w:jc w:val="both"/>
        <w:ind w:left="120" w:firstLine="756"/>
        <w:spacing w:after="0" w:line="249" w:lineRule="auto"/>
        <w:tabs>
          <w:tab w:leader="none" w:pos="1617"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79" w:lineRule="exact"/>
        <w:rPr>
          <w:rFonts w:ascii="Times New Roman" w:cs="Times New Roman" w:eastAsia="Times New Roman" w:hAnsi="Times New Roman"/>
          <w:sz w:val="20"/>
          <w:szCs w:val="20"/>
          <w:color w:val="auto"/>
        </w:rPr>
      </w:pPr>
    </w:p>
    <w:p>
      <w:pPr>
        <w:jc w:val="both"/>
        <w:ind w:left="120" w:firstLine="756"/>
        <w:spacing w:after="0" w:line="254" w:lineRule="auto"/>
        <w:tabs>
          <w:tab w:leader="none" w:pos="1617"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70" w:lineRule="exact"/>
        <w:rPr>
          <w:rFonts w:ascii="Times New Roman" w:cs="Times New Roman" w:eastAsia="Times New Roman" w:hAnsi="Times New Roman"/>
          <w:sz w:val="20"/>
          <w:szCs w:val="20"/>
          <w:color w:val="auto"/>
        </w:rPr>
      </w:pPr>
    </w:p>
    <w:p>
      <w:pPr>
        <w:jc w:val="both"/>
        <w:ind w:left="120" w:firstLine="756"/>
        <w:spacing w:after="0" w:line="261" w:lineRule="auto"/>
        <w:tabs>
          <w:tab w:leader="none" w:pos="1617"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Broker-Assisted Sales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In the event of a broker-assisted sale of Shares in connection with the payment of amounts owed by a Participant under or with respect to the Plan or Awards, including amounts to be paid under the final sentence of Section 9(e): (a) any Shares to be sold through the broker-assisted sale will be sold on the day the payment first becomes due, or as soon thereafter as practicable;</w:t>
      </w:r>
    </w:p>
    <w:p>
      <w:pPr>
        <w:spacing w:after="0" w:line="1" w:lineRule="exact"/>
        <w:rPr>
          <w:rFonts w:ascii="Times New Roman" w:cs="Times New Roman" w:eastAsia="Times New Roman" w:hAnsi="Times New Roman"/>
          <w:sz w:val="19"/>
          <w:szCs w:val="19"/>
          <w:color w:val="auto"/>
        </w:rPr>
      </w:pPr>
    </w:p>
    <w:p>
      <w:pPr>
        <w:jc w:val="both"/>
        <w:ind w:left="120" w:firstLine="8"/>
        <w:spacing w:after="0"/>
        <w:tabs>
          <w:tab w:leader="none" w:pos="40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b w:val="1"/>
          <w:bCs w:val="1"/>
          <w:i w:val="1"/>
          <w:iCs w:val="1"/>
          <w:color w:val="auto"/>
        </w:rPr>
        <w:t>Definitions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used in the Plan, the following words and phrases will have the following meanings:</w:t>
      </w:r>
    </w:p>
    <w:p>
      <w:pPr>
        <w:spacing w:after="0" w:line="212" w:lineRule="exact"/>
        <w:rPr>
          <w:sz w:val="20"/>
          <w:szCs w:val="20"/>
          <w:color w:val="auto"/>
        </w:rPr>
      </w:pPr>
    </w:p>
    <w:p>
      <w:pPr>
        <w:ind w:left="120" w:right="20" w:firstLine="756"/>
        <w:spacing w:after="0" w:line="273" w:lineRule="auto"/>
        <w:tabs>
          <w:tab w:leader="none" w:pos="161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 Committee to the extent that the Board’s powers or authority under the Plan have been delegated to such Committee.</w:t>
      </w:r>
    </w:p>
    <w:p>
      <w:pPr>
        <w:spacing w:after="0" w:line="151" w:lineRule="exact"/>
        <w:rPr>
          <w:rFonts w:ascii="Times New Roman" w:cs="Times New Roman" w:eastAsia="Times New Roman" w:hAnsi="Times New Roman"/>
          <w:sz w:val="20"/>
          <w:szCs w:val="20"/>
          <w:color w:val="auto"/>
        </w:rPr>
      </w:pPr>
    </w:p>
    <w:p>
      <w:pPr>
        <w:jc w:val="both"/>
        <w:ind w:left="120" w:firstLine="756"/>
        <w:spacing w:after="0" w:line="250" w:lineRule="auto"/>
        <w:tabs>
          <w:tab w:leader="none" w:pos="161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Laws</w:t>
      </w:r>
      <w:r>
        <w:rPr>
          <w:rFonts w:ascii="Times New Roman" w:cs="Times New Roman" w:eastAsia="Times New Roman" w:hAnsi="Times New Roman"/>
          <w:sz w:val="20"/>
          <w:szCs w:val="20"/>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75" w:lineRule="exact"/>
        <w:rPr>
          <w:rFonts w:ascii="Times New Roman" w:cs="Times New Roman" w:eastAsia="Times New Roman" w:hAnsi="Times New Roman"/>
          <w:sz w:val="20"/>
          <w:szCs w:val="20"/>
          <w:color w:val="auto"/>
        </w:rPr>
      </w:pPr>
    </w:p>
    <w:p>
      <w:pPr>
        <w:ind w:left="120" w:firstLine="756"/>
        <w:spacing w:after="0" w:line="273" w:lineRule="auto"/>
        <w:tabs>
          <w:tab w:leader="none" w:pos="161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individually or collectively, a grant under the Plan of Options, Stock Appreciation Rights, Restricted Stock, Restricted Stock Units or Other Stock or Cash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ind w:left="120" w:firstLine="756"/>
        <w:spacing w:after="0" w:line="274" w:lineRule="auto"/>
        <w:tabs>
          <w:tab w:leader="none" w:pos="1617"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51" w:lineRule="exact"/>
        <w:rPr>
          <w:rFonts w:ascii="Times New Roman" w:cs="Times New Roman" w:eastAsia="Times New Roman" w:hAnsi="Times New Roman"/>
          <w:sz w:val="20"/>
          <w:szCs w:val="20"/>
          <w:color w:val="auto"/>
        </w:rPr>
      </w:pPr>
    </w:p>
    <w:p>
      <w:pPr>
        <w:ind w:left="1620" w:hanging="744"/>
        <w:spacing w:after="0"/>
        <w:tabs>
          <w:tab w:leader="none" w:pos="16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ind w:left="1620" w:hanging="744"/>
        <w:spacing w:after="0"/>
        <w:tabs>
          <w:tab w:leader="none" w:pos="16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and includes each of the following:</w:t>
      </w:r>
    </w:p>
    <w:p>
      <w:pPr>
        <w:spacing w:after="0" w:line="219"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257"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(A) and (B) of subsection (iii)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257"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(i) or (iii))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257"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80"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auto"/>
        </w:rPr>
        <w:t>(A)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200" w:lineRule="exact"/>
        <w:rPr>
          <w:sz w:val="20"/>
          <w:szCs w:val="20"/>
          <w:color w:val="auto"/>
        </w:rPr>
      </w:pPr>
    </w:p>
    <w:p>
      <w:pPr>
        <w:spacing w:after="0" w:line="219" w:lineRule="exact"/>
        <w:rPr>
          <w:sz w:val="20"/>
          <w:szCs w:val="20"/>
          <w:color w:val="auto"/>
        </w:rPr>
      </w:pPr>
    </w:p>
    <w:p>
      <w:pPr>
        <w:jc w:val="both"/>
        <w:ind w:firstLine="2246"/>
        <w:spacing w:after="0" w:line="249" w:lineRule="auto"/>
        <w:rPr>
          <w:sz w:val="20"/>
          <w:szCs w:val="20"/>
          <w:color w:val="auto"/>
        </w:rPr>
      </w:pPr>
      <w:r>
        <w:rPr>
          <w:rFonts w:ascii="Times New Roman" w:cs="Times New Roman" w:eastAsia="Times New Roman" w:hAnsi="Times New Roman"/>
          <w:sz w:val="20"/>
          <w:szCs w:val="20"/>
          <w:color w:val="auto"/>
        </w:rPr>
        <w:t xml:space="preserve">(B) after which no person or group beneficially owns voting securities representing 50% or more of the combined voting power of the Successor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group shall be treated for purposes of this clause (B) as beneficially owning 50% or more of the combined voting power of the Successor Entity solely as a result of the voting power held in the Company prior to the consummation of the transaction.</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Award (or portion of any Award) that provides for the deferral of compensation that is subject to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0" w:name="page171"/>
    <w:bookmarkEnd w:id="170"/>
    <w:p>
      <w:pPr>
        <w:jc w:val="both"/>
        <w:spacing w:after="0" w:line="253" w:lineRule="auto"/>
        <w:rPr>
          <w:sz w:val="20"/>
          <w:szCs w:val="20"/>
          <w:color w:val="auto"/>
        </w:rPr>
      </w:pPr>
      <w:r>
        <w:rPr>
          <w:rFonts w:ascii="Times New Roman" w:cs="Times New Roman" w:eastAsia="Times New Roman" w:hAnsi="Times New Roman"/>
          <w:sz w:val="20"/>
          <w:szCs w:val="20"/>
          <w:color w:val="auto"/>
        </w:rPr>
        <w:t>409A, to the extent required to avoid the imposition of additional taxes under Section 409A, the transaction or event described in subsection (i), (ii) or (iii)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6" w:lineRule="exact"/>
        <w:rPr>
          <w:sz w:val="20"/>
          <w:szCs w:val="20"/>
          <w:color w:val="auto"/>
        </w:rPr>
      </w:pPr>
    </w:p>
    <w:p>
      <w:pPr>
        <w:ind w:left="1620" w:hanging="744"/>
        <w:spacing w:after="0"/>
        <w:tabs>
          <w:tab w:leader="none" w:pos="16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and the regulations issued thereunder.</w:t>
      </w:r>
    </w:p>
    <w:p>
      <w:pPr>
        <w:spacing w:after="0" w:line="215" w:lineRule="exact"/>
        <w:rPr>
          <w:rFonts w:ascii="Times New Roman" w:cs="Times New Roman" w:eastAsia="Times New Roman" w:hAnsi="Times New Roman"/>
          <w:sz w:val="20"/>
          <w:szCs w:val="20"/>
          <w:color w:val="auto"/>
        </w:rPr>
      </w:pPr>
    </w:p>
    <w:p>
      <w:pPr>
        <w:jc w:val="both"/>
        <w:ind w:left="120" w:firstLine="756"/>
        <w:spacing w:after="0" w:line="246" w:lineRule="auto"/>
        <w:tabs>
          <w:tab w:leader="none" w:pos="161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8" w:lineRule="exact"/>
        <w:rPr>
          <w:rFonts w:ascii="Times New Roman" w:cs="Times New Roman" w:eastAsia="Times New Roman" w:hAnsi="Times New Roman"/>
          <w:sz w:val="20"/>
          <w:szCs w:val="20"/>
          <w:color w:val="auto"/>
        </w:rPr>
      </w:pPr>
    </w:p>
    <w:p>
      <w:pPr>
        <w:ind w:left="1620" w:hanging="744"/>
        <w:spacing w:after="0"/>
        <w:tabs>
          <w:tab w:leader="none" w:pos="16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color w:val="auto"/>
        </w:rPr>
      </w:pPr>
    </w:p>
    <w:p>
      <w:pPr>
        <w:ind w:left="1620" w:hanging="744"/>
        <w:spacing w:after="0"/>
        <w:tabs>
          <w:tab w:leader="none" w:pos="16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Seres Therapeutics, Inc., a Delaware corporation, or any successor.</w:t>
      </w:r>
    </w:p>
    <w:p>
      <w:pPr>
        <w:spacing w:after="0" w:line="215" w:lineRule="exact"/>
        <w:rPr>
          <w:rFonts w:ascii="Times New Roman" w:cs="Times New Roman" w:eastAsia="Times New Roman" w:hAnsi="Times New Roman"/>
          <w:sz w:val="20"/>
          <w:szCs w:val="20"/>
          <w:color w:val="auto"/>
        </w:rPr>
      </w:pPr>
    </w:p>
    <w:p>
      <w:pPr>
        <w:jc w:val="both"/>
        <w:ind w:left="120" w:firstLine="756"/>
        <w:spacing w:after="0" w:line="250" w:lineRule="auto"/>
        <w:tabs>
          <w:tab w:leader="none" w:pos="161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xml:space="preserve">” means any person, including any adviser, engaged by the Company or its parent or Subsidiary to render services to such entity if the consultant or adviser: (i) renders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75" w:lineRule="exact"/>
        <w:rPr>
          <w:rFonts w:ascii="Times New Roman" w:cs="Times New Roman" w:eastAsia="Times New Roman" w:hAnsi="Times New Roman"/>
          <w:sz w:val="20"/>
          <w:szCs w:val="20"/>
          <w:color w:val="auto"/>
        </w:rPr>
      </w:pPr>
    </w:p>
    <w:p>
      <w:pPr>
        <w:jc w:val="both"/>
        <w:ind w:left="120" w:right="20" w:firstLine="756"/>
        <w:spacing w:after="0" w:line="256" w:lineRule="auto"/>
        <w:tabs>
          <w:tab w:leader="none" w:pos="161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68" w:lineRule="exact"/>
        <w:rPr>
          <w:rFonts w:ascii="Times New Roman" w:cs="Times New Roman" w:eastAsia="Times New Roman" w:hAnsi="Times New Roman"/>
          <w:sz w:val="20"/>
          <w:szCs w:val="20"/>
          <w:color w:val="auto"/>
        </w:rPr>
      </w:pPr>
    </w:p>
    <w:p>
      <w:pPr>
        <w:ind w:left="1620" w:hanging="744"/>
        <w:spacing w:after="0"/>
        <w:tabs>
          <w:tab w:leader="none" w:pos="16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Board member.</w:t>
      </w:r>
    </w:p>
    <w:p>
      <w:pPr>
        <w:spacing w:after="0" w:line="215" w:lineRule="exact"/>
        <w:rPr>
          <w:rFonts w:ascii="Times New Roman" w:cs="Times New Roman" w:eastAsia="Times New Roman" w:hAnsi="Times New Roman"/>
          <w:sz w:val="20"/>
          <w:szCs w:val="20"/>
          <w:color w:val="auto"/>
        </w:rPr>
      </w:pPr>
    </w:p>
    <w:p>
      <w:pPr>
        <w:ind w:left="1620" w:hanging="744"/>
        <w:spacing w:after="0"/>
        <w:tabs>
          <w:tab w:leader="none" w:pos="16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a permanent and total disability under Section 22(e)(3) of the Code, as amended.</w:t>
      </w:r>
    </w:p>
    <w:p>
      <w:pPr>
        <w:spacing w:after="0" w:line="215" w:lineRule="exact"/>
        <w:rPr>
          <w:rFonts w:ascii="Times New Roman" w:cs="Times New Roman" w:eastAsia="Times New Roman" w:hAnsi="Times New Roman"/>
          <w:sz w:val="20"/>
          <w:szCs w:val="20"/>
          <w:color w:val="auto"/>
        </w:rPr>
      </w:pPr>
    </w:p>
    <w:p>
      <w:pPr>
        <w:ind w:left="120" w:firstLine="756"/>
        <w:spacing w:after="0" w:line="273" w:lineRule="auto"/>
        <w:tabs>
          <w:tab w:leader="none" w:pos="161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 means a right granted to a Participant under the Plan to receive the equivalent value (in cash or Shares) of dividends paid on Shares.</w:t>
      </w:r>
    </w:p>
    <w:p>
      <w:pPr>
        <w:spacing w:after="0" w:line="151" w:lineRule="exact"/>
        <w:rPr>
          <w:rFonts w:ascii="Times New Roman" w:cs="Times New Roman" w:eastAsia="Times New Roman" w:hAnsi="Times New Roman"/>
          <w:sz w:val="20"/>
          <w:szCs w:val="20"/>
          <w:color w:val="auto"/>
        </w:rPr>
      </w:pPr>
    </w:p>
    <w:p>
      <w:pPr>
        <w:jc w:val="both"/>
        <w:ind w:left="120" w:firstLine="756"/>
        <w:spacing w:after="0" w:line="248" w:lineRule="auto"/>
        <w:tabs>
          <w:tab w:leader="none" w:pos="161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Individual</w:t>
      </w:r>
      <w:r>
        <w:rPr>
          <w:rFonts w:ascii="Times New Roman" w:cs="Times New Roman" w:eastAsia="Times New Roman" w:hAnsi="Times New Roman"/>
          <w:sz w:val="20"/>
          <w:szCs w:val="20"/>
          <w:color w:val="auto"/>
        </w:rPr>
        <w:t>” means any individual who was not previously an Employee or Director hired as a new Employee or rehired as an Employee following a bona fide period of interruption of employment if such person is granted an Award as a material inducement to his or her entering into employment with the Company or a Subsidiary (within the meaning of the NASDAQ Rule 5635(c)</w:t>
      </w:r>
    </w:p>
    <w:p>
      <w:pPr>
        <w:spacing w:after="0" w:line="1" w:lineRule="exact"/>
        <w:rPr>
          <w:rFonts w:ascii="Times New Roman" w:cs="Times New Roman" w:eastAsia="Times New Roman" w:hAnsi="Times New Roman"/>
          <w:sz w:val="20"/>
          <w:szCs w:val="20"/>
          <w:color w:val="auto"/>
        </w:rPr>
      </w:pPr>
    </w:p>
    <w:p>
      <w:pPr>
        <w:ind w:left="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p>
    <w:p>
      <w:pPr>
        <w:spacing w:after="0" w:line="189" w:lineRule="exact"/>
        <w:rPr>
          <w:rFonts w:ascii="Times New Roman" w:cs="Times New Roman" w:eastAsia="Times New Roman" w:hAnsi="Times New Roman"/>
          <w:sz w:val="20"/>
          <w:szCs w:val="20"/>
          <w:color w:val="auto"/>
        </w:rPr>
      </w:pPr>
    </w:p>
    <w:p>
      <w:pPr>
        <w:ind w:left="1620" w:hanging="744"/>
        <w:spacing w:after="0"/>
        <w:tabs>
          <w:tab w:leader="none" w:pos="16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employee of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363855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both"/>
        <w:ind w:firstLine="756"/>
        <w:spacing w:after="0" w:line="251" w:lineRule="auto"/>
        <w:tabs>
          <w:tab w:leader="none" w:pos="149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Equity Restructuring</w:t>
      </w:r>
      <w:r>
        <w:rPr>
          <w:rFonts w:ascii="Times New Roman" w:cs="Times New Roman" w:eastAsia="Times New Roman" w:hAnsi="Times New Roman"/>
          <w:sz w:val="20"/>
          <w:szCs w:val="20"/>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73"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5" w:lineRule="exact"/>
        <w:rPr>
          <w:rFonts w:ascii="Times New Roman" w:cs="Times New Roman" w:eastAsia="Times New Roman" w:hAnsi="Times New Roman"/>
          <w:sz w:val="20"/>
          <w:szCs w:val="20"/>
          <w:color w:val="auto"/>
        </w:rPr>
      </w:pPr>
    </w:p>
    <w:p>
      <w:pPr>
        <w:jc w:val="both"/>
        <w:ind w:firstLine="756"/>
        <w:spacing w:after="0" w:line="244" w:lineRule="auto"/>
        <w:tabs>
          <w:tab w:leader="none" w:pos="149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xml:space="preserve">”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20"/>
          <w:szCs w:val="20"/>
          <w:i w:val="1"/>
          <w:iCs w:val="1"/>
          <w:color w:val="auto"/>
        </w:rPr>
        <w:t xml:space="preserve">The Wall Street Journal </w:t>
      </w:r>
      <w:r>
        <w:rPr>
          <w:rFonts w:ascii="Times New Roman" w:cs="Times New Roman" w:eastAsia="Times New Roman" w:hAnsi="Times New Roman"/>
          <w:sz w:val="20"/>
          <w:szCs w:val="20"/>
          <w:color w:val="auto"/>
        </w:rPr>
        <w:t>or another source the Administrator deems reliable; (ii) if the Common Stock is not traded on a stock exchange but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 source the Administrator deems reliable; or (iii) without an established market for the Common Stock, the Administrator will determine the Fair Market Value in its discretion.</w:t>
      </w:r>
    </w:p>
    <w:p>
      <w:pPr>
        <w:spacing w:after="0" w:line="181"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intended to qualify as an “incentive stock option” as defined in Section 422</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w:t>
      </w:r>
    </w:p>
    <w:p>
      <w:pPr>
        <w:spacing w:after="0" w:line="189"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Independent Director</w:t>
      </w:r>
      <w:r>
        <w:rPr>
          <w:rFonts w:ascii="Times New Roman" w:cs="Times New Roman" w:eastAsia="Times New Roman" w:hAnsi="Times New Roman"/>
          <w:sz w:val="19"/>
          <w:szCs w:val="19"/>
          <w:color w:val="auto"/>
        </w:rPr>
        <w:t>” means a Director who qualifies as “independent” within the meaning of NASDAQ Rule 5635(c)</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(4), or any successor rule, as such rule may be amended from time to time.</w:t>
      </w:r>
    </w:p>
    <w:p>
      <w:pPr>
        <w:spacing w:after="0" w:line="189" w:lineRule="exact"/>
        <w:rPr>
          <w:rFonts w:ascii="Times New Roman" w:cs="Times New Roman" w:eastAsia="Times New Roman" w:hAnsi="Times New Roman"/>
          <w:sz w:val="19"/>
          <w:szCs w:val="19"/>
          <w:color w:val="auto"/>
        </w:rPr>
      </w:pPr>
    </w:p>
    <w:p>
      <w:pPr>
        <w:ind w:firstLine="756"/>
        <w:spacing w:after="0" w:line="273" w:lineRule="auto"/>
        <w:tabs>
          <w:tab w:leader="none" w:pos="149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NASDAQ Rule 5635(c)(4)</w:t>
      </w:r>
      <w:r>
        <w:rPr>
          <w:rFonts w:ascii="Times New Roman" w:cs="Times New Roman" w:eastAsia="Times New Roman" w:hAnsi="Times New Roman"/>
          <w:sz w:val="20"/>
          <w:szCs w:val="20"/>
          <w:color w:val="auto"/>
        </w:rPr>
        <w:t>” means NASDAQ Rule 5635(c)(4), or any successor rule, and all guidance and other interpretative authority thereunder, as such rule, guidance and other authority may be amended from time to time.</w:t>
      </w:r>
    </w:p>
    <w:p>
      <w:pPr>
        <w:spacing w:after="0" w:line="151"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Non-Qualified Stock Option</w:t>
      </w:r>
      <w:r>
        <w:rPr>
          <w:rFonts w:ascii="Times New Roman" w:cs="Times New Roman" w:eastAsia="Times New Roman" w:hAnsi="Times New Roman"/>
          <w:sz w:val="20"/>
          <w:szCs w:val="20"/>
          <w:color w:val="auto"/>
        </w:rPr>
        <w:t>” means an Option not intended to qualify as an Incentive Stock Option.</w:t>
      </w:r>
    </w:p>
    <w:p>
      <w:pPr>
        <w:spacing w:after="0" w:line="215"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an option to purchase Shares.</w:t>
      </w:r>
    </w:p>
    <w:p>
      <w:pPr>
        <w:spacing w:after="0" w:line="215" w:lineRule="exact"/>
        <w:rPr>
          <w:rFonts w:ascii="Times New Roman" w:cs="Times New Roman" w:eastAsia="Times New Roman" w:hAnsi="Times New Roman"/>
          <w:sz w:val="20"/>
          <w:szCs w:val="20"/>
          <w:color w:val="auto"/>
        </w:rPr>
      </w:pPr>
    </w:p>
    <w:p>
      <w:pPr>
        <w:ind w:firstLine="756"/>
        <w:spacing w:after="0" w:line="273" w:lineRule="auto"/>
        <w:tabs>
          <w:tab w:leader="none" w:pos="149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Stock or Cash Based Awards</w:t>
      </w:r>
      <w:r>
        <w:rPr>
          <w:rFonts w:ascii="Times New Roman" w:cs="Times New Roman" w:eastAsia="Times New Roman" w:hAnsi="Times New Roman"/>
          <w:sz w:val="20"/>
          <w:szCs w:val="20"/>
          <w:color w:val="auto"/>
        </w:rPr>
        <w:t>” means cash awards, awards of Shares, and other awards valued wholly or partially by referring to, or are otherwise based on, Shares or other property.</w:t>
      </w:r>
    </w:p>
    <w:p>
      <w:pPr>
        <w:spacing w:after="0" w:line="152" w:lineRule="exact"/>
        <w:rPr>
          <w:sz w:val="20"/>
          <w:szCs w:val="20"/>
          <w:color w:val="auto"/>
        </w:rPr>
      </w:pPr>
    </w:p>
    <w:p>
      <w:pPr>
        <w:ind w:left="1500" w:hanging="744"/>
        <w:spacing w:after="0"/>
        <w:tabs>
          <w:tab w:leader="none" w:pos="15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Overall Share Limit</w:t>
      </w:r>
      <w:r>
        <w:rPr>
          <w:rFonts w:ascii="Times New Roman" w:cs="Times New Roman" w:eastAsia="Times New Roman" w:hAnsi="Times New Roman"/>
          <w:sz w:val="20"/>
          <w:szCs w:val="20"/>
          <w:color w:val="auto"/>
        </w:rPr>
        <w:t>” means 2,500,000 Shares.</w:t>
      </w:r>
    </w:p>
    <w:p>
      <w:pPr>
        <w:spacing w:after="0" w:line="215"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 Eligible Individual who has been granted an Award.</w:t>
      </w:r>
    </w:p>
    <w:p>
      <w:pPr>
        <w:spacing w:after="0" w:line="215" w:lineRule="exact"/>
        <w:rPr>
          <w:rFonts w:ascii="Times New Roman" w:cs="Times New Roman" w:eastAsia="Times New Roman" w:hAnsi="Times New Roman"/>
          <w:sz w:val="20"/>
          <w:szCs w:val="20"/>
          <w:color w:val="auto"/>
        </w:rPr>
      </w:pPr>
    </w:p>
    <w:p>
      <w:pPr>
        <w:jc w:val="both"/>
        <w:ind w:firstLine="756"/>
        <w:spacing w:after="0" w:line="245" w:lineRule="auto"/>
        <w:tabs>
          <w:tab w:leader="none" w:pos="1497"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340995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2" w:right="339" w:bottom="1440" w:gutter="0" w:footer="0" w:header="0"/>
        </w:sectPr>
      </w:pPr>
    </w:p>
    <w:bookmarkStart w:id="172" w:name="page173"/>
    <w:bookmarkEnd w:id="172"/>
    <w:p>
      <w:pPr>
        <w:jc w:val="both"/>
        <w:spacing w:after="0" w:line="242" w:lineRule="auto"/>
        <w:rPr>
          <w:sz w:val="20"/>
          <w:szCs w:val="20"/>
          <w:color w:val="auto"/>
        </w:rPr>
      </w:pPr>
      <w:r>
        <w:rPr>
          <w:rFonts w:ascii="Times New Roman" w:cs="Times New Roman" w:eastAsia="Times New Roman" w:hAnsi="Times New Roman"/>
          <w:sz w:val="20"/>
          <w:szCs w:val="20"/>
          <w:color w:val="auto"/>
        </w:rPr>
        <w:t>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peer group results, or market performance indicators or indices.</w:t>
      </w:r>
    </w:p>
    <w:p>
      <w:pPr>
        <w:spacing w:after="0" w:line="187" w:lineRule="exact"/>
        <w:rPr>
          <w:sz w:val="20"/>
          <w:szCs w:val="20"/>
          <w:color w:val="auto"/>
        </w:rPr>
      </w:pPr>
    </w:p>
    <w:p>
      <w:pPr>
        <w:ind w:left="1500" w:hanging="744"/>
        <w:spacing w:after="0"/>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2022 Employment Inducement Award Plan, as it may be amended and/or restated from time to time.</w:t>
      </w:r>
    </w:p>
    <w:p>
      <w:pPr>
        <w:spacing w:after="0" w:line="215"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w:t>
      </w:r>
      <w:r>
        <w:rPr>
          <w:rFonts w:ascii="Times New Roman" w:cs="Times New Roman" w:eastAsia="Times New Roman" w:hAnsi="Times New Roman"/>
          <w:sz w:val="19"/>
          <w:szCs w:val="19"/>
          <w:color w:val="auto"/>
        </w:rPr>
        <w:t>” means Shares awarded to a Participant under Section 6 subject to certain vesting conditions and other</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restrictions.</w:t>
      </w:r>
    </w:p>
    <w:p>
      <w:pPr>
        <w:spacing w:after="0" w:line="189" w:lineRule="exact"/>
        <w:rPr>
          <w:rFonts w:ascii="Times New Roman" w:cs="Times New Roman" w:eastAsia="Times New Roman" w:hAnsi="Times New Roman"/>
          <w:sz w:val="19"/>
          <w:szCs w:val="19"/>
          <w:color w:val="auto"/>
        </w:rPr>
      </w:pPr>
    </w:p>
    <w:p>
      <w:pPr>
        <w:jc w:val="both"/>
        <w:ind w:firstLine="756"/>
        <w:spacing w:after="0" w:line="256" w:lineRule="auto"/>
        <w:tabs>
          <w:tab w:leader="none" w:pos="149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68"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16b-3</w:t>
      </w:r>
      <w:r>
        <w:rPr>
          <w:rFonts w:ascii="Times New Roman" w:cs="Times New Roman" w:eastAsia="Times New Roman" w:hAnsi="Times New Roman"/>
          <w:sz w:val="20"/>
          <w:szCs w:val="20"/>
          <w:color w:val="auto"/>
        </w:rPr>
        <w:t>” means Rule 16b-3 promulgated under the Exchange Act.</w:t>
      </w:r>
    </w:p>
    <w:p>
      <w:pPr>
        <w:spacing w:after="0" w:line="215" w:lineRule="exact"/>
        <w:rPr>
          <w:rFonts w:ascii="Times New Roman" w:cs="Times New Roman" w:eastAsia="Times New Roman" w:hAnsi="Times New Roman"/>
          <w:sz w:val="20"/>
          <w:szCs w:val="20"/>
          <w:color w:val="auto"/>
        </w:rPr>
      </w:pPr>
    </w:p>
    <w:p>
      <w:pPr>
        <w:ind w:firstLine="756"/>
        <w:spacing w:after="0" w:line="273" w:lineRule="auto"/>
        <w:tabs>
          <w:tab w:leader="none" w:pos="149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all regulations, guidance, compliance programs and other interpretative authority thereunder.</w:t>
      </w:r>
    </w:p>
    <w:p>
      <w:pPr>
        <w:spacing w:after="0" w:line="151"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5"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Service Provider</w:t>
      </w:r>
      <w:r>
        <w:rPr>
          <w:rFonts w:ascii="Times New Roman" w:cs="Times New Roman" w:eastAsia="Times New Roman" w:hAnsi="Times New Roman"/>
          <w:sz w:val="20"/>
          <w:szCs w:val="20"/>
          <w:color w:val="auto"/>
        </w:rPr>
        <w:t>” means an Employee, Consultant or Director.</w:t>
      </w:r>
    </w:p>
    <w:p>
      <w:pPr>
        <w:spacing w:after="0" w:line="215"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means shares of Common Stock.</w:t>
      </w:r>
    </w:p>
    <w:p>
      <w:pPr>
        <w:spacing w:after="0" w:line="215"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means a stock appreciation right granted under Section 5.</w:t>
      </w:r>
    </w:p>
    <w:p>
      <w:pPr>
        <w:spacing w:after="0" w:line="215" w:lineRule="exact"/>
        <w:rPr>
          <w:rFonts w:ascii="Times New Roman" w:cs="Times New Roman" w:eastAsia="Times New Roman" w:hAnsi="Times New Roman"/>
          <w:sz w:val="20"/>
          <w:szCs w:val="20"/>
          <w:color w:val="auto"/>
        </w:rPr>
      </w:pPr>
    </w:p>
    <w:p>
      <w:pPr>
        <w:jc w:val="both"/>
        <w:ind w:firstLine="756"/>
        <w:spacing w:after="0" w:line="250" w:lineRule="auto"/>
        <w:tabs>
          <w:tab w:leader="none" w:pos="149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75" w:lineRule="exact"/>
        <w:rPr>
          <w:rFonts w:ascii="Times New Roman" w:cs="Times New Roman" w:eastAsia="Times New Roman" w:hAnsi="Times New Roman"/>
          <w:sz w:val="20"/>
          <w:szCs w:val="20"/>
          <w:color w:val="auto"/>
        </w:rPr>
      </w:pPr>
    </w:p>
    <w:p>
      <w:pPr>
        <w:ind w:left="1500" w:hanging="744"/>
        <w:spacing w:after="0"/>
        <w:tabs>
          <w:tab w:leader="none" w:pos="15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Termination of Service</w:t>
      </w:r>
      <w:r>
        <w:rPr>
          <w:rFonts w:ascii="Times New Roman" w:cs="Times New Roman" w:eastAsia="Times New Roman" w:hAnsi="Times New Roman"/>
          <w:sz w:val="20"/>
          <w:szCs w:val="20"/>
          <w:color w:val="auto"/>
        </w:rPr>
        <w:t>” means the date the Participant ceases to be a Service Provider.</w:t>
      </w:r>
    </w:p>
    <w:p>
      <w:pPr>
        <w:spacing w:after="0" w:line="219" w:lineRule="exact"/>
        <w:rPr>
          <w:rFonts w:ascii="Times New Roman" w:cs="Times New Roman" w:eastAsia="Times New Roman" w:hAnsi="Times New Roman"/>
          <w:sz w:val="20"/>
          <w:szCs w:val="20"/>
          <w:color w:val="auto"/>
        </w:rPr>
      </w:pPr>
    </w:p>
    <w:p>
      <w:pPr>
        <w:ind w:left="5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224155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8"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Form of Stock Option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4495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6">
                      <a:extLst>
                        <a:ext uri="{28A0092B-C50C-407E-A947-70E740481C1C}"/>
                      </a:extLst>
                    </a:blip>
                    <a:srcRect/>
                    <a:stretch>
                      <a:fillRect/>
                    </a:stretch>
                  </pic:blipFill>
                  <pic:spPr bwMode="auto">
                    <a:xfrm>
                      <a:off x="0" y="0"/>
                      <a:ext cx="7136130" cy="449580"/>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eres</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2022 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nducement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216" w:lineRule="exact"/>
        <w:rPr>
          <w:sz w:val="20"/>
          <w:szCs w:val="20"/>
          <w:color w:val="auto"/>
        </w:rPr>
      </w:pPr>
    </w:p>
    <w:p>
      <w:pPr>
        <w:jc w:val="both"/>
        <w:ind w:firstLine="749"/>
        <w:spacing w:after="0" w:line="300" w:lineRule="auto"/>
        <w:rPr>
          <w:sz w:val="20"/>
          <w:szCs w:val="20"/>
          <w:color w:val="auto"/>
        </w:rPr>
      </w:pPr>
      <w:r>
        <w:rPr>
          <w:rFonts w:ascii="Times New Roman" w:cs="Times New Roman" w:eastAsia="Times New Roman" w:hAnsi="Times New Roman"/>
          <w:sz w:val="19"/>
          <w:szCs w:val="19"/>
          <w:color w:val="auto"/>
        </w:rPr>
        <w:t>Capitalized terms not specifically defined in this Stock Option Grant Notice (the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have the meanings given to them in the 2022 Employment Inducement Award Plan (as amended from time to time,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of Seres Therapeutics,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w:t>
      </w:r>
    </w:p>
    <w:p>
      <w:pPr>
        <w:spacing w:after="0" w:line="1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stock option described in this Grant Notice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xml:space="preserve">”), subject to the terms and conditions of the Plan and the Stock Option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758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[____________]</w:t>
            </w:r>
          </w:p>
        </w:tc>
      </w:tr>
      <w:tr>
        <w:trPr>
          <w:trHeight w:val="365"/>
        </w:trPr>
        <w:tc>
          <w:tcPr>
            <w:tcW w:w="3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758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[____________]</w:t>
            </w:r>
          </w:p>
        </w:tc>
      </w:tr>
      <w:tr>
        <w:trPr>
          <w:trHeight w:val="364"/>
        </w:trPr>
        <w:tc>
          <w:tcPr>
            <w:tcW w:w="3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Exercise Price per Share:</w:t>
            </w:r>
          </w:p>
        </w:tc>
        <w:tc>
          <w:tcPr>
            <w:tcW w:w="758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$[______]</w:t>
            </w:r>
          </w:p>
        </w:tc>
      </w:tr>
      <w:tr>
        <w:trPr>
          <w:trHeight w:val="364"/>
        </w:trPr>
        <w:tc>
          <w:tcPr>
            <w:tcW w:w="3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Shares Subject to the Option:</w:t>
            </w:r>
          </w:p>
        </w:tc>
        <w:tc>
          <w:tcPr>
            <w:tcW w:w="758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[____________]</w:t>
            </w:r>
          </w:p>
        </w:tc>
      </w:tr>
      <w:tr>
        <w:trPr>
          <w:trHeight w:val="365"/>
        </w:trPr>
        <w:tc>
          <w:tcPr>
            <w:tcW w:w="3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Final Expiration Date:</w:t>
            </w:r>
          </w:p>
        </w:tc>
        <w:tc>
          <w:tcPr>
            <w:tcW w:w="758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[____________]</w:t>
            </w:r>
          </w:p>
        </w:tc>
      </w:tr>
      <w:tr>
        <w:trPr>
          <w:trHeight w:val="364"/>
        </w:trPr>
        <w:tc>
          <w:tcPr>
            <w:tcW w:w="3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tc>
        <w:tc>
          <w:tcPr>
            <w:tcW w:w="758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[____________]</w:t>
            </w:r>
          </w:p>
        </w:tc>
      </w:tr>
      <w:tr>
        <w:trPr>
          <w:trHeight w:val="364"/>
        </w:trPr>
        <w:tc>
          <w:tcPr>
            <w:tcW w:w="3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758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[To be specified in individual award agreements]</w:t>
            </w:r>
          </w:p>
        </w:tc>
      </w:tr>
      <w:tr>
        <w:trPr>
          <w:trHeight w:val="365"/>
        </w:trPr>
        <w:tc>
          <w:tcPr>
            <w:tcW w:w="3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Type of Option:</w:t>
            </w:r>
          </w:p>
        </w:tc>
        <w:tc>
          <w:tcPr>
            <w:tcW w:w="758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Non-Qualified Stock Option</w:t>
            </w:r>
          </w:p>
        </w:tc>
      </w:tr>
      <w:tr>
        <w:trPr>
          <w:trHeight w:val="905"/>
        </w:trPr>
        <w:tc>
          <w:tcPr>
            <w:tcW w:w="36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4" w:name="page175"/>
    <w:bookmarkEnd w:id="174"/>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tabs>
          <w:tab w:leader="none" w:pos="6140" w:val="left"/>
        </w:tabs>
        <w:rPr>
          <w:sz w:val="20"/>
          <w:szCs w:val="20"/>
          <w:color w:val="auto"/>
        </w:rPr>
      </w:pPr>
      <w:r>
        <w:rPr>
          <w:rFonts w:ascii="Times New Roman" w:cs="Times New Roman" w:eastAsia="Times New Roman" w:hAnsi="Times New Roman"/>
          <w:sz w:val="20"/>
          <w:szCs w:val="20"/>
          <w:b w:val="1"/>
          <w:bCs w:val="1"/>
          <w:color w:val="auto"/>
        </w:rPr>
        <w:t>SERES THERAPEUTICS, INC.</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5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9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Pursuant to the Grant Notice to which this Agreement is attached, the Company has granted to Participant the Option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Employment Inducement Award</w:t>
      </w:r>
      <w:r>
        <w:rPr>
          <w:rFonts w:ascii="Times New Roman" w:cs="Times New Roman" w:eastAsia="Times New Roman" w:hAnsi="Times New Roman"/>
          <w:sz w:val="20"/>
          <w:szCs w:val="20"/>
          <w:color w:val="auto"/>
        </w:rPr>
        <w:t>. The Option is intended to constitute an “employment inducement award” under NASDAQ Rule 5635(c)(4) that is exempt from the requirements of shareholder approval of equity compensation plans under NASDAQ Rule 5635(c)(4). This Agreement and the terms and conditions of the Option will be interpreted consistent with such intent.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Commencement of Exercisability</w:t>
      </w:r>
      <w:r>
        <w:rPr>
          <w:rFonts w:ascii="Times New Roman" w:cs="Times New Roman" w:eastAsia="Times New Roman" w:hAnsi="Times New Roman"/>
          <w:sz w:val="20"/>
          <w:szCs w:val="20"/>
          <w:color w:val="auto"/>
        </w:rPr>
        <w:t>. The Option will vest and become exercisable according to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Duration of Exercisability</w:t>
      </w:r>
      <w:r>
        <w:rPr>
          <w:rFonts w:ascii="Times New Roman" w:cs="Times New Roman" w:eastAsia="Times New Roman" w:hAnsi="Times New Roman"/>
          <w:sz w:val="20"/>
          <w:szCs w:val="20"/>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Expiration of Option</w:t>
      </w:r>
      <w:r>
        <w:rPr>
          <w:rFonts w:ascii="Times New Roman" w:cs="Times New Roman" w:eastAsia="Times New Roman" w:hAnsi="Times New Roman"/>
          <w:sz w:val="20"/>
          <w:szCs w:val="20"/>
          <w:color w:val="auto"/>
        </w:rPr>
        <w:t>. The Option may not be exercised to any extent by anyone after, and will expire on, the first of the following to occur:</w:t>
      </w:r>
    </w:p>
    <w:p>
      <w:pPr>
        <w:spacing w:after="0" w:line="159" w:lineRule="exact"/>
        <w:rPr>
          <w:sz w:val="20"/>
          <w:szCs w:val="20"/>
          <w:color w:val="auto"/>
        </w:rPr>
      </w:pPr>
    </w:p>
    <w:p>
      <w:pPr>
        <w:ind w:left="3000" w:hanging="1495"/>
        <w:spacing w:after="0"/>
        <w:tabs>
          <w:tab w:leader="none" w:pos="30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expiration date in the Grant Notice;</w:t>
      </w:r>
    </w:p>
    <w:p>
      <w:pPr>
        <w:spacing w:after="0" w:line="215" w:lineRule="exact"/>
        <w:rPr>
          <w:rFonts w:ascii="Times New Roman" w:cs="Times New Roman" w:eastAsia="Times New Roman" w:hAnsi="Times New Roman"/>
          <w:sz w:val="20"/>
          <w:szCs w:val="20"/>
          <w:color w:val="auto"/>
        </w:rPr>
      </w:pPr>
    </w:p>
    <w:p>
      <w:pPr>
        <w:jc w:val="both"/>
        <w:ind w:right="20" w:firstLine="1505"/>
        <w:spacing w:after="0" w:line="295" w:lineRule="auto"/>
        <w:tabs>
          <w:tab w:leader="none" w:pos="2995"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37" w:lineRule="exact"/>
        <w:rPr>
          <w:rFonts w:ascii="Times New Roman" w:cs="Times New Roman" w:eastAsia="Times New Roman" w:hAnsi="Times New Roman"/>
          <w:sz w:val="19"/>
          <w:szCs w:val="19"/>
          <w:color w:val="auto"/>
        </w:rPr>
      </w:pPr>
    </w:p>
    <w:p>
      <w:pPr>
        <w:ind w:right="20" w:firstLine="1505"/>
        <w:spacing w:after="0" w:line="269" w:lineRule="auto"/>
        <w:tabs>
          <w:tab w:leader="none" w:pos="299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the expiration of one (1) year from the date of Participant’s Termination of Service by reason of Participant’s death or Disability; and</w:t>
      </w:r>
    </w:p>
    <w:p>
      <w:pPr>
        <w:spacing w:after="0" w:line="159" w:lineRule="exact"/>
        <w:rPr>
          <w:rFonts w:ascii="Times New Roman" w:cs="Times New Roman" w:eastAsia="Times New Roman" w:hAnsi="Times New Roman"/>
          <w:sz w:val="20"/>
          <w:szCs w:val="20"/>
          <w:color w:val="auto"/>
        </w:rPr>
      </w:pPr>
    </w:p>
    <w:p>
      <w:pPr>
        <w:ind w:left="3000" w:hanging="1495"/>
        <w:spacing w:after="0"/>
        <w:tabs>
          <w:tab w:leader="none" w:pos="30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Participant’s Termination of Service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76" w:name="page177"/>
    <w:bookmarkEnd w:id="176"/>
    <w:p>
      <w:pPr>
        <w:jc w:val="both"/>
        <w:spacing w:after="0" w:line="242" w:lineRule="auto"/>
        <w:rPr>
          <w:sz w:val="20"/>
          <w:szCs w:val="20"/>
          <w:color w:val="auto"/>
        </w:rPr>
      </w:pPr>
      <w:r>
        <w:rPr>
          <w:rFonts w:ascii="Times New Roman" w:cs="Times New Roman" w:eastAsia="Times New Roman" w:hAnsi="Times New Roman"/>
          <w:sz w:val="20"/>
          <w:szCs w:val="20"/>
          <w:color w:val="auto"/>
        </w:rPr>
        <w:t>As used in this Agreement, “Cause” means (i) if Participant is a party to a written employment or consulting agreement with the Company or its Subsidiary in which the term “cause” is defined (a “</w:t>
      </w:r>
      <w:r>
        <w:rPr>
          <w:rFonts w:ascii="Times New Roman" w:cs="Times New Roman" w:eastAsia="Times New Roman" w:hAnsi="Times New Roman"/>
          <w:sz w:val="20"/>
          <w:szCs w:val="20"/>
          <w:b w:val="1"/>
          <w:bCs w:val="1"/>
          <w:i w:val="1"/>
          <w:iCs w:val="1"/>
          <w:color w:val="auto"/>
        </w:rPr>
        <w:t>Relevant Agreement</w:t>
      </w:r>
      <w:r>
        <w:rPr>
          <w:rFonts w:ascii="Times New Roman" w:cs="Times New Roman" w:eastAsia="Times New Roman" w:hAnsi="Times New Roman"/>
          <w:sz w:val="20"/>
          <w:szCs w:val="20"/>
          <w:color w:val="auto"/>
        </w:rPr>
        <w:t>”), “Cause” as defined in the Relevant Agreement, and (ii) if no Relevant Agreement exists, (A) the Administrator’s determination that Participant failed to substantially perform Participant’s duties (other than a failure resulting from Participant’s Disability); (B) the Administrator’s determination that Participant failed to carry out, or comply with any lawful and reasonable directive of the Board or Participant’s immediate supervisor; (C) Participant’s conviction, plea of no contest, plea of nolo contendere, or imposition of unadjudicated probation for any felony or indictable offense or crime involving moral turpitude; (D) Participant’s unlawful use (including being under the influence) or possession of illegal drugs on the premises of the Company or any of its Subsidiaries or while performing Participant’s duties and responsibilities for the Company or any of its Subsidiaries; or (E) Participant’s commission of an act of fraud, embezzlement, misappropriation, misconduct, or breach of fiduciary duty against the Company or any of its Subsidiaries.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EXERCISE OF OPTION</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Person Eligible to Exercise</w:t>
      </w:r>
      <w:r>
        <w:rPr>
          <w:rFonts w:ascii="Times New Roman" w:cs="Times New Roman" w:eastAsia="Times New Roman" w:hAnsi="Times New Roman"/>
          <w:sz w:val="20"/>
          <w:szCs w:val="20"/>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74"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0" w:firstLine="1505"/>
        <w:spacing w:after="0" w:line="254" w:lineRule="auto"/>
        <w:tabs>
          <w:tab w:leader="none" w:pos="299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74" w:lineRule="exact"/>
        <w:rPr>
          <w:rFonts w:ascii="Times New Roman" w:cs="Times New Roman" w:eastAsia="Times New Roman" w:hAnsi="Times New Roman"/>
          <w:sz w:val="20"/>
          <w:szCs w:val="20"/>
          <w:color w:val="auto"/>
        </w:rPr>
      </w:pPr>
    </w:p>
    <w:p>
      <w:pPr>
        <w:jc w:val="both"/>
        <w:ind w:firstLine="1505"/>
        <w:spacing w:after="0" w:line="245" w:lineRule="auto"/>
        <w:tabs>
          <w:tab w:leader="none" w:pos="299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Option is subject to adjustment, modification and termination in certain events as provided in this Agreement and the Plan.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7" w:name="page178"/>
    <w:bookmarkEnd w:id="177"/>
    <w:p>
      <w:pPr>
        <w:jc w:val="both"/>
        <w:spacing w:after="0" w:line="246" w:lineRule="auto"/>
        <w:rPr>
          <w:sz w:val="20"/>
          <w:szCs w:val="20"/>
          <w:color w:val="auto"/>
        </w:rPr>
      </w:pPr>
      <w:r>
        <w:rPr>
          <w:rFonts w:ascii="Times New Roman" w:cs="Times New Roman" w:eastAsia="Times New Roman" w:hAnsi="Times New Roman"/>
          <w:sz w:val="20"/>
          <w:szCs w:val="20"/>
          <w:color w:val="auto"/>
        </w:rPr>
        <w:t>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80" w:lineRule="exact"/>
        <w:rPr>
          <w:sz w:val="20"/>
          <w:szCs w:val="20"/>
          <w:color w:val="auto"/>
        </w:rPr>
      </w:pPr>
    </w:p>
    <w:p>
      <w:pPr>
        <w:jc w:val="both"/>
        <w:ind w:firstLine="749"/>
        <w:spacing w:after="0" w:line="238" w:lineRule="exact"/>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3) that are requirements for the application of such exemptive rule. To the extent Applicable Laws permit, this Agreement will be deemed amended as necessary to conform to such applicable exemptive rule.</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8" w:name="page179"/>
    <w:bookmarkEnd w:id="178"/>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4495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4">
                      <a:extLst>
                        <a:ext uri="{28A0092B-C50C-407E-A947-70E740481C1C}"/>
                      </a:extLst>
                    </a:blip>
                    <a:srcRect/>
                    <a:stretch>
                      <a:fillRect/>
                    </a:stretch>
                  </pic:blipFill>
                  <pic:spPr bwMode="auto">
                    <a:xfrm>
                      <a:off x="0" y="0"/>
                      <a:ext cx="7136130" cy="449580"/>
                    </a:xfrm>
                    <a:prstGeom prst="rect">
                      <a:avLst/>
                    </a:prstGeom>
                    <a:noFill/>
                  </pic:spPr>
                </pic:pic>
              </a:graphicData>
            </a:graphic>
          </wp:anchor>
        </w:drawing>
        <w:t>S</w:t>
      </w:r>
      <w:r>
        <w:rPr>
          <w:rFonts w:ascii="Times New Roman" w:cs="Times New Roman" w:eastAsia="Times New Roman" w:hAnsi="Times New Roman"/>
          <w:sz w:val="13"/>
          <w:szCs w:val="13"/>
          <w:b w:val="1"/>
          <w:bCs w:val="1"/>
          <w:color w:val="auto"/>
        </w:rPr>
        <w:t>eres</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2022 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nducement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estricted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U</w:t>
      </w:r>
      <w:r>
        <w:rPr>
          <w:rFonts w:ascii="Times New Roman" w:cs="Times New Roman" w:eastAsia="Times New Roman" w:hAnsi="Times New Roman"/>
          <w:sz w:val="13"/>
          <w:szCs w:val="13"/>
          <w:b w:val="1"/>
          <w:bCs w:val="1"/>
          <w:color w:val="auto"/>
        </w:rPr>
        <w:t>nit</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2022 Employment Inducement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Seres Therapeutics,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described in this Grant Notice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xml:space="preserve">”), subject to the terms and conditions of the Plan and the Restricted Stock Unit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w:t>
      </w:r>
    </w:p>
    <w:p>
      <w:pPr>
        <w:sectPr>
          <w:pgSz w:w="11900" w:h="16838" w:orient="portrait"/>
          <w:cols w:equalWidth="0" w:num="1">
            <w:col w:w="11240"/>
          </w:cols>
          <w:pgMar w:left="320" w:top="450" w:right="339" w:bottom="1440" w:gutter="0" w:footer="0" w:header="0"/>
        </w:sectPr>
      </w:pP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w:t>
      </w:r>
    </w:p>
    <w:p>
      <w:pPr>
        <w:spacing w:after="0" w:line="142" w:lineRule="exact"/>
        <w:rPr>
          <w:sz w:val="20"/>
          <w:szCs w:val="20"/>
          <w:color w:val="auto"/>
        </w:rPr>
      </w:pPr>
    </w:p>
    <w:p>
      <w:pPr>
        <w:sectPr>
          <w:pgSz w:w="11900" w:h="16838" w:orient="portrait"/>
          <w:cols w:equalWidth="0" w:num="2">
            <w:col w:w="3800" w:space="720"/>
            <w:col w:w="6720"/>
          </w:cols>
          <w:pgMar w:left="320" w:top="450" w:right="3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[____________]</w:t>
      </w:r>
    </w:p>
    <w:p>
      <w:pPr>
        <w:spacing w:after="0" w:line="142" w:lineRule="exact"/>
        <w:rPr>
          <w:sz w:val="20"/>
          <w:szCs w:val="20"/>
          <w:color w:val="auto"/>
        </w:rPr>
      </w:pPr>
    </w:p>
    <w:p>
      <w:pPr>
        <w:sectPr>
          <w:pgSz w:w="11900" w:h="16838" w:orient="portrait"/>
          <w:cols w:equalWidth="0" w:num="2">
            <w:col w:w="3800" w:space="720"/>
            <w:col w:w="6720"/>
          </w:cols>
          <w:pgMar w:left="320" w:top="450" w:right="3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9"/>
          <w:szCs w:val="19"/>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[____________]</w:t>
      </w:r>
    </w:p>
    <w:p>
      <w:pPr>
        <w:spacing w:after="0" w:line="142" w:lineRule="exact"/>
        <w:rPr>
          <w:sz w:val="20"/>
          <w:szCs w:val="20"/>
          <w:color w:val="auto"/>
        </w:rPr>
      </w:pPr>
    </w:p>
    <w:p>
      <w:pPr>
        <w:sectPr>
          <w:pgSz w:w="11900" w:h="16838" w:orient="portrait"/>
          <w:cols w:equalWidth="0" w:num="2">
            <w:col w:w="3800" w:space="720"/>
            <w:col w:w="6720"/>
          </w:cols>
          <w:pgMar w:left="320" w:top="450" w:right="3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9"/>
          <w:szCs w:val="19"/>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[____________]</w:t>
      </w:r>
    </w:p>
    <w:p>
      <w:pPr>
        <w:spacing w:after="0" w:line="142" w:lineRule="exact"/>
        <w:rPr>
          <w:sz w:val="20"/>
          <w:szCs w:val="20"/>
          <w:color w:val="auto"/>
        </w:rPr>
      </w:pPr>
    </w:p>
    <w:p>
      <w:pPr>
        <w:sectPr>
          <w:pgSz w:w="11900" w:h="16838" w:orient="portrait"/>
          <w:cols w:equalWidth="0" w:num="2">
            <w:col w:w="3800" w:space="720"/>
            <w:col w:w="6720"/>
          </w:cols>
          <w:pgMar w:left="320" w:top="450" w:right="3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jc w:val="center"/>
        <w:ind w:right="2840"/>
        <w:spacing w:after="0"/>
        <w:rPr>
          <w:sz w:val="20"/>
          <w:szCs w:val="20"/>
          <w:color w:val="auto"/>
        </w:rPr>
      </w:pPr>
      <w:r>
        <w:rPr>
          <w:rFonts w:ascii="Times New Roman" w:cs="Times New Roman" w:eastAsia="Times New Roman" w:hAnsi="Times New Roman"/>
          <w:sz w:val="19"/>
          <w:szCs w:val="19"/>
          <w:color w:val="222222"/>
        </w:rPr>
        <w:t>[To be specified in individual award agreements]</w:t>
      </w:r>
    </w:p>
    <w:p>
      <w:pPr>
        <w:spacing w:after="0" w:line="200" w:lineRule="exact"/>
        <w:rPr>
          <w:sz w:val="20"/>
          <w:szCs w:val="20"/>
          <w:color w:val="auto"/>
        </w:rPr>
      </w:pPr>
    </w:p>
    <w:p>
      <w:pPr>
        <w:sectPr>
          <w:pgSz w:w="11900" w:h="16838" w:orient="portrait"/>
          <w:cols w:equalWidth="0" w:num="2">
            <w:col w:w="3800" w:space="720"/>
            <w:col w:w="6720"/>
          </w:cols>
          <w:pgMar w:left="320" w:top="450" w:right="339" w:bottom="1440" w:gutter="0" w:footer="0" w:header="0"/>
          <w:type w:val="continuous"/>
        </w:sectPr>
      </w:pPr>
    </w:p>
    <w:p>
      <w:pPr>
        <w:spacing w:after="0" w:line="3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0" w:lineRule="exact"/>
        <w:rPr>
          <w:sz w:val="20"/>
          <w:szCs w:val="20"/>
          <w:color w:val="auto"/>
        </w:rPr>
      </w:pPr>
    </w:p>
    <w:p>
      <w:pPr>
        <w:spacing w:after="0" w:line="210" w:lineRule="exact"/>
        <w:rPr>
          <w:sz w:val="20"/>
          <w:szCs w:val="20"/>
          <w:color w:val="auto"/>
        </w:rPr>
      </w:pPr>
    </w:p>
    <w:p>
      <w:pPr>
        <w:ind w:left="100"/>
        <w:spacing w:after="0"/>
        <w:tabs>
          <w:tab w:leader="none" w:pos="6220" w:val="left"/>
        </w:tabs>
        <w:rPr>
          <w:sz w:val="20"/>
          <w:szCs w:val="20"/>
          <w:color w:val="auto"/>
        </w:rPr>
      </w:pPr>
      <w:r>
        <w:rPr>
          <w:rFonts w:ascii="Times New Roman" w:cs="Times New Roman" w:eastAsia="Times New Roman" w:hAnsi="Times New Roman"/>
          <w:sz w:val="20"/>
          <w:szCs w:val="20"/>
          <w:b w:val="1"/>
          <w:bCs w:val="1"/>
          <w:color w:val="auto"/>
        </w:rPr>
        <w:t>SERES THERAPEUTICS, INC.</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Print Name:</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type w:val="continuous"/>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5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94"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u w:val="single" w:color="auto"/>
          <w:color w:val="auto"/>
        </w:rPr>
        <w:t>1.1</w:t>
      </w:r>
      <w:r>
        <w:rPr>
          <w:sz w:val="20"/>
          <w:szCs w:val="20"/>
          <w:color w:val="auto"/>
        </w:rPr>
        <w:tab/>
      </w:r>
      <w:r>
        <w:rPr>
          <w:rFonts w:ascii="Times New Roman" w:cs="Times New Roman" w:eastAsia="Times New Roman" w:hAnsi="Times New Roman"/>
          <w:sz w:val="19"/>
          <w:szCs w:val="19"/>
          <w:u w:val="single" w:color="auto"/>
          <w:color w:val="auto"/>
        </w:rPr>
        <w:t>Award of RSUs and Dividend Equivalents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49" w:lineRule="auto"/>
        <w:tabs>
          <w:tab w:leader="none" w:pos="299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79" w:lineRule="exact"/>
        <w:rPr>
          <w:rFonts w:ascii="Times New Roman" w:cs="Times New Roman" w:eastAsia="Times New Roman" w:hAnsi="Times New Roman"/>
          <w:sz w:val="20"/>
          <w:szCs w:val="20"/>
          <w:color w:val="auto"/>
        </w:rPr>
      </w:pPr>
    </w:p>
    <w:p>
      <w:pPr>
        <w:jc w:val="both"/>
        <w:ind w:firstLine="1505"/>
        <w:spacing w:after="0" w:line="245" w:lineRule="auto"/>
        <w:tabs>
          <w:tab w:leader="none" w:pos="299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 w:cs="Times New Roman" w:eastAsia="Times New Roman" w:hAnsi="Times New Roman"/>
          <w:sz w:val="20"/>
          <w:szCs w:val="20"/>
          <w:b w:val="1"/>
          <w:bCs w:val="1"/>
          <w:i w:val="1"/>
          <w:iCs w:val="1"/>
          <w:color w:val="auto"/>
        </w:rPr>
        <w:t>Dividend Equivalent Account</w:t>
      </w:r>
      <w:r>
        <w:rPr>
          <w:rFonts w:ascii="Times New Roman" w:cs="Times New Roman" w:eastAsia="Times New Roman" w:hAnsi="Times New Roman"/>
          <w:sz w:val="20"/>
          <w:szCs w:val="20"/>
          <w:color w:val="auto"/>
        </w:rPr>
        <w:t>”) for each Dividend Equivalent and credit the Dividend Equivalent Account (without interest) on the applicable dividend payment date with the amount of any such cash paid.</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1.2 Incorporation of Terms of Plan</w:t>
      </w:r>
      <w:r>
        <w:rPr>
          <w:rFonts w:ascii="Times New Roman" w:cs="Times New Roman" w:eastAsia="Times New Roman" w:hAnsi="Times New Roman"/>
          <w:sz w:val="20"/>
          <w:szCs w:val="20"/>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1.3 Unsecured Promise</w:t>
      </w:r>
      <w:r>
        <w:rPr>
          <w:rFonts w:ascii="Times New Roman" w:cs="Times New Roman" w:eastAsia="Times New Roman" w:hAnsi="Times New Roman"/>
          <w:sz w:val="20"/>
          <w:szCs w:val="20"/>
          <w:color w:val="auto"/>
        </w:rPr>
        <w:t>. The RSUs and Dividend Equivalents will at all times prior to settlement represent an unsecured Company obligation payable only from the Company’s general assets.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1.4 Employment Inducement Award</w:t>
      </w:r>
      <w:r>
        <w:rPr>
          <w:rFonts w:ascii="Times New Roman" w:cs="Times New Roman" w:eastAsia="Times New Roman" w:hAnsi="Times New Roman"/>
          <w:sz w:val="20"/>
          <w:szCs w:val="20"/>
          <w:color w:val="auto"/>
        </w:rPr>
        <w:t>. The RSUs are intended to constitute an “employment inducement award” under NASDAQ Rule 5635(c)(4) that is exempt from the requirements of shareholder approval of equity compensation plans under NASDAQ Rule 5635(c)(4). This agreement and the terms and conditions of the RSUS will be interpreted consistent with such intent.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9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2.1 Vesting; Forfeiture</w:t>
      </w:r>
      <w:r>
        <w:rPr>
          <w:rFonts w:ascii="Times New Roman" w:cs="Times New Roman" w:eastAsia="Times New Roman" w:hAnsi="Times New Roman"/>
          <w:sz w:val="20"/>
          <w:szCs w:val="20"/>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81" w:name="page182"/>
    <w:bookmarkEnd w:id="181"/>
    <w:p>
      <w:pPr>
        <w:ind w:left="760"/>
        <w:spacing w:after="0"/>
        <w:tabs>
          <w:tab w:leader="none" w:pos="1480" w:val="left"/>
        </w:tabs>
        <w:rPr>
          <w:sz w:val="20"/>
          <w:szCs w:val="20"/>
          <w:color w:val="auto"/>
        </w:rPr>
      </w:pPr>
      <w:r>
        <w:rPr>
          <w:rFonts w:ascii="Times New Roman" w:cs="Times New Roman" w:eastAsia="Times New Roman" w:hAnsi="Times New Roman"/>
          <w:sz w:val="20"/>
          <w:szCs w:val="20"/>
          <w:u w:val="single" w:color="auto"/>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45" w:lineRule="auto"/>
        <w:tabs>
          <w:tab w:leader="none" w:pos="299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299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3.1 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74"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u w:val="single" w:color="auto"/>
          <w:color w:val="auto"/>
        </w:rPr>
        <w:t>3.2</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49" w:lineRule="auto"/>
        <w:tabs>
          <w:tab w:leader="none" w:pos="2995"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79" w:lineRule="exact"/>
        <w:rPr>
          <w:rFonts w:ascii="Times New Roman" w:cs="Times New Roman" w:eastAsia="Times New Roman" w:hAnsi="Times New Roman"/>
          <w:sz w:val="20"/>
          <w:szCs w:val="20"/>
          <w:color w:val="auto"/>
        </w:rPr>
      </w:pPr>
    </w:p>
    <w:p>
      <w:pPr>
        <w:jc w:val="both"/>
        <w:ind w:firstLine="1505"/>
        <w:spacing w:after="0" w:line="245" w:lineRule="auto"/>
        <w:tabs>
          <w:tab w:leader="none" w:pos="2995"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Sell to Cover</w:t>
      </w:r>
    </w:p>
    <w:p>
      <w:pPr>
        <w:spacing w:after="0" w:line="229" w:lineRule="exact"/>
        <w:rPr>
          <w:sz w:val="20"/>
          <w:szCs w:val="20"/>
          <w:color w:val="auto"/>
        </w:rPr>
      </w:pPr>
    </w:p>
    <w:p>
      <w:pPr>
        <w:jc w:val="both"/>
        <w:ind w:left="760" w:firstLine="745"/>
        <w:spacing w:after="0" w:line="255" w:lineRule="auto"/>
        <w:tabs>
          <w:tab w:leader="none" w:pos="2257"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By accepting this Award, Participant understands and agrees that as a condition of the grant of the RSUs hereunder, Participant is required to, and hereby affirmatively elects to (the “</w:t>
      </w:r>
      <w:r>
        <w:rPr>
          <w:rFonts w:ascii="Times New Roman" w:cs="Times New Roman" w:eastAsia="Times New Roman" w:hAnsi="Times New Roman"/>
          <w:sz w:val="19"/>
          <w:szCs w:val="19"/>
          <w:b w:val="1"/>
          <w:bCs w:val="1"/>
          <w:i w:val="1"/>
          <w:iCs w:val="1"/>
          <w:color w:val="auto"/>
        </w:rPr>
        <w:t>Sell to Cover Election</w:t>
      </w:r>
      <w:r>
        <w:rPr>
          <w:rFonts w:ascii="Times New Roman" w:cs="Times New Roman" w:eastAsia="Times New Roman" w:hAnsi="Times New Roman"/>
          <w:sz w:val="19"/>
          <w:szCs w:val="19"/>
          <w:color w:val="auto"/>
        </w:rPr>
        <w:t>”), (1) sell that number of Shares determined in accordance with this Section 3.2(c) as may be necessary to satisfy all applicable withholding obligations with respect to any taxable event arising in connection with the RSUs and similarly sell such number of Shares as may be necessary to satisfy all applicable withholding obligations with respect to any other awards of restricted stock units granted to Participant under the Plan or any other equity incentive plans of the Company or its predecessor, and (2) to allow the transfer agent (together with any other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|US-DOCS\137823120.2||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2" w:name="page183"/>
    <w:bookmarkEnd w:id="182"/>
    <w:p>
      <w:pPr>
        <w:jc w:val="both"/>
        <w:ind w:left="760"/>
        <w:spacing w:after="0" w:line="256" w:lineRule="auto"/>
        <w:rPr>
          <w:sz w:val="20"/>
          <w:szCs w:val="20"/>
          <w:color w:val="auto"/>
        </w:rPr>
      </w:pPr>
      <w:r>
        <w:rPr>
          <w:rFonts w:ascii="Times New Roman" w:cs="Times New Roman" w:eastAsia="Times New Roman" w:hAnsi="Times New Roman"/>
          <w:sz w:val="20"/>
          <w:szCs w:val="20"/>
          <w:color w:val="auto"/>
        </w:rPr>
        <w:t>the Company determines necessary to execute the Sell to Cover Election, the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to remit the cash proceeds of such sale(s) to the Company. Furthermore, Participant directs the Company to make a cash payment equal to the required tax withholding from the cash proceeds of such sale(s) directly to the appropriate taxing authorities.</w:t>
      </w:r>
    </w:p>
    <w:p>
      <w:pPr>
        <w:spacing w:after="0" w:line="186" w:lineRule="exact"/>
        <w:rPr>
          <w:sz w:val="20"/>
          <w:szCs w:val="20"/>
          <w:color w:val="auto"/>
        </w:rPr>
      </w:pPr>
    </w:p>
    <w:p>
      <w:pPr>
        <w:jc w:val="both"/>
        <w:ind w:left="760" w:firstLine="745"/>
        <w:spacing w:after="0" w:line="239" w:lineRule="auto"/>
        <w:tabs>
          <w:tab w:leader="none" w:pos="2257"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Participant hereby appoints the Agent as Participant’s agent and authorizes the Agent to (1) sell on the open market at the then prevailing market price(s), on the Participant’s behalf, as soon as practicable on or after the date the Shares are issued upon the vesting of the RSUs, that number (rounded up to the next whole number) of the Shares so issued necessary to generate proceeds to cover (x) any tax withholding obligations incurred with respect to such vesting or issuance and (y) all applicable fees and commissions due to, or required to be collected by, the Agent with respect thereto and (2) apply any remaining funds to Participant’s tax withholding obligations hereunder. Participant hereby authorizes the Company and the Agent to cooperate and communicate with one another to determine the number of Shares that must be sold pursuant to this Section 3.2(c) (ii). Participant understands that the Agent may effect sales as provided in this Section 3.2(c)(ii) in one or more sales and that the average price for executions resulting from bunched orders will be assigned to Participant’s account. In addition, Participant acknowledges that it may not be possible to sell Shares as provided by this Section 3.2(c)(ii) due to (1) a legal or contractual restriction applicable to Participant or the Agent, (2) a market disruption, or (3) rules governing order execution priority on the national exchange where the Shares may be traded. Participant further agrees and acknowledges that in the event the sale of Shares would result in material adverse harm to the Company, as determined by the Company in its sole discretion, the Company may instruct the Agent not to sell Shares as provided by this Section 3.2(c)(ii). In the event of the Agent’s inability to sell Shares, the Participant will continue to be responsible for the timely payment to the Company and/or its affiliates of all federal, state, local and foreign taxes that are required by applicable laws and regulations to be withheld, including but not limited to those amounts specified in this Section 3.2(c)(ii). Participant acknowledges that regardless of any other term or condition of this Section 3.2(c), the Agent will not be liable to Participant for (1) special, indirect, punitive, exemplary, or consequential damages, or incidental losses or damages of any kind, or (2) any failure to perform or for any delay in performance that results from a cause or circumstance that is beyond its reasonable control. Participant hereby agrees to execute and deliver to the Agent any other agreements or documents as the Agent reasonably deems necessary or appropriate to carry out the purposes and intent of this Section 3.2(c). The Agent is a third-party beneficiary of this Section 3.2(c). This Section 3.2(c) shall terminate not later than the date on which all tax withholding obligations arising in connection with the Award have been satisfied.</w:t>
      </w:r>
    </w:p>
    <w:p>
      <w:pPr>
        <w:spacing w:after="0" w:line="213" w:lineRule="exact"/>
        <w:rPr>
          <w:rFonts w:ascii="Times New Roman" w:cs="Times New Roman" w:eastAsia="Times New Roman" w:hAnsi="Times New Roman"/>
          <w:sz w:val="22"/>
          <w:szCs w:val="22"/>
          <w:color w:val="auto"/>
        </w:rPr>
      </w:pPr>
    </w:p>
    <w:p>
      <w:pPr>
        <w:jc w:val="both"/>
        <w:ind w:left="760" w:firstLine="745"/>
        <w:spacing w:after="0"/>
        <w:tabs>
          <w:tab w:leader="none" w:pos="2257"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Participant has carefully reviewed this Section 3.2(c) and Participant hereby represents and warrants that on the date hereof he or she is not aware of any material, nonpublic information with respect to the Company or any securities of the Company, is not subject to any legal, regulatory or contractual restriction that would prevent the Agent from conducting sales, does not have, and will not attempt to exercise, authority, influence or control over any sales of Shares effected by the Agent pursuant to the Agreement, and is entering into the Agreement and this election to “sell to cover” in good faith and not as part of a plan or scheme to evade the prohibitions of Rule 10b5-1 (regarding trading of the Company’s securities on the basis of material nonpublic information) under the Exchange Act. It is Participant’s intent that this election to “sell to cover” comply with the requirements of Rule 10b5-1(c)(1)(i)(B) under the Exchange Act and be interpreted to comply with the requirements of Rule 10b5-1(c) under the Exchange Act</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|US-DOCS\137823120.2||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4.1 Adjustments</w:t>
      </w:r>
      <w:r>
        <w:rPr>
          <w:rFonts w:ascii="Times New Roman" w:cs="Times New Roman" w:eastAsia="Times New Roman" w:hAnsi="Times New Roman"/>
          <w:sz w:val="20"/>
          <w:szCs w:val="20"/>
          <w:color w:val="auto"/>
        </w:rPr>
        <w:t>. Participant acknowledges that the RSUs, the Shares subject to the RSUs and the Dividend Equivalents are subject to adjustment, modification and termination in certain events as provided in this Agreement and the Plan.</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4.2 Notices</w:t>
      </w:r>
      <w:r>
        <w:rPr>
          <w:rFonts w:ascii="Times New Roman" w:cs="Times New Roman" w:eastAsia="Times New Roman" w:hAnsi="Times New Roman"/>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4.3 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4.4 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4.5 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4.6 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4.7 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4.8 Agreement Severable</w:t>
      </w:r>
      <w:r>
        <w:rPr>
          <w:rFonts w:ascii="Times New Roman" w:cs="Times New Roman" w:eastAsia="Times New Roman" w:hAnsi="Times New Roman"/>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4.9 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|US-DOCS\137823120.2||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84" w:name="page185"/>
    <w:bookmarkEnd w:id="184"/>
    <w:p>
      <w:pPr>
        <w:jc w:val="both"/>
        <w:spacing w:after="0" w:line="249" w:lineRule="auto"/>
        <w:rPr>
          <w:sz w:val="20"/>
          <w:szCs w:val="20"/>
          <w:color w:val="auto"/>
        </w:rPr>
      </w:pPr>
      <w:r>
        <w:rPr>
          <w:rFonts w:ascii="Times New Roman" w:cs="Times New Roman" w:eastAsia="Times New Roman" w:hAnsi="Times New Roman"/>
          <w:sz w:val="20"/>
          <w:szCs w:val="20"/>
          <w:color w:val="auto"/>
        </w:rPr>
        <w:t>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4.10 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5"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4.11 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|US-DOCS\137823120.2||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eres</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effective February 17, 2023)(the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Seres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receive cash and equity compensation as set forth in this Non-Employee Director Compensation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The cash and equity compensation described in this Program shall be paid or be made, as applicable, automatically and without further action of the Board (other than the determination by the Compensation and Talent Committee of the number of shares subject to an Initial Award as set forth in Section II(A)), to each member of the Board who is not an employee of the Company or any parent or subsidiary of the Company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w:t>
      </w:r>
    </w:p>
    <w:p>
      <w:pPr>
        <w:spacing w:after="0" w:line="174" w:lineRule="exact"/>
        <w:rPr>
          <w:sz w:val="20"/>
          <w:szCs w:val="20"/>
          <w:color w:val="auto"/>
        </w:rPr>
      </w:pPr>
    </w:p>
    <w:p>
      <w:pPr>
        <w:ind w:left="440" w:hanging="432"/>
        <w:spacing w:after="0"/>
        <w:tabs>
          <w:tab w:leader="none" w:pos="44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10" w:lineRule="exact"/>
        <w:rPr>
          <w:rFonts w:ascii="Times New Roman" w:cs="Times New Roman" w:eastAsia="Times New Roman" w:hAnsi="Times New Roman"/>
          <w:sz w:val="22"/>
          <w:szCs w:val="22"/>
          <w:b w:val="1"/>
          <w:bCs w:val="1"/>
          <w:color w:val="auto"/>
        </w:rPr>
      </w:pPr>
    </w:p>
    <w:p>
      <w:pPr>
        <w:ind w:left="1940" w:hanging="435"/>
        <w:spacing w:after="0"/>
        <w:tabs>
          <w:tab w:leader="none" w:pos="1940"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Retainers</w:t>
      </w:r>
      <w:r>
        <w:rPr>
          <w:rFonts w:ascii="Times New Roman" w:cs="Times New Roman" w:eastAsia="Times New Roman" w:hAnsi="Times New Roman"/>
          <w:sz w:val="21"/>
          <w:szCs w:val="21"/>
          <w:color w:val="auto"/>
        </w:rPr>
        <w:t>. Each Non-Employee Director shall receive an annual retainer of $45,000 for service on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Board.</w:t>
      </w:r>
    </w:p>
    <w:p>
      <w:pPr>
        <w:spacing w:after="0" w:line="182"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Annual Retainers</w:t>
      </w:r>
      <w:r>
        <w:rPr>
          <w:rFonts w:ascii="Times New Roman" w:cs="Times New Roman" w:eastAsia="Times New Roman" w:hAnsi="Times New Roman"/>
          <w:sz w:val="21"/>
          <w:szCs w:val="21"/>
          <w:color w:val="auto"/>
        </w:rPr>
        <w:t>. In addition, each Non-Employee Director shall receive the following annual</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retainers:</w:t>
      </w:r>
    </w:p>
    <w:p>
      <w:pPr>
        <w:spacing w:after="0" w:line="178" w:lineRule="exact"/>
        <w:rPr>
          <w:rFonts w:ascii="Times New Roman" w:cs="Times New Roman" w:eastAsia="Times New Roman" w:hAnsi="Times New Roman"/>
          <w:sz w:val="21"/>
          <w:szCs w:val="21"/>
          <w:color w:val="auto"/>
        </w:rPr>
      </w:pPr>
    </w:p>
    <w:p>
      <w:pPr>
        <w:ind w:firstLine="2254"/>
        <w:spacing w:after="0" w:line="262" w:lineRule="auto"/>
        <w:tabs>
          <w:tab w:leader="none" w:pos="2746"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Chairman of the Board or Lead Independent Director</w:t>
      </w:r>
      <w:r>
        <w:rPr>
          <w:rFonts w:ascii="Times New Roman" w:cs="Times New Roman" w:eastAsia="Times New Roman" w:hAnsi="Times New Roman"/>
          <w:sz w:val="22"/>
          <w:szCs w:val="22"/>
          <w:color w:val="auto"/>
        </w:rPr>
        <w:t>. A Non-Employee Director serving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Chairman of the Board or Lead Independent Director shall receive an additional annual retainer of $35,000 for such service.</w:t>
      </w:r>
    </w:p>
    <w:p>
      <w:pPr>
        <w:spacing w:after="0" w:line="149" w:lineRule="exact"/>
        <w:rPr>
          <w:rFonts w:ascii="Times New Roman" w:cs="Times New Roman" w:eastAsia="Times New Roman" w:hAnsi="Times New Roman"/>
          <w:sz w:val="22"/>
          <w:szCs w:val="22"/>
          <w:color w:val="auto"/>
        </w:rPr>
      </w:pPr>
    </w:p>
    <w:p>
      <w:pPr>
        <w:jc w:val="both"/>
        <w:ind w:firstLine="2254"/>
        <w:spacing w:after="0" w:line="246" w:lineRule="auto"/>
        <w:tabs>
          <w:tab w:leader="none" w:pos="2678"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Audit Committee</w:t>
      </w:r>
      <w:r>
        <w:rPr>
          <w:rFonts w:ascii="Times New Roman" w:cs="Times New Roman" w:eastAsia="Times New Roman" w:hAnsi="Times New Roman"/>
          <w:sz w:val="22"/>
          <w:szCs w:val="22"/>
          <w:color w:val="auto"/>
        </w:rPr>
        <w:t>. A Non-Employee Director serving as Chairperson of the Audit Committee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 an additional annual retainer of $20,000 for such service. A Non-Employee Director serving as a member other than the Chairperson of the Audit Committee shall receive an additional annual retainer of $10,000 for such service.</w:t>
      </w:r>
    </w:p>
    <w:p>
      <w:pPr>
        <w:spacing w:after="0" w:line="167" w:lineRule="exact"/>
        <w:rPr>
          <w:rFonts w:ascii="Times New Roman" w:cs="Times New Roman" w:eastAsia="Times New Roman" w:hAnsi="Times New Roman"/>
          <w:sz w:val="22"/>
          <w:szCs w:val="22"/>
          <w:color w:val="auto"/>
        </w:rPr>
      </w:pPr>
    </w:p>
    <w:p>
      <w:pPr>
        <w:jc w:val="both"/>
        <w:ind w:firstLine="2254"/>
        <w:spacing w:after="0" w:line="241" w:lineRule="auto"/>
        <w:tabs>
          <w:tab w:leader="none" w:pos="2692"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 and Talent Committee</w:t>
      </w:r>
      <w:r>
        <w:rPr>
          <w:rFonts w:ascii="Times New Roman" w:cs="Times New Roman" w:eastAsia="Times New Roman" w:hAnsi="Times New Roman"/>
          <w:sz w:val="22"/>
          <w:szCs w:val="22"/>
          <w:color w:val="auto"/>
        </w:rPr>
        <w:t>. A Non-Employee Director serving as Chairperson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and Talent Committee shall receive an additional annual retainer of $15,000 for such service. A Non-Employee Director serving as a member other than the Chairperson of the Compensation and Talent Committee shall receive an additional annual retainer of $7,500 for such service.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|US-DOCS\138718768.2||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6" w:name="page187"/>
    <w:bookmarkEnd w:id="186"/>
    <w:p>
      <w:pPr>
        <w:jc w:val="both"/>
        <w:ind w:firstLine="2254"/>
        <w:spacing w:after="0"/>
        <w:tabs>
          <w:tab w:leader="none" w:pos="2786" w:val="left"/>
        </w:tabs>
        <w:numPr>
          <w:ilvl w:val="2"/>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Nominating and Corporate Governance Committee</w:t>
      </w:r>
      <w:r>
        <w:rPr>
          <w:rFonts w:ascii="Times New Roman" w:cs="Times New Roman" w:eastAsia="Times New Roman" w:hAnsi="Times New Roman"/>
          <w:sz w:val="22"/>
          <w:szCs w:val="22"/>
          <w:color w:val="auto"/>
        </w:rPr>
        <w:t>. A Non-Employee Director serving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Chairperson of the Nominating and Corporate Governance Committee shall receive an additional annual retainer of $10,000 for such service. A Non-Employee Director serving as a member other than the Chairperson of the Nominating and Corporate Governance Committee shall receive an additional annual retainer of $5,000 for such service.</w:t>
      </w:r>
    </w:p>
    <w:p>
      <w:pPr>
        <w:spacing w:after="0" w:line="174" w:lineRule="exact"/>
        <w:rPr>
          <w:rFonts w:ascii="Times New Roman" w:cs="Times New Roman" w:eastAsia="Times New Roman" w:hAnsi="Times New Roman"/>
          <w:sz w:val="22"/>
          <w:szCs w:val="22"/>
          <w:color w:val="auto"/>
        </w:rPr>
      </w:pPr>
    </w:p>
    <w:p>
      <w:pPr>
        <w:jc w:val="both"/>
        <w:ind w:firstLine="2254"/>
        <w:spacing w:after="0" w:line="241" w:lineRule="auto"/>
        <w:tabs>
          <w:tab w:leader="none" w:pos="2678" w:val="left"/>
        </w:tabs>
        <w:numPr>
          <w:ilvl w:val="2"/>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Science and Clinical Development Committee</w:t>
      </w:r>
      <w:r>
        <w:rPr>
          <w:rFonts w:ascii="Times New Roman" w:cs="Times New Roman" w:eastAsia="Times New Roman" w:hAnsi="Times New Roman"/>
          <w:sz w:val="22"/>
          <w:szCs w:val="22"/>
          <w:color w:val="auto"/>
        </w:rPr>
        <w:t>. A Non-Employee Director serving as Chairperson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Science and Clinical Development Committee shall receive an additional annual retainer of $15,000 for such service. A Non-Employee Director serving as a member other than the Chairperson of the Science and Clinical Development Committee shall receive an additional annual retainer of $7,500 for such service.</w:t>
      </w:r>
    </w:p>
    <w:p>
      <w:pPr>
        <w:spacing w:after="0" w:line="175" w:lineRule="exact"/>
        <w:rPr>
          <w:rFonts w:ascii="Times New Roman" w:cs="Times New Roman" w:eastAsia="Times New Roman" w:hAnsi="Times New Roman"/>
          <w:sz w:val="22"/>
          <w:szCs w:val="22"/>
          <w:color w:val="auto"/>
        </w:rPr>
      </w:pPr>
    </w:p>
    <w:p>
      <w:pPr>
        <w:jc w:val="both"/>
        <w:ind w:firstLine="872"/>
        <w:spacing w:after="0" w:line="236" w:lineRule="auto"/>
        <w:tabs>
          <w:tab w:leader="none" w:pos="135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Retainers</w:t>
      </w:r>
      <w:r>
        <w:rPr>
          <w:rFonts w:ascii="Times New Roman" w:cs="Times New Roman" w:eastAsia="Times New Roman" w:hAnsi="Times New Roman"/>
          <w:sz w:val="22"/>
          <w:szCs w:val="22"/>
          <w:color w:val="auto"/>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204"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Non-Employee Directors shall be granted the equity awards described below. The awards described below shall be granted under and shall be subject to the terms and provisions of the Company’s 2015 Incentive Award Plan or any other applicable Company equity incentive plan then-maintained by the Company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spacing w:after="0" w:line="183" w:lineRule="exact"/>
        <w:rPr>
          <w:sz w:val="20"/>
          <w:szCs w:val="20"/>
          <w:color w:val="auto"/>
        </w:rPr>
      </w:pPr>
    </w:p>
    <w:p>
      <w:pPr>
        <w:jc w:val="both"/>
        <w:ind w:firstLine="1189"/>
        <w:spacing w:after="0" w:line="236" w:lineRule="auto"/>
        <w:tabs>
          <w:tab w:leader="none" w:pos="168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Non-Employee Director who is initially elected or appointed to the Board after the Effective Date shall receive an option to purchase shares of the Company’s common stock on the date of such initial election or appointment in an amount determined by the Compensation and Talent Committee prior to such initial election or appointment and subject to the terms and provisions of the Equity Plan, including without limitation Section IV.(e) thereto. The awards described in this Section II(A) shall be referred to as “</w:t>
      </w:r>
      <w:r>
        <w:rPr>
          <w:rFonts w:ascii="Times New Roman" w:cs="Times New Roman" w:eastAsia="Times New Roman" w:hAnsi="Times New Roman"/>
          <w:sz w:val="22"/>
          <w:szCs w:val="22"/>
          <w:b w:val="1"/>
          <w:bCs w:val="1"/>
          <w:i w:val="1"/>
          <w:iCs w:val="1"/>
          <w:color w:val="auto"/>
        </w:rPr>
        <w:t>Initial Awards</w:t>
      </w:r>
      <w:r>
        <w:rPr>
          <w:rFonts w:ascii="Times New Roman" w:cs="Times New Roman" w:eastAsia="Times New Roman" w:hAnsi="Times New Roman"/>
          <w:sz w:val="22"/>
          <w:szCs w:val="22"/>
          <w:color w:val="auto"/>
        </w:rPr>
        <w:t>.” No Non-Employee Director shall be granted more than one Initial Award.</w:t>
      </w:r>
    </w:p>
    <w:p>
      <w:pPr>
        <w:spacing w:after="0" w:line="181" w:lineRule="exact"/>
        <w:rPr>
          <w:rFonts w:ascii="Times New Roman" w:cs="Times New Roman" w:eastAsia="Times New Roman" w:hAnsi="Times New Roman"/>
          <w:sz w:val="22"/>
          <w:szCs w:val="22"/>
          <w:color w:val="auto"/>
        </w:rPr>
      </w:pPr>
    </w:p>
    <w:p>
      <w:pPr>
        <w:jc w:val="both"/>
        <w:ind w:firstLine="1189"/>
        <w:spacing w:after="0" w:line="239" w:lineRule="auto"/>
        <w:tabs>
          <w:tab w:leader="none" w:pos="162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Awards</w:t>
      </w:r>
      <w:r>
        <w:rPr>
          <w:rFonts w:ascii="Times New Roman" w:cs="Times New Roman" w:eastAsia="Times New Roman" w:hAnsi="Times New Roman"/>
          <w:sz w:val="22"/>
          <w:szCs w:val="22"/>
          <w:color w:val="auto"/>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be automatically granted an option to purchase 35,000 shares of the Company’s common stock on the date of such annual meeting. The awards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|US-DOCS\138718768.2||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87" w:name="page188"/>
    <w:bookmarkEnd w:id="187"/>
    <w:p>
      <w:pPr>
        <w:jc w:val="both"/>
        <w:spacing w:after="0" w:line="246" w:lineRule="auto"/>
        <w:rPr>
          <w:sz w:val="20"/>
          <w:szCs w:val="20"/>
          <w:color w:val="auto"/>
        </w:rPr>
      </w:pPr>
      <w:r>
        <w:rPr>
          <w:rFonts w:ascii="Times New Roman" w:cs="Times New Roman" w:eastAsia="Times New Roman" w:hAnsi="Times New Roman"/>
          <w:sz w:val="22"/>
          <w:szCs w:val="22"/>
          <w:color w:val="auto"/>
        </w:rPr>
        <w:t>described in this Section II(B) shall be referred to as “</w:t>
      </w:r>
      <w:r>
        <w:rPr>
          <w:rFonts w:ascii="Times New Roman" w:cs="Times New Roman" w:eastAsia="Times New Roman" w:hAnsi="Times New Roman"/>
          <w:sz w:val="22"/>
          <w:szCs w:val="22"/>
          <w:b w:val="1"/>
          <w:bCs w:val="1"/>
          <w:i w:val="1"/>
          <w:iCs w:val="1"/>
          <w:color w:val="auto"/>
        </w:rPr>
        <w:t>Subsequent Awards</w:t>
      </w:r>
      <w:r>
        <w:rPr>
          <w:rFonts w:ascii="Times New Roman" w:cs="Times New Roman" w:eastAsia="Times New Roman" w:hAnsi="Times New Roman"/>
          <w:sz w:val="22"/>
          <w:szCs w:val="22"/>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99" w:lineRule="exact"/>
        <w:rPr>
          <w:sz w:val="20"/>
          <w:szCs w:val="20"/>
          <w:color w:val="auto"/>
        </w:rPr>
      </w:pPr>
    </w:p>
    <w:p>
      <w:pPr>
        <w:jc w:val="both"/>
        <w:ind w:firstLine="1505"/>
        <w:spacing w:after="0" w:line="238" w:lineRule="auto"/>
        <w:tabs>
          <w:tab w:leader="none" w:pos="192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of Employee Directors</w:t>
      </w:r>
      <w:r>
        <w:rPr>
          <w:rFonts w:ascii="Times New Roman" w:cs="Times New Roman" w:eastAsia="Times New Roman" w:hAnsi="Times New Roman"/>
          <w:sz w:val="22"/>
          <w:szCs w:val="22"/>
          <w:color w:val="auto"/>
        </w:rPr>
        <w:t>. Members of the Board who are employees of the Company or any parent or subsidiary of the Company who subsequently terminate their service with the Company and any parent or subsidiary of the Company and remain on the Board will not receive an Initial Award pursuant to Section II(A) above, but to the extent that they are otherwise entitled, will receive, after termination from service with the Company and any parent or subsidiary of the Company, Subsequent Awards as described in Section II(B) above.</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Awards Granted to Non-Employee Directors</w:t>
      </w:r>
    </w:p>
    <w:p>
      <w:pPr>
        <w:spacing w:after="0" w:line="202" w:lineRule="exact"/>
        <w:rPr>
          <w:rFonts w:ascii="Times New Roman" w:cs="Times New Roman" w:eastAsia="Times New Roman" w:hAnsi="Times New Roman"/>
          <w:sz w:val="22"/>
          <w:szCs w:val="22"/>
          <w:color w:val="auto"/>
        </w:rPr>
      </w:pPr>
    </w:p>
    <w:p>
      <w:pPr>
        <w:ind w:firstLine="1621"/>
        <w:spacing w:after="0" w:line="262" w:lineRule="auto"/>
        <w:tabs>
          <w:tab w:leader="none" w:pos="2126"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The per share exercise price of each option granted to a Non-Employee Director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equal the Fair Market Value (as defined in the Equity Plan) of a share of common stock on the date the option is granted.</w:t>
      </w:r>
    </w:p>
    <w:p>
      <w:pPr>
        <w:spacing w:after="0" w:line="149" w:lineRule="exact"/>
        <w:rPr>
          <w:rFonts w:ascii="Times New Roman" w:cs="Times New Roman" w:eastAsia="Times New Roman" w:hAnsi="Times New Roman"/>
          <w:sz w:val="22"/>
          <w:szCs w:val="22"/>
          <w:color w:val="auto"/>
        </w:rPr>
      </w:pPr>
    </w:p>
    <w:p>
      <w:pPr>
        <w:jc w:val="both"/>
        <w:ind w:firstLine="1621"/>
        <w:spacing w:after="0" w:line="234" w:lineRule="auto"/>
        <w:tabs>
          <w:tab w:leader="none" w:pos="2193"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 Each Initial Award shall vest and become exercisable in four substantially equal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installments following the date of grant, such that the Initial Award shall be fully vested on the fourth anniversary of the date of grant, subject to the Non-Employee Director continuing in service as a Non-Employee Director through each such vesting date. Each Subsequent Award shall vest and become exercisable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pacing w:after="0" w:line="175" w:lineRule="exact"/>
        <w:rPr>
          <w:rFonts w:ascii="Times New Roman" w:cs="Times New Roman" w:eastAsia="Times New Roman" w:hAnsi="Times New Roman"/>
          <w:sz w:val="22"/>
          <w:szCs w:val="22"/>
          <w:color w:val="auto"/>
        </w:rPr>
      </w:pPr>
    </w:p>
    <w:p>
      <w:pPr>
        <w:ind w:firstLine="2254"/>
        <w:spacing w:after="0" w:line="262" w:lineRule="auto"/>
        <w:tabs>
          <w:tab w:leader="none" w:pos="2692" w:val="left"/>
        </w:tabs>
        <w:numPr>
          <w:ilvl w:val="2"/>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The maximum term of each stock option granted to a Non-Employee Director hereunder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ten (10) years from the date the option is granted.</w:t>
      </w:r>
    </w:p>
    <w:p>
      <w:pPr>
        <w:spacing w:after="0" w:line="153" w:lineRule="exact"/>
        <w:rPr>
          <w:rFonts w:ascii="Times New Roman" w:cs="Times New Roman" w:eastAsia="Times New Roman" w:hAnsi="Times New Roman"/>
          <w:sz w:val="22"/>
          <w:szCs w:val="22"/>
          <w:color w:val="auto"/>
        </w:rPr>
      </w:pPr>
    </w:p>
    <w:p>
      <w:pPr>
        <w:ind w:left="5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|US-DOCS\138718768.2||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8" w:name="page189"/>
    <w:bookmarkEnd w:id="188"/>
    <w:p>
      <w:pPr>
        <w:jc w:val="right"/>
        <w:spacing w:after="0"/>
        <w:rPr>
          <w:sz w:val="20"/>
          <w:szCs w:val="20"/>
          <w:color w:val="auto"/>
        </w:rPr>
      </w:pPr>
      <w:r>
        <w:rPr>
          <w:rFonts w:ascii="Calibri" w:cs="Calibri" w:eastAsia="Calibri" w:hAnsi="Calibri"/>
          <w:sz w:val="18"/>
          <w:szCs w:val="18"/>
          <w:b w:val="1"/>
          <w:bCs w:val="1"/>
          <w:color w:val="auto"/>
        </w:rPr>
        <w:t>Exhibit 10.28</w:t>
      </w:r>
    </w:p>
    <w:p>
      <w:pPr>
        <w:spacing w:after="0" w:line="242" w:lineRule="exact"/>
        <w:rPr>
          <w:sz w:val="20"/>
          <w:szCs w:val="20"/>
          <w:color w:val="auto"/>
        </w:rPr>
      </w:pPr>
    </w:p>
    <w:p>
      <w:pPr>
        <w:ind w:right="140" w:firstLine="8"/>
        <w:spacing w:after="0" w:line="234" w:lineRule="auto"/>
        <w:tabs>
          <w:tab w:leader="none" w:pos="473" w:val="left"/>
        </w:tabs>
        <w:numPr>
          <w:ilvl w:val="0"/>
          <w:numId w:val="152"/>
        </w:numPr>
        <w:rPr>
          <w:rFonts w:ascii="Calibri" w:cs="Calibri" w:eastAsia="Calibri" w:hAnsi="Calibri"/>
          <w:sz w:val="20"/>
          <w:szCs w:val="20"/>
          <w:color w:val="auto"/>
        </w:rPr>
      </w:pPr>
      <w:r>
        <w:rPr>
          <w:rFonts w:ascii="Calibri" w:cs="Calibri" w:eastAsia="Calibri" w:hAnsi="Calibri"/>
          <w:sz w:val="20"/>
          <w:szCs w:val="20"/>
          <w:color w:val="auto"/>
        </w:rPr>
        <w:t>Certain informaton in this document has been excluded pursuant to Regulaton S-K, Item (601)(b)(10). Such excluded informaton is both (i) not material and (ii) the type that the Registrant treats as private or confdental.</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AMENDMENT TO LONG TERM MANUFACTURING AGREEMENT</w:t>
      </w:r>
    </w:p>
    <w:p>
      <w:pPr>
        <w:spacing w:after="0" w:line="211"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THIS AMENDMENT </w:t>
      </w:r>
      <w:r>
        <w:rPr>
          <w:rFonts w:ascii="Calibri" w:cs="Calibri" w:eastAsia="Calibri" w:hAnsi="Calibri"/>
          <w:sz w:val="20"/>
          <w:szCs w:val="20"/>
          <w:color w:val="auto"/>
        </w:rPr>
        <w:t>(the “</w:t>
      </w:r>
      <w:r>
        <w:rPr>
          <w:rFonts w:ascii="Calibri" w:cs="Calibri" w:eastAsia="Calibri" w:hAnsi="Calibri"/>
          <w:sz w:val="20"/>
          <w:szCs w:val="20"/>
          <w:b w:val="1"/>
          <w:bCs w:val="1"/>
          <w:color w:val="auto"/>
        </w:rPr>
        <w:t>Amendment</w:t>
      </w:r>
      <w:r>
        <w:rPr>
          <w:rFonts w:ascii="Calibri" w:cs="Calibri" w:eastAsia="Calibri" w:hAnsi="Calibri"/>
          <w:sz w:val="20"/>
          <w:szCs w:val="20"/>
          <w:color w:val="auto"/>
        </w:rPr>
        <w:t>”), to that certain Long Term Manufacturing Agreement by and between Seres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Therapeutcs, Inc. and BacThera AG, dated as of November 8, 2021 (the “</w:t>
      </w:r>
      <w:r>
        <w:rPr>
          <w:rFonts w:ascii="Calibri" w:cs="Calibri" w:eastAsia="Calibri" w:hAnsi="Calibri"/>
          <w:sz w:val="20"/>
          <w:szCs w:val="20"/>
          <w:b w:val="1"/>
          <w:bCs w:val="1"/>
          <w:color w:val="auto"/>
        </w:rPr>
        <w:t>LTMA</w:t>
      </w:r>
      <w:r>
        <w:rPr>
          <w:rFonts w:ascii="Calibri" w:cs="Calibri" w:eastAsia="Calibri" w:hAnsi="Calibri"/>
          <w:sz w:val="20"/>
          <w:szCs w:val="20"/>
          <w:color w:val="auto"/>
        </w:rPr>
        <w:t>”), is made and entered into as of December 14, 2022 by and between Seres Therapeutcs, Inc. (“</w:t>
      </w:r>
      <w:r>
        <w:rPr>
          <w:rFonts w:ascii="Calibri" w:cs="Calibri" w:eastAsia="Calibri" w:hAnsi="Calibri"/>
          <w:sz w:val="20"/>
          <w:szCs w:val="20"/>
          <w:b w:val="1"/>
          <w:bCs w:val="1"/>
          <w:color w:val="auto"/>
        </w:rPr>
        <w:t>Seres</w:t>
      </w:r>
      <w:r>
        <w:rPr>
          <w:rFonts w:ascii="Calibri" w:cs="Calibri" w:eastAsia="Calibri" w:hAnsi="Calibri"/>
          <w:sz w:val="20"/>
          <w:szCs w:val="20"/>
          <w:color w:val="auto"/>
        </w:rPr>
        <w:t>”), a corporaton organized and existng under the laws of Delaware, having its principal place of business at 200 Sidney Street, Cambridge, MA 02139, USA; and BacThera AG, a joint venture between Chr. Hansen A/S and Capsugel Belgium NV, a Lonza Group Afliate, (“</w:t>
      </w:r>
      <w:r>
        <w:rPr>
          <w:rFonts w:ascii="Calibri" w:cs="Calibri" w:eastAsia="Calibri" w:hAnsi="Calibri"/>
          <w:sz w:val="20"/>
          <w:szCs w:val="20"/>
          <w:b w:val="1"/>
          <w:bCs w:val="1"/>
          <w:color w:val="auto"/>
        </w:rPr>
        <w:t>Lonza</w:t>
      </w:r>
      <w:r>
        <w:rPr>
          <w:rFonts w:ascii="Calibri" w:cs="Calibri" w:eastAsia="Calibri" w:hAnsi="Calibri"/>
          <w:sz w:val="20"/>
          <w:szCs w:val="20"/>
          <w:color w:val="auto"/>
        </w:rPr>
        <w:t>”), having a place of business at Hochbergerstrasse 60A, 4057 Basel, Switzerland (“</w:t>
      </w:r>
      <w:r>
        <w:rPr>
          <w:rFonts w:ascii="Calibri" w:cs="Calibri" w:eastAsia="Calibri" w:hAnsi="Calibri"/>
          <w:sz w:val="20"/>
          <w:szCs w:val="20"/>
          <w:b w:val="1"/>
          <w:bCs w:val="1"/>
          <w:color w:val="auto"/>
        </w:rPr>
        <w:t>Bacthera</w:t>
      </w:r>
      <w:r>
        <w:rPr>
          <w:rFonts w:ascii="Calibri" w:cs="Calibri" w:eastAsia="Calibri" w:hAnsi="Calibri"/>
          <w:sz w:val="20"/>
          <w:szCs w:val="20"/>
          <w:color w:val="auto"/>
        </w:rPr>
        <w:t>”). Seres and Bacthera may be referred to herein individually as a “</w:t>
      </w:r>
      <w:r>
        <w:rPr>
          <w:rFonts w:ascii="Calibri" w:cs="Calibri" w:eastAsia="Calibri" w:hAnsi="Calibri"/>
          <w:sz w:val="20"/>
          <w:szCs w:val="20"/>
          <w:b w:val="1"/>
          <w:bCs w:val="1"/>
          <w:color w:val="auto"/>
        </w:rPr>
        <w:t>Party</w:t>
      </w:r>
      <w:r>
        <w:rPr>
          <w:rFonts w:ascii="Calibri" w:cs="Calibri" w:eastAsia="Calibri" w:hAnsi="Calibri"/>
          <w:sz w:val="20"/>
          <w:szCs w:val="20"/>
          <w:color w:val="auto"/>
        </w:rPr>
        <w:t>” or collectvely as the “</w:t>
      </w:r>
      <w:r>
        <w:rPr>
          <w:rFonts w:ascii="Calibri" w:cs="Calibri" w:eastAsia="Calibri" w:hAnsi="Calibri"/>
          <w:sz w:val="20"/>
          <w:szCs w:val="20"/>
          <w:b w:val="1"/>
          <w:bCs w:val="1"/>
          <w:color w:val="auto"/>
        </w:rPr>
        <w:t>Partes</w:t>
      </w:r>
      <w:r>
        <w:rPr>
          <w:rFonts w:ascii="Calibri" w:cs="Calibri" w:eastAsia="Calibri" w:hAnsi="Calibri"/>
          <w:sz w:val="20"/>
          <w:szCs w:val="20"/>
          <w:color w:val="auto"/>
        </w:rPr>
        <w:t>.”</w:t>
      </w:r>
    </w:p>
    <w:p>
      <w:pPr>
        <w:spacing w:after="0" w:line="201"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pursuant to Secton 10.2 of Exhibit 1 to the LTMA, Bacthera has proposed two adjustments to the CapEx Target (defned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therein); and</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pursuant to Secton 12.1 of Exhibit 1 to the LTMA, Bacthera has proposed certain changes to the Work (defned therein).</w:t>
      </w:r>
    </w:p>
    <w:p>
      <w:pPr>
        <w:spacing w:after="0" w:line="211"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b w:val="1"/>
          <w:bCs w:val="1"/>
          <w:color w:val="auto"/>
        </w:rPr>
        <w:t>NOW, THEREFORE</w:t>
      </w:r>
      <w:r>
        <w:rPr>
          <w:rFonts w:ascii="Calibri" w:cs="Calibri" w:eastAsia="Calibri" w:hAnsi="Calibri"/>
          <w:sz w:val="20"/>
          <w:szCs w:val="20"/>
          <w:color w:val="auto"/>
        </w:rPr>
        <w:t>, in consideraton of the mutual covenants and obligatons set forth herein, and for other good and valuable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consideraton, the receipt and sufciency of which is hereby acknowledged, the Partes agree as follows:</w:t>
      </w:r>
    </w:p>
    <w:p>
      <w:pPr>
        <w:spacing w:after="0" w:line="189" w:lineRule="exact"/>
        <w:rPr>
          <w:sz w:val="20"/>
          <w:szCs w:val="20"/>
          <w:color w:val="auto"/>
        </w:rPr>
      </w:pPr>
    </w:p>
    <w:p>
      <w:pPr>
        <w:ind w:left="740" w:hanging="732"/>
        <w:spacing w:after="0"/>
        <w:tabs>
          <w:tab w:leader="none" w:pos="740" w:val="left"/>
        </w:tabs>
        <w:numPr>
          <w:ilvl w:val="0"/>
          <w:numId w:val="153"/>
        </w:numPr>
        <w:rPr>
          <w:rFonts w:ascii="Calibri" w:cs="Calibri" w:eastAsia="Calibri" w:hAnsi="Calibri"/>
          <w:sz w:val="20"/>
          <w:szCs w:val="20"/>
          <w:color w:val="auto"/>
        </w:rPr>
      </w:pPr>
      <w:r>
        <w:rPr>
          <w:rFonts w:ascii="Calibri" w:cs="Calibri" w:eastAsia="Calibri" w:hAnsi="Calibri"/>
          <w:sz w:val="20"/>
          <w:szCs w:val="20"/>
          <w:b w:val="1"/>
          <w:bCs w:val="1"/>
          <w:color w:val="auto"/>
        </w:rPr>
        <w:t>DEFINITIONS</w:t>
      </w:r>
    </w:p>
    <w:p>
      <w:pPr>
        <w:spacing w:after="0" w:line="201" w:lineRule="exact"/>
        <w:rPr>
          <w:sz w:val="20"/>
          <w:szCs w:val="20"/>
          <w:color w:val="auto"/>
        </w:rPr>
      </w:pPr>
    </w:p>
    <w:p>
      <w:pPr>
        <w:spacing w:after="0"/>
        <w:tabs>
          <w:tab w:leader="none" w:pos="720" w:val="left"/>
        </w:tabs>
        <w:rPr>
          <w:sz w:val="20"/>
          <w:szCs w:val="20"/>
          <w:color w:val="auto"/>
        </w:rPr>
      </w:pPr>
      <w:r>
        <w:rPr>
          <w:rFonts w:ascii="Calibri" w:cs="Calibri" w:eastAsia="Calibri" w:hAnsi="Calibri"/>
          <w:sz w:val="20"/>
          <w:szCs w:val="20"/>
          <w:color w:val="auto"/>
        </w:rPr>
        <w:t>1.1</w:t>
      </w:r>
      <w:r>
        <w:rPr>
          <w:sz w:val="20"/>
          <w:szCs w:val="20"/>
          <w:color w:val="auto"/>
        </w:rPr>
        <w:tab/>
      </w:r>
      <w:r>
        <w:rPr>
          <w:rFonts w:ascii="Calibri" w:cs="Calibri" w:eastAsia="Calibri" w:hAnsi="Calibri"/>
          <w:sz w:val="20"/>
          <w:szCs w:val="20"/>
          <w:color w:val="auto"/>
        </w:rPr>
        <w:t>The defniton of Product(s) in the LTMA shall be revised to “SER-109 and other products, as agreed to by both Partes”.</w:t>
      </w:r>
    </w:p>
    <w:p>
      <w:pPr>
        <w:spacing w:after="0" w:line="201" w:lineRule="exact"/>
        <w:rPr>
          <w:sz w:val="20"/>
          <w:szCs w:val="20"/>
          <w:color w:val="auto"/>
        </w:rPr>
      </w:pPr>
    </w:p>
    <w:p>
      <w:pPr>
        <w:spacing w:after="0"/>
        <w:tabs>
          <w:tab w:leader="none" w:pos="720" w:val="left"/>
        </w:tabs>
        <w:rPr>
          <w:sz w:val="20"/>
          <w:szCs w:val="20"/>
          <w:color w:val="auto"/>
        </w:rPr>
      </w:pPr>
      <w:r>
        <w:rPr>
          <w:rFonts w:ascii="Calibri" w:cs="Calibri" w:eastAsia="Calibri" w:hAnsi="Calibri"/>
          <w:sz w:val="20"/>
          <w:szCs w:val="20"/>
          <w:color w:val="auto"/>
        </w:rPr>
        <w:t>1.2</w:t>
      </w:r>
      <w:r>
        <w:rPr>
          <w:sz w:val="20"/>
          <w:szCs w:val="20"/>
          <w:color w:val="auto"/>
        </w:rPr>
        <w:tab/>
      </w:r>
      <w:r>
        <w:rPr>
          <w:rFonts w:ascii="Calibri" w:cs="Calibri" w:eastAsia="Calibri" w:hAnsi="Calibri"/>
          <w:sz w:val="20"/>
          <w:szCs w:val="20"/>
          <w:color w:val="auto"/>
        </w:rPr>
        <w:t>Capitalized terms not defned in this Amendment shall have the defniton ascribed to them in the LTMA.</w:t>
      </w:r>
    </w:p>
    <w:p>
      <w:pPr>
        <w:spacing w:after="0" w:line="188" w:lineRule="exact"/>
        <w:rPr>
          <w:sz w:val="20"/>
          <w:szCs w:val="20"/>
          <w:color w:val="auto"/>
        </w:rPr>
      </w:pPr>
    </w:p>
    <w:p>
      <w:pPr>
        <w:ind w:left="740" w:hanging="732"/>
        <w:spacing w:after="0"/>
        <w:tabs>
          <w:tab w:leader="none" w:pos="740" w:val="left"/>
        </w:tabs>
        <w:numPr>
          <w:ilvl w:val="0"/>
          <w:numId w:val="154"/>
        </w:numPr>
        <w:rPr>
          <w:rFonts w:ascii="Calibri" w:cs="Calibri" w:eastAsia="Calibri" w:hAnsi="Calibri"/>
          <w:sz w:val="20"/>
          <w:szCs w:val="20"/>
          <w:color w:val="auto"/>
        </w:rPr>
      </w:pPr>
      <w:r>
        <w:rPr>
          <w:rFonts w:ascii="Calibri" w:cs="Calibri" w:eastAsia="Calibri" w:hAnsi="Calibri"/>
          <w:sz w:val="20"/>
          <w:szCs w:val="20"/>
          <w:b w:val="1"/>
          <w:bCs w:val="1"/>
          <w:color w:val="auto"/>
        </w:rPr>
        <w:t>CHANGE ORDER</w:t>
      </w:r>
    </w:p>
    <w:p>
      <w:pPr>
        <w:spacing w:after="0" w:line="201" w:lineRule="exact"/>
        <w:rPr>
          <w:sz w:val="20"/>
          <w:szCs w:val="20"/>
          <w:color w:val="auto"/>
        </w:rPr>
      </w:pPr>
    </w:p>
    <w:p>
      <w:pPr>
        <w:spacing w:after="0"/>
        <w:tabs>
          <w:tab w:leader="none" w:pos="720" w:val="left"/>
        </w:tabs>
        <w:rPr>
          <w:sz w:val="20"/>
          <w:szCs w:val="20"/>
          <w:color w:val="auto"/>
        </w:rPr>
      </w:pPr>
      <w:r>
        <w:rPr>
          <w:rFonts w:ascii="Calibri" w:cs="Calibri" w:eastAsia="Calibri" w:hAnsi="Calibri"/>
          <w:sz w:val="20"/>
          <w:szCs w:val="20"/>
          <w:color w:val="auto"/>
        </w:rPr>
        <w:t>2.1</w:t>
      </w:r>
      <w:r>
        <w:rPr>
          <w:sz w:val="20"/>
          <w:szCs w:val="20"/>
          <w:color w:val="auto"/>
        </w:rPr>
        <w:tab/>
      </w:r>
      <w:r>
        <w:rPr>
          <w:rFonts w:ascii="Calibri" w:cs="Calibri" w:eastAsia="Calibri" w:hAnsi="Calibri"/>
          <w:sz w:val="20"/>
          <w:szCs w:val="20"/>
          <w:i w:val="1"/>
          <w:iCs w:val="1"/>
          <w:color w:val="auto"/>
        </w:rPr>
        <w:t>Change Order</w:t>
      </w:r>
      <w:r>
        <w:rPr>
          <w:rFonts w:ascii="Calibri" w:cs="Calibri" w:eastAsia="Calibri" w:hAnsi="Calibri"/>
          <w:sz w:val="20"/>
          <w:szCs w:val="20"/>
          <w:color w:val="auto"/>
        </w:rPr>
        <w:t>. The Change Order atached hereto as Exhibit 1, totaling [***], is hereby accepted and agreed to by the Partes.</w:t>
      </w:r>
    </w:p>
    <w:p>
      <w:pPr>
        <w:spacing w:after="0" w:line="211" w:lineRule="exact"/>
        <w:rPr>
          <w:sz w:val="20"/>
          <w:szCs w:val="20"/>
          <w:color w:val="auto"/>
        </w:rPr>
      </w:pPr>
    </w:p>
    <w:p>
      <w:pPr>
        <w:ind w:left="740" w:hanging="733"/>
        <w:spacing w:after="0" w:line="234" w:lineRule="auto"/>
        <w:tabs>
          <w:tab w:leader="none" w:pos="720" w:val="left"/>
        </w:tabs>
        <w:rPr>
          <w:sz w:val="20"/>
          <w:szCs w:val="20"/>
          <w:color w:val="auto"/>
        </w:rPr>
      </w:pPr>
      <w:r>
        <w:rPr>
          <w:rFonts w:ascii="Calibri" w:cs="Calibri" w:eastAsia="Calibri" w:hAnsi="Calibri"/>
          <w:sz w:val="20"/>
          <w:szCs w:val="20"/>
          <w:color w:val="auto"/>
        </w:rPr>
        <w:t>2.2</w:t>
      </w:r>
      <w:r>
        <w:rPr>
          <w:sz w:val="20"/>
          <w:szCs w:val="20"/>
          <w:color w:val="auto"/>
        </w:rPr>
        <w:tab/>
      </w:r>
      <w:r>
        <w:rPr>
          <w:rFonts w:ascii="Calibri" w:cs="Calibri" w:eastAsia="Calibri" w:hAnsi="Calibri"/>
          <w:sz w:val="20"/>
          <w:szCs w:val="20"/>
          <w:i w:val="1"/>
          <w:iCs w:val="1"/>
          <w:color w:val="auto"/>
        </w:rPr>
        <w:t xml:space="preserve">Additonal Scope. </w:t>
      </w:r>
      <w:r>
        <w:rPr>
          <w:rFonts w:ascii="Calibri" w:cs="Calibri" w:eastAsia="Calibri" w:hAnsi="Calibri"/>
          <w:sz w:val="20"/>
          <w:szCs w:val="20"/>
          <w:color w:val="auto"/>
        </w:rPr>
        <w:t>Bacthera agrees to complete development of Spray Drying technologies Proof of Concept for Seres at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Hørsholm Facility [***].</w:t>
      </w:r>
    </w:p>
    <w:p>
      <w:pPr>
        <w:spacing w:after="0" w:line="189" w:lineRule="exact"/>
        <w:rPr>
          <w:sz w:val="20"/>
          <w:szCs w:val="20"/>
          <w:color w:val="auto"/>
        </w:rPr>
      </w:pPr>
    </w:p>
    <w:p>
      <w:pPr>
        <w:ind w:left="740" w:hanging="732"/>
        <w:spacing w:after="0"/>
        <w:tabs>
          <w:tab w:leader="none" w:pos="740" w:val="left"/>
        </w:tabs>
        <w:numPr>
          <w:ilvl w:val="0"/>
          <w:numId w:val="155"/>
        </w:numPr>
        <w:rPr>
          <w:rFonts w:ascii="Calibri" w:cs="Calibri" w:eastAsia="Calibri" w:hAnsi="Calibri"/>
          <w:sz w:val="20"/>
          <w:szCs w:val="20"/>
          <w:color w:val="auto"/>
        </w:rPr>
      </w:pPr>
      <w:r>
        <w:rPr>
          <w:rFonts w:ascii="Calibri" w:cs="Calibri" w:eastAsia="Calibri" w:hAnsi="Calibri"/>
          <w:sz w:val="20"/>
          <w:szCs w:val="20"/>
          <w:b w:val="1"/>
          <w:bCs w:val="1"/>
          <w:color w:val="auto"/>
        </w:rPr>
        <w:t>CAPEX TARGET ADJUSTMENTS</w:t>
      </w:r>
    </w:p>
    <w:p>
      <w:pPr>
        <w:spacing w:after="0" w:line="211" w:lineRule="exact"/>
        <w:rPr>
          <w:sz w:val="20"/>
          <w:szCs w:val="20"/>
          <w:color w:val="auto"/>
        </w:rPr>
      </w:pPr>
    </w:p>
    <w:p>
      <w:pPr>
        <w:ind w:left="740" w:hanging="733"/>
        <w:spacing w:after="0" w:line="234" w:lineRule="auto"/>
        <w:tabs>
          <w:tab w:leader="none" w:pos="720" w:val="left"/>
        </w:tabs>
        <w:rPr>
          <w:sz w:val="20"/>
          <w:szCs w:val="20"/>
          <w:color w:val="auto"/>
        </w:rPr>
      </w:pPr>
      <w:r>
        <w:rPr>
          <w:rFonts w:ascii="Calibri" w:cs="Calibri" w:eastAsia="Calibri" w:hAnsi="Calibri"/>
          <w:sz w:val="20"/>
          <w:szCs w:val="20"/>
          <w:color w:val="auto"/>
        </w:rPr>
        <w:t>3.1</w:t>
      </w:r>
      <w:r>
        <w:rPr>
          <w:sz w:val="20"/>
          <w:szCs w:val="20"/>
          <w:color w:val="auto"/>
        </w:rPr>
        <w:tab/>
      </w:r>
      <w:r>
        <w:rPr>
          <w:rFonts w:ascii="Calibri" w:cs="Calibri" w:eastAsia="Calibri" w:hAnsi="Calibri"/>
          <w:sz w:val="20"/>
          <w:szCs w:val="20"/>
          <w:i w:val="1"/>
          <w:iCs w:val="1"/>
          <w:color w:val="auto"/>
        </w:rPr>
        <w:t>First Adjustment</w:t>
      </w:r>
      <w:r>
        <w:rPr>
          <w:rFonts w:ascii="Calibri" w:cs="Calibri" w:eastAsia="Calibri" w:hAnsi="Calibri"/>
          <w:sz w:val="20"/>
          <w:szCs w:val="20"/>
          <w:color w:val="auto"/>
        </w:rPr>
        <w:t>. Pursuant to Secton 10.2(a)(i) of Exhibit 1 to the LTMA, the Partes hereby agree that the First Adjustment shall</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not exceed [***]. The Adjusted CapEx Target shall not exceed [***] including the Change Order.</w:t>
      </w:r>
    </w:p>
    <w:p>
      <w:pPr>
        <w:spacing w:after="0" w:line="20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9" w:name="page190"/>
    <w:bookmarkEnd w:id="189"/>
    <w:p>
      <w:pPr>
        <w:ind w:left="740" w:hanging="733"/>
        <w:spacing w:after="0" w:line="237" w:lineRule="auto"/>
        <w:tabs>
          <w:tab w:leader="none" w:pos="720" w:val="left"/>
        </w:tabs>
        <w:rPr>
          <w:sz w:val="20"/>
          <w:szCs w:val="20"/>
          <w:color w:val="auto"/>
        </w:rPr>
      </w:pPr>
      <w:r>
        <w:rPr>
          <w:rFonts w:ascii="Calibri" w:cs="Calibri" w:eastAsia="Calibri" w:hAnsi="Calibri"/>
          <w:sz w:val="20"/>
          <w:szCs w:val="20"/>
          <w:color w:val="auto"/>
        </w:rPr>
        <w:t>3.2</w:t>
      </w:r>
      <w:r>
        <w:rPr>
          <w:sz w:val="20"/>
          <w:szCs w:val="20"/>
          <w:color w:val="auto"/>
        </w:rPr>
        <w:tab/>
      </w:r>
      <w:r>
        <w:rPr>
          <w:rFonts w:ascii="Calibri" w:cs="Calibri" w:eastAsia="Calibri" w:hAnsi="Calibri"/>
          <w:sz w:val="20"/>
          <w:szCs w:val="20"/>
          <w:i w:val="1"/>
          <w:iCs w:val="1"/>
          <w:color w:val="auto"/>
        </w:rPr>
        <w:t>Second Adjustment</w:t>
      </w:r>
      <w:r>
        <w:rPr>
          <w:rFonts w:ascii="Calibri" w:cs="Calibri" w:eastAsia="Calibri" w:hAnsi="Calibri"/>
          <w:sz w:val="20"/>
          <w:szCs w:val="20"/>
          <w:color w:val="auto"/>
        </w:rPr>
        <w:t>. Purusant to Secton 10.2(a)(ii) of Exhibit 1 to the LTMA, the Partes hereby agree that the Second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Adjustment shall not exceed [***]</w:t>
      </w:r>
      <w:r>
        <w:rPr>
          <w:rFonts w:ascii="Calibri" w:cs="Calibri" w:eastAsia="Calibri" w:hAnsi="Calibri"/>
          <w:sz w:val="26"/>
          <w:szCs w:val="26"/>
          <w:color w:val="auto"/>
          <w:vertAlign w:val="superscript"/>
        </w:rPr>
        <w:t>(1)</w:t>
      </w:r>
      <w:r>
        <w:rPr>
          <w:rFonts w:ascii="Calibri" w:cs="Calibri" w:eastAsia="Calibri" w:hAnsi="Calibri"/>
          <w:sz w:val="20"/>
          <w:szCs w:val="20"/>
          <w:color w:val="auto"/>
        </w:rPr>
        <w:t xml:space="preserve"> which is [***].</w:t>
      </w:r>
    </w:p>
    <w:p>
      <w:pPr>
        <w:spacing w:after="0" w:line="151" w:lineRule="exact"/>
        <w:rPr>
          <w:sz w:val="20"/>
          <w:szCs w:val="20"/>
          <w:color w:val="auto"/>
        </w:rPr>
      </w:pPr>
    </w:p>
    <w:p>
      <w:pPr>
        <w:ind w:left="740" w:hanging="732"/>
        <w:spacing w:after="0"/>
        <w:tabs>
          <w:tab w:leader="none" w:pos="740" w:val="left"/>
        </w:tabs>
        <w:numPr>
          <w:ilvl w:val="0"/>
          <w:numId w:val="156"/>
        </w:numPr>
        <w:rPr>
          <w:rFonts w:ascii="Calibri" w:cs="Calibri" w:eastAsia="Calibri" w:hAnsi="Calibri"/>
          <w:sz w:val="20"/>
          <w:szCs w:val="20"/>
          <w:color w:val="auto"/>
        </w:rPr>
      </w:pPr>
      <w:r>
        <w:rPr>
          <w:rFonts w:ascii="Calibri" w:cs="Calibri" w:eastAsia="Calibri" w:hAnsi="Calibri"/>
          <w:sz w:val="20"/>
          <w:szCs w:val="20"/>
          <w:b w:val="1"/>
          <w:bCs w:val="1"/>
          <w:color w:val="auto"/>
        </w:rPr>
        <w:t>FINAL CAPEX AMOUNT</w:t>
      </w:r>
    </w:p>
    <w:p>
      <w:pPr>
        <w:spacing w:after="0" w:line="198" w:lineRule="exact"/>
        <w:rPr>
          <w:sz w:val="20"/>
          <w:szCs w:val="20"/>
          <w:color w:val="auto"/>
        </w:rPr>
      </w:pPr>
    </w:p>
    <w:p>
      <w:pPr>
        <w:ind w:left="740" w:hanging="733"/>
        <w:spacing w:after="0" w:line="237" w:lineRule="auto"/>
        <w:tabs>
          <w:tab w:leader="none" w:pos="720" w:val="left"/>
        </w:tabs>
        <w:rPr>
          <w:sz w:val="20"/>
          <w:szCs w:val="20"/>
          <w:color w:val="auto"/>
        </w:rPr>
      </w:pPr>
      <w:r>
        <w:rPr>
          <w:rFonts w:ascii="Calibri" w:cs="Calibri" w:eastAsia="Calibri" w:hAnsi="Calibri"/>
          <w:sz w:val="20"/>
          <w:szCs w:val="20"/>
          <w:color w:val="auto"/>
        </w:rPr>
        <w:t>4.1</w:t>
      </w:r>
      <w:r>
        <w:rPr>
          <w:sz w:val="20"/>
          <w:szCs w:val="20"/>
          <w:color w:val="auto"/>
        </w:rPr>
        <w:tab/>
      </w:r>
      <w:r>
        <w:rPr>
          <w:rFonts w:ascii="Calibri" w:cs="Calibri" w:eastAsia="Calibri" w:hAnsi="Calibri"/>
          <w:sz w:val="20"/>
          <w:szCs w:val="20"/>
          <w:i w:val="1"/>
          <w:iCs w:val="1"/>
          <w:color w:val="auto"/>
        </w:rPr>
        <w:t xml:space="preserve">Final CapEx Amount. </w:t>
      </w:r>
      <w:r>
        <w:rPr>
          <w:rFonts w:ascii="Calibri" w:cs="Calibri" w:eastAsia="Calibri" w:hAnsi="Calibri"/>
          <w:sz w:val="20"/>
          <w:szCs w:val="20"/>
          <w:color w:val="auto"/>
        </w:rPr>
        <w:t>The Partes agree that following the adjustments to the CapEx Target and the Change Order, the Final</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CapEx Amount shall not exceed [***]</w:t>
      </w:r>
      <w:r>
        <w:rPr>
          <w:rFonts w:ascii="Calibri" w:cs="Calibri" w:eastAsia="Calibri" w:hAnsi="Calibri"/>
          <w:sz w:val="26"/>
          <w:szCs w:val="26"/>
          <w:color w:val="auto"/>
          <w:vertAlign w:val="superscript"/>
        </w:rPr>
        <w:t>(2)</w:t>
      </w:r>
      <w:r>
        <w:rPr>
          <w:rFonts w:ascii="Calibri" w:cs="Calibri" w:eastAsia="Calibri" w:hAnsi="Calibri"/>
          <w:sz w:val="20"/>
          <w:szCs w:val="20"/>
          <w:color w:val="auto"/>
        </w:rPr>
        <w:t>.</w:t>
      </w:r>
    </w:p>
    <w:p>
      <w:pPr>
        <w:spacing w:after="0" w:line="151" w:lineRule="exact"/>
        <w:rPr>
          <w:sz w:val="20"/>
          <w:szCs w:val="20"/>
          <w:color w:val="auto"/>
        </w:rPr>
      </w:pPr>
    </w:p>
    <w:p>
      <w:pPr>
        <w:spacing w:after="0"/>
        <w:tabs>
          <w:tab w:leader="none" w:pos="720" w:val="left"/>
        </w:tabs>
        <w:rPr>
          <w:sz w:val="20"/>
          <w:szCs w:val="20"/>
          <w:color w:val="auto"/>
        </w:rPr>
      </w:pPr>
      <w:r>
        <w:rPr>
          <w:rFonts w:ascii="Calibri" w:cs="Calibri" w:eastAsia="Calibri" w:hAnsi="Calibri"/>
          <w:sz w:val="20"/>
          <w:szCs w:val="20"/>
          <w:color w:val="auto"/>
        </w:rPr>
        <w:t>4.2</w:t>
      </w:r>
      <w:r>
        <w:rPr>
          <w:sz w:val="20"/>
          <w:szCs w:val="20"/>
          <w:color w:val="auto"/>
        </w:rPr>
        <w:tab/>
      </w:r>
      <w:r>
        <w:rPr>
          <w:rFonts w:ascii="Calibri" w:cs="Calibri" w:eastAsia="Calibri" w:hAnsi="Calibri"/>
          <w:sz w:val="20"/>
          <w:szCs w:val="20"/>
          <w:i w:val="1"/>
          <w:iCs w:val="1"/>
          <w:color w:val="auto"/>
        </w:rPr>
        <w:t>Reductons</w:t>
      </w:r>
      <w:r>
        <w:rPr>
          <w:rFonts w:ascii="Calibri" w:cs="Calibri" w:eastAsia="Calibri" w:hAnsi="Calibri"/>
          <w:sz w:val="20"/>
          <w:szCs w:val="20"/>
          <w:color w:val="auto"/>
        </w:rPr>
        <w:t>. Consistent with Secton 10.2 of Exhibit 1 to the LTMA, Bacthera will [***].</w:t>
      </w:r>
    </w:p>
    <w:p>
      <w:pPr>
        <w:spacing w:after="0" w:line="201" w:lineRule="exact"/>
        <w:rPr>
          <w:sz w:val="20"/>
          <w:szCs w:val="20"/>
          <w:color w:val="auto"/>
        </w:rPr>
      </w:pPr>
    </w:p>
    <w:p>
      <w:pPr>
        <w:ind w:left="740" w:hanging="732"/>
        <w:spacing w:after="0"/>
        <w:tabs>
          <w:tab w:leader="none" w:pos="740" w:val="left"/>
        </w:tabs>
        <w:numPr>
          <w:ilvl w:val="0"/>
          <w:numId w:val="157"/>
        </w:numPr>
        <w:rPr>
          <w:rFonts w:ascii="Calibri" w:cs="Calibri" w:eastAsia="Calibri" w:hAnsi="Calibri"/>
          <w:sz w:val="20"/>
          <w:szCs w:val="20"/>
          <w:color w:val="auto"/>
        </w:rPr>
      </w:pPr>
      <w:r>
        <w:rPr>
          <w:rFonts w:ascii="Calibri" w:cs="Calibri" w:eastAsia="Calibri" w:hAnsi="Calibri"/>
          <w:sz w:val="20"/>
          <w:szCs w:val="20"/>
          <w:b w:val="1"/>
          <w:bCs w:val="1"/>
          <w:color w:val="auto"/>
        </w:rPr>
        <w:t>MILESTONE PAYMENTS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0" w:type="dxa"/>
            <w:vAlign w:val="bottom"/>
          </w:tcPr>
          <w:p>
            <w:pPr>
              <w:spacing w:after="0"/>
              <w:rPr>
                <w:sz w:val="20"/>
                <w:szCs w:val="20"/>
                <w:color w:val="auto"/>
              </w:rPr>
            </w:pPr>
            <w:r>
              <w:rPr>
                <w:rFonts w:ascii="Calibri" w:cs="Calibri" w:eastAsia="Calibri" w:hAnsi="Calibri"/>
                <w:sz w:val="20"/>
                <w:szCs w:val="20"/>
                <w:color w:val="auto"/>
              </w:rPr>
              <w:t>5.1</w:t>
            </w:r>
          </w:p>
        </w:tc>
        <w:tc>
          <w:tcPr>
            <w:tcW w:w="10400" w:type="dxa"/>
            <w:vAlign w:val="bottom"/>
            <w:gridSpan w:val="3"/>
          </w:tcPr>
          <w:p>
            <w:pPr>
              <w:ind w:left="240"/>
              <w:spacing w:after="0"/>
              <w:rPr>
                <w:sz w:val="20"/>
                <w:szCs w:val="20"/>
                <w:color w:val="auto"/>
              </w:rPr>
            </w:pPr>
            <w:r>
              <w:rPr>
                <w:rFonts w:ascii="Calibri" w:cs="Calibri" w:eastAsia="Calibri" w:hAnsi="Calibri"/>
                <w:sz w:val="20"/>
                <w:szCs w:val="20"/>
                <w:color w:val="auto"/>
              </w:rPr>
              <w:t>The table in Secton 11.1(a) of Exhibit 1 to the LTMA is hereby replaced with the following:</w:t>
            </w:r>
          </w:p>
        </w:tc>
      </w:tr>
      <w:tr>
        <w:trPr>
          <w:trHeight w:val="275"/>
        </w:trPr>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80" w:type="dxa"/>
            <w:vAlign w:val="bottom"/>
            <w:tcBorders>
              <w:bottom w:val="single" w:sz="8" w:color="auto"/>
            </w:tcBorders>
          </w:tcPr>
          <w:p>
            <w:pPr>
              <w:spacing w:after="0"/>
              <w:rPr>
                <w:sz w:val="23"/>
                <w:szCs w:val="23"/>
                <w:color w:val="auto"/>
              </w:rPr>
            </w:pPr>
          </w:p>
        </w:tc>
        <w:tc>
          <w:tcPr>
            <w:tcW w:w="4700" w:type="dxa"/>
            <w:vAlign w:val="bottom"/>
            <w:tcBorders>
              <w:bottom w:val="single" w:sz="8" w:color="auto"/>
            </w:tcBorders>
          </w:tcPr>
          <w:p>
            <w:pPr>
              <w:spacing w:after="0"/>
              <w:rPr>
                <w:sz w:val="23"/>
                <w:szCs w:val="23"/>
                <w:color w:val="auto"/>
              </w:rPr>
            </w:pPr>
          </w:p>
        </w:tc>
      </w:tr>
      <w:tr>
        <w:trPr>
          <w:trHeight w:val="215"/>
        </w:trPr>
        <w:tc>
          <w:tcPr>
            <w:tcW w:w="5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shd w:val="clear" w:color="auto" w:fill="D9D9D9"/>
          </w:tcPr>
          <w:p>
            <w:pPr>
              <w:ind w:left="1840"/>
              <w:spacing w:after="0" w:line="215" w:lineRule="exact"/>
              <w:rPr>
                <w:sz w:val="20"/>
                <w:szCs w:val="20"/>
                <w:color w:val="auto"/>
              </w:rPr>
            </w:pPr>
            <w:r>
              <w:rPr>
                <w:rFonts w:ascii="Calibri" w:cs="Calibri" w:eastAsia="Calibri" w:hAnsi="Calibri"/>
                <w:sz w:val="20"/>
                <w:szCs w:val="20"/>
                <w:b w:val="1"/>
                <w:bCs w:val="1"/>
                <w:color w:val="auto"/>
              </w:rPr>
              <w:t>MILESTONE</w:t>
            </w:r>
          </w:p>
        </w:tc>
        <w:tc>
          <w:tcPr>
            <w:tcW w:w="4700" w:type="dxa"/>
            <w:vAlign w:val="bottom"/>
            <w:tcBorders>
              <w:right w:val="single" w:sz="8" w:color="auto"/>
            </w:tcBorders>
            <w:shd w:val="clear" w:color="auto" w:fill="D9D9D9"/>
          </w:tcPr>
          <w:p>
            <w:pPr>
              <w:jc w:val="right"/>
              <w:ind w:right="689"/>
              <w:spacing w:after="0" w:line="215" w:lineRule="exact"/>
              <w:rPr>
                <w:sz w:val="20"/>
                <w:szCs w:val="20"/>
                <w:color w:val="auto"/>
              </w:rPr>
            </w:pPr>
            <w:r>
              <w:rPr>
                <w:rFonts w:ascii="Calibri" w:cs="Calibri" w:eastAsia="Calibri" w:hAnsi="Calibri"/>
                <w:sz w:val="20"/>
                <w:szCs w:val="20"/>
                <w:b w:val="1"/>
                <w:bCs w:val="1"/>
                <w:color w:val="auto"/>
              </w:rPr>
              <w:t>MILESTONE PAYMENT (CAPEX TARGET)</w:t>
            </w:r>
          </w:p>
        </w:tc>
      </w:tr>
      <w:tr>
        <w:trPr>
          <w:trHeight w:val="238"/>
        </w:trPr>
        <w:tc>
          <w:tcPr>
            <w:tcW w:w="5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shd w:val="clear" w:color="auto" w:fill="D9D9D9"/>
          </w:tcPr>
          <w:p>
            <w:pPr>
              <w:spacing w:after="0"/>
              <w:rPr>
                <w:sz w:val="20"/>
                <w:szCs w:val="20"/>
                <w:color w:val="auto"/>
              </w:rPr>
            </w:pPr>
          </w:p>
        </w:tc>
        <w:tc>
          <w:tcPr>
            <w:tcW w:w="470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228"/>
        </w:trPr>
        <w:tc>
          <w:tcPr>
            <w:tcW w:w="5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100"/>
              <w:spacing w:after="0" w:line="228" w:lineRule="exact"/>
              <w:rPr>
                <w:sz w:val="20"/>
                <w:szCs w:val="20"/>
                <w:color w:val="auto"/>
              </w:rPr>
            </w:pPr>
            <w:r>
              <w:rPr>
                <w:rFonts w:ascii="Calibri" w:cs="Calibri" w:eastAsia="Calibri" w:hAnsi="Calibri"/>
                <w:sz w:val="20"/>
                <w:szCs w:val="20"/>
                <w:color w:val="auto"/>
              </w:rPr>
              <w:t>Contract Signature</w:t>
            </w:r>
          </w:p>
        </w:tc>
        <w:tc>
          <w:tcPr>
            <w:tcW w:w="4700" w:type="dxa"/>
            <w:vAlign w:val="bottom"/>
            <w:tcBorders>
              <w:right w:val="single" w:sz="8" w:color="auto"/>
            </w:tcBorders>
          </w:tcPr>
          <w:p>
            <w:pPr>
              <w:jc w:val="right"/>
              <w:ind w:right="4149"/>
              <w:spacing w:after="0" w:line="215" w:lineRule="exact"/>
              <w:rPr>
                <w:sz w:val="20"/>
                <w:szCs w:val="20"/>
                <w:color w:val="auto"/>
              </w:rPr>
            </w:pPr>
            <w:r>
              <w:rPr>
                <w:rFonts w:ascii="Calibri" w:cs="Calibri" w:eastAsia="Calibri" w:hAnsi="Calibri"/>
                <w:sz w:val="18"/>
                <w:szCs w:val="18"/>
                <w:color w:val="auto"/>
              </w:rPr>
              <w:t>[***]</w:t>
            </w:r>
          </w:p>
        </w:tc>
      </w:tr>
      <w:tr>
        <w:trPr>
          <w:trHeight w:val="238"/>
        </w:trPr>
        <w:tc>
          <w:tcPr>
            <w:tcW w:w="5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p>
        </w:tc>
      </w:tr>
      <w:tr>
        <w:trPr>
          <w:trHeight w:val="208"/>
        </w:trPr>
        <w:tc>
          <w:tcPr>
            <w:tcW w:w="5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w:t>
            </w:r>
          </w:p>
        </w:tc>
        <w:tc>
          <w:tcPr>
            <w:tcW w:w="4700" w:type="dxa"/>
            <w:vAlign w:val="bottom"/>
            <w:tcBorders>
              <w:right w:val="single" w:sz="8" w:color="auto"/>
            </w:tcBorders>
          </w:tcPr>
          <w:p>
            <w:pPr>
              <w:jc w:val="right"/>
              <w:ind w:right="4149"/>
              <w:spacing w:after="0" w:line="208" w:lineRule="exact"/>
              <w:rPr>
                <w:sz w:val="20"/>
                <w:szCs w:val="20"/>
                <w:color w:val="auto"/>
              </w:rPr>
            </w:pPr>
            <w:r>
              <w:rPr>
                <w:rFonts w:ascii="Calibri" w:cs="Calibri" w:eastAsia="Calibri" w:hAnsi="Calibri"/>
                <w:sz w:val="18"/>
                <w:szCs w:val="18"/>
                <w:color w:val="auto"/>
              </w:rPr>
              <w:t>[***]</w:t>
            </w:r>
          </w:p>
        </w:tc>
      </w:tr>
      <w:tr>
        <w:trPr>
          <w:trHeight w:val="231"/>
        </w:trPr>
        <w:tc>
          <w:tcPr>
            <w:tcW w:w="5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p>
        </w:tc>
      </w:tr>
      <w:tr>
        <w:trPr>
          <w:trHeight w:val="208"/>
        </w:trPr>
        <w:tc>
          <w:tcPr>
            <w:tcW w:w="5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w:t>
            </w:r>
          </w:p>
        </w:tc>
        <w:tc>
          <w:tcPr>
            <w:tcW w:w="4700" w:type="dxa"/>
            <w:vAlign w:val="bottom"/>
            <w:tcBorders>
              <w:right w:val="single" w:sz="8" w:color="auto"/>
            </w:tcBorders>
          </w:tcPr>
          <w:p>
            <w:pPr>
              <w:jc w:val="right"/>
              <w:ind w:right="4149"/>
              <w:spacing w:after="0" w:line="208" w:lineRule="exact"/>
              <w:rPr>
                <w:sz w:val="20"/>
                <w:szCs w:val="20"/>
                <w:color w:val="auto"/>
              </w:rPr>
            </w:pPr>
            <w:r>
              <w:rPr>
                <w:rFonts w:ascii="Calibri" w:cs="Calibri" w:eastAsia="Calibri" w:hAnsi="Calibri"/>
                <w:sz w:val="18"/>
                <w:szCs w:val="18"/>
                <w:color w:val="auto"/>
              </w:rPr>
              <w:t>[***]</w:t>
            </w:r>
          </w:p>
        </w:tc>
      </w:tr>
      <w:tr>
        <w:trPr>
          <w:trHeight w:val="231"/>
        </w:trPr>
        <w:tc>
          <w:tcPr>
            <w:tcW w:w="5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p>
        </w:tc>
      </w:tr>
      <w:tr>
        <w:trPr>
          <w:trHeight w:val="208"/>
        </w:trPr>
        <w:tc>
          <w:tcPr>
            <w:tcW w:w="5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w:t>
            </w:r>
          </w:p>
        </w:tc>
        <w:tc>
          <w:tcPr>
            <w:tcW w:w="4700" w:type="dxa"/>
            <w:vAlign w:val="bottom"/>
            <w:tcBorders>
              <w:right w:val="single" w:sz="8" w:color="auto"/>
            </w:tcBorders>
          </w:tcPr>
          <w:p>
            <w:pPr>
              <w:jc w:val="right"/>
              <w:ind w:right="4149"/>
              <w:spacing w:after="0" w:line="208" w:lineRule="exact"/>
              <w:rPr>
                <w:sz w:val="20"/>
                <w:szCs w:val="20"/>
                <w:color w:val="auto"/>
              </w:rPr>
            </w:pPr>
            <w:r>
              <w:rPr>
                <w:rFonts w:ascii="Calibri" w:cs="Calibri" w:eastAsia="Calibri" w:hAnsi="Calibri"/>
                <w:sz w:val="18"/>
                <w:szCs w:val="18"/>
                <w:color w:val="auto"/>
              </w:rPr>
              <w:t>[***]</w:t>
            </w:r>
          </w:p>
        </w:tc>
      </w:tr>
      <w:tr>
        <w:trPr>
          <w:trHeight w:val="231"/>
        </w:trPr>
        <w:tc>
          <w:tcPr>
            <w:tcW w:w="5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p>
        </w:tc>
      </w:tr>
      <w:tr>
        <w:trPr>
          <w:trHeight w:val="208"/>
        </w:trPr>
        <w:tc>
          <w:tcPr>
            <w:tcW w:w="5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100"/>
              <w:spacing w:after="0" w:line="208" w:lineRule="exact"/>
              <w:rPr>
                <w:sz w:val="20"/>
                <w:szCs w:val="20"/>
                <w:color w:val="auto"/>
              </w:rPr>
            </w:pPr>
            <w:r>
              <w:rPr>
                <w:rFonts w:ascii="Calibri" w:cs="Calibri" w:eastAsia="Calibri" w:hAnsi="Calibri"/>
                <w:sz w:val="18"/>
                <w:szCs w:val="18"/>
                <w:color w:val="auto"/>
              </w:rPr>
              <w:t>[***]</w:t>
            </w:r>
          </w:p>
        </w:tc>
        <w:tc>
          <w:tcPr>
            <w:tcW w:w="4700" w:type="dxa"/>
            <w:vAlign w:val="bottom"/>
            <w:tcBorders>
              <w:right w:val="single" w:sz="8" w:color="auto"/>
            </w:tcBorders>
          </w:tcPr>
          <w:p>
            <w:pPr>
              <w:jc w:val="right"/>
              <w:ind w:right="4149"/>
              <w:spacing w:after="0" w:line="208" w:lineRule="exact"/>
              <w:rPr>
                <w:sz w:val="20"/>
                <w:szCs w:val="20"/>
                <w:color w:val="auto"/>
              </w:rPr>
            </w:pPr>
            <w:r>
              <w:rPr>
                <w:rFonts w:ascii="Calibri" w:cs="Calibri" w:eastAsia="Calibri" w:hAnsi="Calibri"/>
                <w:sz w:val="18"/>
                <w:szCs w:val="18"/>
                <w:color w:val="auto"/>
              </w:rPr>
              <w:t>[***]</w:t>
            </w:r>
          </w:p>
        </w:tc>
      </w:tr>
      <w:tr>
        <w:trPr>
          <w:trHeight w:val="231"/>
        </w:trPr>
        <w:tc>
          <w:tcPr>
            <w:tcW w:w="5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4680" w:type="dxa"/>
            <w:vAlign w:val="bottom"/>
            <w:tcBorders>
              <w:bottom w:val="single" w:sz="8" w:color="auto"/>
              <w:right w:val="single" w:sz="8" w:color="auto"/>
            </w:tcBorders>
          </w:tcPr>
          <w:p>
            <w:pPr>
              <w:spacing w:after="0" w:line="20" w:lineRule="exact"/>
              <w:rPr>
                <w:sz w:val="1"/>
                <w:szCs w:val="1"/>
                <w:color w:val="auto"/>
              </w:rPr>
            </w:pPr>
          </w:p>
        </w:tc>
        <w:tc>
          <w:tcPr>
            <w:tcW w:w="4700" w:type="dxa"/>
            <w:vAlign w:val="bottom"/>
            <w:tcBorders>
              <w:bottom w:val="single" w:sz="8" w:color="auto"/>
              <w:right w:val="single" w:sz="8" w:color="auto"/>
            </w:tcBorders>
          </w:tcPr>
          <w:p>
            <w:pPr>
              <w:spacing w:after="0" w:line="20" w:lineRule="exact"/>
              <w:rPr>
                <w:sz w:val="1"/>
                <w:szCs w:val="1"/>
                <w:color w:val="auto"/>
              </w:rPr>
            </w:pPr>
          </w:p>
        </w:tc>
      </w:tr>
      <w:tr>
        <w:trPr>
          <w:trHeight w:val="636"/>
        </w:trPr>
        <w:tc>
          <w:tcPr>
            <w:tcW w:w="500" w:type="dxa"/>
            <w:vAlign w:val="bottom"/>
          </w:tcPr>
          <w:p>
            <w:pPr>
              <w:spacing w:after="0"/>
              <w:rPr>
                <w:sz w:val="20"/>
                <w:szCs w:val="20"/>
                <w:color w:val="auto"/>
              </w:rPr>
            </w:pPr>
            <w:r>
              <w:rPr>
                <w:rFonts w:ascii="Calibri" w:cs="Calibri" w:eastAsia="Calibri" w:hAnsi="Calibri"/>
                <w:sz w:val="20"/>
                <w:szCs w:val="20"/>
                <w:color w:val="auto"/>
              </w:rPr>
              <w:t>6.</w:t>
            </w:r>
          </w:p>
        </w:tc>
        <w:tc>
          <w:tcPr>
            <w:tcW w:w="5700" w:type="dxa"/>
            <w:vAlign w:val="bottom"/>
            <w:gridSpan w:val="2"/>
          </w:tcPr>
          <w:p>
            <w:pPr>
              <w:ind w:left="240"/>
              <w:spacing w:after="0"/>
              <w:rPr>
                <w:sz w:val="20"/>
                <w:szCs w:val="20"/>
                <w:color w:val="auto"/>
              </w:rPr>
            </w:pPr>
            <w:r>
              <w:rPr>
                <w:rFonts w:ascii="Calibri" w:cs="Calibri" w:eastAsia="Calibri" w:hAnsi="Calibri"/>
                <w:sz w:val="20"/>
                <w:szCs w:val="20"/>
                <w:b w:val="1"/>
                <w:bCs w:val="1"/>
                <w:color w:val="auto"/>
              </w:rPr>
              <w:t>BUDGET UPDATES</w:t>
            </w:r>
          </w:p>
        </w:tc>
        <w:tc>
          <w:tcPr>
            <w:tcW w:w="47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Calibri" w:cs="Calibri" w:eastAsia="Calibri" w:hAnsi="Calibri"/>
                <w:sz w:val="20"/>
                <w:szCs w:val="20"/>
                <w:color w:val="auto"/>
              </w:rPr>
              <w:t>6.1</w:t>
            </w:r>
          </w:p>
        </w:tc>
        <w:tc>
          <w:tcPr>
            <w:tcW w:w="1020" w:type="dxa"/>
            <w:vAlign w:val="bottom"/>
          </w:tcPr>
          <w:p>
            <w:pPr>
              <w:ind w:left="240"/>
              <w:spacing w:after="0"/>
              <w:rPr>
                <w:sz w:val="20"/>
                <w:szCs w:val="20"/>
                <w:color w:val="auto"/>
              </w:rPr>
            </w:pPr>
            <w:r>
              <w:rPr>
                <w:rFonts w:ascii="Calibri" w:cs="Calibri" w:eastAsia="Calibri" w:hAnsi="Calibri"/>
                <w:sz w:val="20"/>
                <w:szCs w:val="20"/>
                <w:color w:val="auto"/>
              </w:rPr>
              <w:t>[***].</w:t>
            </w:r>
          </w:p>
        </w:tc>
        <w:tc>
          <w:tcPr>
            <w:tcW w:w="468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pacing w:after="0" w:line="201" w:lineRule="exact"/>
        <w:rPr>
          <w:sz w:val="20"/>
          <w:szCs w:val="20"/>
          <w:color w:val="auto"/>
        </w:rPr>
      </w:pPr>
    </w:p>
    <w:p>
      <w:pPr>
        <w:ind w:left="740" w:hanging="732"/>
        <w:spacing w:after="0"/>
        <w:tabs>
          <w:tab w:leader="none" w:pos="740" w:val="left"/>
        </w:tabs>
        <w:numPr>
          <w:ilvl w:val="0"/>
          <w:numId w:val="158"/>
        </w:numPr>
        <w:rPr>
          <w:rFonts w:ascii="Calibri" w:cs="Calibri" w:eastAsia="Calibri" w:hAnsi="Calibri"/>
          <w:sz w:val="20"/>
          <w:szCs w:val="20"/>
          <w:color w:val="auto"/>
        </w:rPr>
      </w:pPr>
      <w:r>
        <w:rPr>
          <w:rFonts w:ascii="Calibri" w:cs="Calibri" w:eastAsia="Calibri" w:hAnsi="Calibri"/>
          <w:sz w:val="20"/>
          <w:szCs w:val="20"/>
          <w:b w:val="1"/>
          <w:bCs w:val="1"/>
          <w:color w:val="auto"/>
        </w:rPr>
        <w:t>MISCELLANEOUS</w:t>
      </w:r>
    </w:p>
    <w:p>
      <w:pPr>
        <w:spacing w:after="0" w:line="211" w:lineRule="exact"/>
        <w:rPr>
          <w:sz w:val="20"/>
          <w:szCs w:val="20"/>
          <w:color w:val="auto"/>
        </w:rPr>
      </w:pPr>
    </w:p>
    <w:p>
      <w:pPr>
        <w:jc w:val="both"/>
        <w:ind w:left="740" w:hanging="733"/>
        <w:spacing w:after="0" w:line="236" w:lineRule="auto"/>
        <w:tabs>
          <w:tab w:leader="none" w:pos="720" w:val="left"/>
        </w:tabs>
        <w:rPr>
          <w:sz w:val="20"/>
          <w:szCs w:val="20"/>
          <w:color w:val="auto"/>
        </w:rPr>
      </w:pPr>
      <w:r>
        <w:rPr>
          <w:rFonts w:ascii="Calibri" w:cs="Calibri" w:eastAsia="Calibri" w:hAnsi="Calibri"/>
          <w:sz w:val="20"/>
          <w:szCs w:val="20"/>
          <w:color w:val="auto"/>
        </w:rPr>
        <w:t>7.1</w:t>
      </w:r>
      <w:r>
        <w:rPr>
          <w:sz w:val="20"/>
          <w:szCs w:val="20"/>
          <w:color w:val="auto"/>
        </w:rPr>
        <w:tab/>
      </w:r>
      <w:r>
        <w:rPr>
          <w:rFonts w:ascii="Calibri" w:cs="Calibri" w:eastAsia="Calibri" w:hAnsi="Calibri"/>
          <w:sz w:val="20"/>
          <w:szCs w:val="20"/>
          <w:i w:val="1"/>
          <w:iCs w:val="1"/>
          <w:color w:val="auto"/>
        </w:rPr>
        <w:t>Counterparts</w:t>
      </w:r>
      <w:r>
        <w:rPr>
          <w:rFonts w:ascii="Calibri" w:cs="Calibri" w:eastAsia="Calibri" w:hAnsi="Calibri"/>
          <w:sz w:val="20"/>
          <w:szCs w:val="20"/>
          <w:color w:val="auto"/>
        </w:rPr>
        <w:t>. This Amendment may be executed simultaneously in any number of counterparts, any one of which need not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contain the signature of more than one Party but all such counterparts taken together will consttute one and the same agreement.</w:t>
      </w:r>
    </w:p>
    <w:p>
      <w:pPr>
        <w:spacing w:after="0" w:line="18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90" w:name="page191"/>
    <w:bookmarkEnd w:id="190"/>
    <w:p>
      <w:pPr>
        <w:ind w:right="20"/>
        <w:spacing w:after="0" w:line="234" w:lineRule="auto"/>
        <w:rPr>
          <w:sz w:val="20"/>
          <w:szCs w:val="20"/>
          <w:color w:val="auto"/>
        </w:rPr>
      </w:pPr>
      <w:r>
        <w:rPr>
          <w:rFonts w:ascii="Calibri" w:cs="Calibri" w:eastAsia="Calibri" w:hAnsi="Calibri"/>
          <w:sz w:val="20"/>
          <w:szCs w:val="20"/>
          <w:b w:val="1"/>
          <w:bCs w:val="1"/>
          <w:color w:val="auto"/>
        </w:rPr>
        <w:t>In Witness Whereof</w:t>
      </w:r>
      <w:r>
        <w:rPr>
          <w:rFonts w:ascii="Calibri" w:cs="Calibri" w:eastAsia="Calibri" w:hAnsi="Calibri"/>
          <w:sz w:val="20"/>
          <w:szCs w:val="20"/>
          <w:color w:val="auto"/>
        </w:rPr>
        <w:t>, the Partes have caused this Agreement to be executed by their respectve duly authorized ofcers as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Efectve Date, each copy of which will for all purposes be deemed to be an original.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0"/>
        <w:spacing w:after="0"/>
        <w:rPr>
          <w:sz w:val="20"/>
          <w:szCs w:val="20"/>
          <w:color w:val="auto"/>
        </w:rPr>
      </w:pPr>
      <w:r>
        <w:rPr>
          <w:rFonts w:ascii="Calibri" w:cs="Calibri" w:eastAsia="Calibri" w:hAnsi="Calibri"/>
          <w:sz w:val="20"/>
          <w:szCs w:val="20"/>
          <w:color w:val="auto"/>
        </w:rPr>
        <w:t>SIGNED BY:</w:t>
      </w:r>
    </w:p>
    <w:p>
      <w:pPr>
        <w:ind w:left="1000"/>
        <w:spacing w:after="0" w:line="238" w:lineRule="auto"/>
        <w:rPr>
          <w:sz w:val="20"/>
          <w:szCs w:val="20"/>
          <w:color w:val="auto"/>
        </w:rPr>
      </w:pPr>
      <w:r>
        <w:rPr>
          <w:rFonts w:ascii="Calibri" w:cs="Calibri" w:eastAsia="Calibri" w:hAnsi="Calibri"/>
          <w:sz w:val="20"/>
          <w:szCs w:val="20"/>
          <w:color w:val="auto"/>
        </w:rPr>
        <w:t>FOR AND ON BEHALF OF</w:t>
      </w:r>
    </w:p>
    <w:p>
      <w:pPr>
        <w:ind w:left="1000"/>
        <w:spacing w:after="0"/>
        <w:rPr>
          <w:sz w:val="20"/>
          <w:szCs w:val="20"/>
          <w:color w:val="auto"/>
        </w:rPr>
      </w:pPr>
      <w:r>
        <w:rPr>
          <w:rFonts w:ascii="Calibri" w:cs="Calibri" w:eastAsia="Calibri" w:hAnsi="Calibri"/>
          <w:sz w:val="20"/>
          <w:szCs w:val="20"/>
          <w:color w:val="auto"/>
        </w:rPr>
        <w:t>SERES THERAPEUTICS, INC.</w:t>
      </w:r>
    </w:p>
    <w:p>
      <w:pPr>
        <w:spacing w:after="0" w:line="200" w:lineRule="exact"/>
        <w:rPr>
          <w:sz w:val="20"/>
          <w:szCs w:val="20"/>
          <w:color w:val="auto"/>
        </w:rPr>
      </w:pPr>
    </w:p>
    <w:p>
      <w:pPr>
        <w:spacing w:after="0" w:line="285" w:lineRule="exact"/>
        <w:rPr>
          <w:sz w:val="20"/>
          <w:szCs w:val="20"/>
          <w:color w:val="auto"/>
        </w:rPr>
      </w:pPr>
    </w:p>
    <w:p>
      <w:pPr>
        <w:ind w:left="1000"/>
        <w:spacing w:after="0"/>
        <w:rPr>
          <w:sz w:val="20"/>
          <w:szCs w:val="20"/>
          <w:color w:val="auto"/>
        </w:rPr>
      </w:pPr>
      <w:r>
        <w:rPr>
          <w:rFonts w:ascii="Calibri" w:cs="Calibri" w:eastAsia="Calibri" w:hAnsi="Calibri"/>
          <w:sz w:val="20"/>
          <w:szCs w:val="20"/>
          <w:u w:val="single" w:color="auto"/>
          <w:color w:val="auto"/>
        </w:rPr>
        <w:t>/s/ Eric D. Shaf</w:t>
      </w:r>
    </w:p>
    <w:p>
      <w:pPr>
        <w:ind w:left="1000"/>
        <w:spacing w:after="0" w:line="238" w:lineRule="auto"/>
        <w:rPr>
          <w:sz w:val="20"/>
          <w:szCs w:val="20"/>
          <w:color w:val="auto"/>
        </w:rPr>
      </w:pPr>
      <w:r>
        <w:rPr>
          <w:rFonts w:ascii="Calibri" w:cs="Calibri" w:eastAsia="Calibri" w:hAnsi="Calibri"/>
          <w:sz w:val="20"/>
          <w:szCs w:val="20"/>
          <w:color w:val="auto"/>
        </w:rPr>
        <w:t>NAME ERIC D. SHAFF</w:t>
      </w:r>
    </w:p>
    <w:p>
      <w:pPr>
        <w:ind w:left="1000"/>
        <w:spacing w:after="0"/>
        <w:rPr>
          <w:sz w:val="20"/>
          <w:szCs w:val="20"/>
          <w:color w:val="auto"/>
        </w:rPr>
      </w:pPr>
      <w:r>
        <w:rPr>
          <w:rFonts w:ascii="Calibri" w:cs="Calibri" w:eastAsia="Calibri" w:hAnsi="Calibri"/>
          <w:sz w:val="20"/>
          <w:szCs w:val="20"/>
          <w:color w:val="auto"/>
        </w:rPr>
        <w:t>TITLE PRESIDENT, CEO</w:t>
      </w:r>
    </w:p>
    <w:p>
      <w:pPr>
        <w:ind w:left="1000"/>
        <w:spacing w:after="0" w:line="238" w:lineRule="auto"/>
        <w:rPr>
          <w:sz w:val="20"/>
          <w:szCs w:val="20"/>
          <w:color w:val="auto"/>
        </w:rPr>
      </w:pPr>
      <w:r>
        <w:rPr>
          <w:rFonts w:ascii="Calibri" w:cs="Calibri" w:eastAsia="Calibri" w:hAnsi="Calibri"/>
          <w:sz w:val="20"/>
          <w:szCs w:val="20"/>
          <w:color w:val="auto"/>
        </w:rPr>
        <w:t>DATE December 17, 2022 | 1:11PM PST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Calibri" w:cs="Calibri" w:eastAsia="Calibri" w:hAnsi="Calibri"/>
                <w:sz w:val="20"/>
                <w:szCs w:val="20"/>
                <w:color w:val="auto"/>
              </w:rPr>
              <w:t>SIGNED BY:</w:t>
            </w:r>
          </w:p>
        </w:tc>
        <w:tc>
          <w:tcPr>
            <w:tcW w:w="4880" w:type="dxa"/>
            <w:vAlign w:val="bottom"/>
            <w:gridSpan w:val="2"/>
          </w:tcPr>
          <w:p>
            <w:pPr>
              <w:spacing w:after="0"/>
              <w:rPr>
                <w:sz w:val="20"/>
                <w:szCs w:val="20"/>
                <w:color w:val="auto"/>
              </w:rPr>
            </w:pPr>
            <w:r>
              <w:rPr>
                <w:rFonts w:ascii="Calibri" w:cs="Calibri" w:eastAsia="Calibri" w:hAnsi="Calibri"/>
                <w:sz w:val="20"/>
                <w:szCs w:val="20"/>
                <w:color w:val="auto"/>
              </w:rPr>
              <w:t>SIGNED BY:</w:t>
            </w:r>
          </w:p>
        </w:tc>
      </w:tr>
      <w:tr>
        <w:trPr>
          <w:trHeight w:val="243"/>
        </w:trPr>
        <w:tc>
          <w:tcPr>
            <w:tcW w:w="980" w:type="dxa"/>
            <w:vAlign w:val="bottom"/>
          </w:tcPr>
          <w:p>
            <w:pPr>
              <w:spacing w:after="0"/>
              <w:rPr>
                <w:sz w:val="21"/>
                <w:szCs w:val="21"/>
                <w:color w:val="auto"/>
              </w:rPr>
            </w:pPr>
          </w:p>
        </w:tc>
        <w:tc>
          <w:tcPr>
            <w:tcW w:w="5380" w:type="dxa"/>
            <w:vAlign w:val="bottom"/>
            <w:gridSpan w:val="2"/>
          </w:tcPr>
          <w:p>
            <w:pPr>
              <w:ind w:left="20"/>
              <w:spacing w:after="0" w:line="243" w:lineRule="exact"/>
              <w:rPr>
                <w:sz w:val="20"/>
                <w:szCs w:val="20"/>
                <w:color w:val="auto"/>
              </w:rPr>
            </w:pPr>
            <w:r>
              <w:rPr>
                <w:rFonts w:ascii="Calibri" w:cs="Calibri" w:eastAsia="Calibri" w:hAnsi="Calibri"/>
                <w:sz w:val="20"/>
                <w:szCs w:val="20"/>
                <w:color w:val="auto"/>
              </w:rPr>
              <w:t>For and on behalf of</w:t>
            </w:r>
          </w:p>
        </w:tc>
        <w:tc>
          <w:tcPr>
            <w:tcW w:w="4880" w:type="dxa"/>
            <w:vAlign w:val="bottom"/>
            <w:gridSpan w:val="2"/>
          </w:tcPr>
          <w:p>
            <w:pPr>
              <w:spacing w:after="0" w:line="243" w:lineRule="exact"/>
              <w:rPr>
                <w:sz w:val="20"/>
                <w:szCs w:val="20"/>
                <w:color w:val="auto"/>
              </w:rPr>
            </w:pPr>
            <w:r>
              <w:rPr>
                <w:rFonts w:ascii="Calibri" w:cs="Calibri" w:eastAsia="Calibri" w:hAnsi="Calibri"/>
                <w:sz w:val="20"/>
                <w:szCs w:val="20"/>
                <w:color w:val="auto"/>
              </w:rPr>
              <w:t>For and on behalf of</w:t>
            </w:r>
          </w:p>
        </w:tc>
      </w:tr>
      <w:tr>
        <w:trPr>
          <w:trHeight w:val="243"/>
        </w:trPr>
        <w:tc>
          <w:tcPr>
            <w:tcW w:w="980" w:type="dxa"/>
            <w:vAlign w:val="bottom"/>
          </w:tcPr>
          <w:p>
            <w:pPr>
              <w:spacing w:after="0"/>
              <w:rPr>
                <w:sz w:val="21"/>
                <w:szCs w:val="21"/>
                <w:color w:val="auto"/>
              </w:rPr>
            </w:pPr>
          </w:p>
        </w:tc>
        <w:tc>
          <w:tcPr>
            <w:tcW w:w="5380" w:type="dxa"/>
            <w:vAlign w:val="bottom"/>
            <w:gridSpan w:val="2"/>
          </w:tcPr>
          <w:p>
            <w:pPr>
              <w:ind w:left="20"/>
              <w:spacing w:after="0" w:line="243" w:lineRule="exact"/>
              <w:rPr>
                <w:sz w:val="20"/>
                <w:szCs w:val="20"/>
                <w:color w:val="auto"/>
              </w:rPr>
            </w:pPr>
            <w:r>
              <w:rPr>
                <w:rFonts w:ascii="Calibri" w:cs="Calibri" w:eastAsia="Calibri" w:hAnsi="Calibri"/>
                <w:sz w:val="20"/>
                <w:szCs w:val="20"/>
                <w:color w:val="auto"/>
              </w:rPr>
              <w:t>BacThera AG</w:t>
            </w:r>
          </w:p>
        </w:tc>
        <w:tc>
          <w:tcPr>
            <w:tcW w:w="4880" w:type="dxa"/>
            <w:vAlign w:val="bottom"/>
            <w:gridSpan w:val="2"/>
          </w:tcPr>
          <w:p>
            <w:pPr>
              <w:spacing w:after="0" w:line="243" w:lineRule="exact"/>
              <w:rPr>
                <w:sz w:val="20"/>
                <w:szCs w:val="20"/>
                <w:color w:val="auto"/>
              </w:rPr>
            </w:pPr>
            <w:r>
              <w:rPr>
                <w:rFonts w:ascii="Calibri" w:cs="Calibri" w:eastAsia="Calibri" w:hAnsi="Calibri"/>
                <w:sz w:val="20"/>
                <w:szCs w:val="20"/>
                <w:color w:val="auto"/>
              </w:rPr>
              <w:t>BacThera AG</w:t>
            </w:r>
          </w:p>
        </w:tc>
      </w:tr>
      <w:tr>
        <w:trPr>
          <w:trHeight w:val="694"/>
        </w:trPr>
        <w:tc>
          <w:tcPr>
            <w:tcW w:w="9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Calibri" w:cs="Calibri" w:eastAsia="Calibri" w:hAnsi="Calibri"/>
                <w:sz w:val="20"/>
                <w:szCs w:val="20"/>
                <w:color w:val="auto"/>
                <w:w w:val="97"/>
              </w:rPr>
              <w:t>/s/ [***]</w:t>
            </w:r>
          </w:p>
        </w:tc>
        <w:tc>
          <w:tcPr>
            <w:tcW w:w="466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Calibri" w:cs="Calibri" w:eastAsia="Calibri" w:hAnsi="Calibri"/>
                <w:sz w:val="20"/>
                <w:szCs w:val="20"/>
                <w:color w:val="auto"/>
              </w:rPr>
              <w:t>/s/ [***]</w:t>
            </w:r>
          </w:p>
        </w:tc>
      </w:tr>
      <w:tr>
        <w:trPr>
          <w:trHeight w:val="20"/>
        </w:trPr>
        <w:tc>
          <w:tcPr>
            <w:tcW w:w="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58"/>
        </w:trPr>
        <w:tc>
          <w:tcPr>
            <w:tcW w:w="980" w:type="dxa"/>
            <w:vAlign w:val="bottom"/>
          </w:tcPr>
          <w:p>
            <w:pPr>
              <w:spacing w:after="0"/>
              <w:rPr>
                <w:sz w:val="22"/>
                <w:szCs w:val="22"/>
                <w:color w:val="auto"/>
              </w:rPr>
            </w:pPr>
          </w:p>
        </w:tc>
        <w:tc>
          <w:tcPr>
            <w:tcW w:w="5380" w:type="dxa"/>
            <w:vAlign w:val="bottom"/>
            <w:gridSpan w:val="2"/>
          </w:tcPr>
          <w:p>
            <w:pPr>
              <w:ind w:left="20"/>
              <w:spacing w:after="0"/>
              <w:rPr>
                <w:sz w:val="20"/>
                <w:szCs w:val="20"/>
                <w:color w:val="auto"/>
              </w:rPr>
            </w:pPr>
            <w:r>
              <w:rPr>
                <w:rFonts w:ascii="Calibri" w:cs="Calibri" w:eastAsia="Calibri" w:hAnsi="Calibri"/>
                <w:sz w:val="20"/>
                <w:szCs w:val="20"/>
                <w:color w:val="auto"/>
              </w:rPr>
              <w:t>Name [***]</w:t>
            </w:r>
          </w:p>
        </w:tc>
        <w:tc>
          <w:tcPr>
            <w:tcW w:w="4880" w:type="dxa"/>
            <w:vAlign w:val="bottom"/>
            <w:gridSpan w:val="2"/>
          </w:tcPr>
          <w:p>
            <w:pPr>
              <w:spacing w:after="0"/>
              <w:rPr>
                <w:sz w:val="20"/>
                <w:szCs w:val="20"/>
                <w:color w:val="auto"/>
              </w:rPr>
            </w:pPr>
            <w:r>
              <w:rPr>
                <w:rFonts w:ascii="Calibri" w:cs="Calibri" w:eastAsia="Calibri" w:hAnsi="Calibri"/>
                <w:sz w:val="20"/>
                <w:szCs w:val="20"/>
                <w:color w:val="auto"/>
              </w:rPr>
              <w:t>Name [***]</w:t>
            </w:r>
          </w:p>
        </w:tc>
      </w:tr>
      <w:tr>
        <w:trPr>
          <w:trHeight w:val="243"/>
        </w:trPr>
        <w:tc>
          <w:tcPr>
            <w:tcW w:w="980" w:type="dxa"/>
            <w:vAlign w:val="bottom"/>
          </w:tcPr>
          <w:p>
            <w:pPr>
              <w:spacing w:after="0"/>
              <w:rPr>
                <w:sz w:val="21"/>
                <w:szCs w:val="21"/>
                <w:color w:val="auto"/>
              </w:rPr>
            </w:pPr>
          </w:p>
        </w:tc>
        <w:tc>
          <w:tcPr>
            <w:tcW w:w="5380" w:type="dxa"/>
            <w:vAlign w:val="bottom"/>
            <w:gridSpan w:val="2"/>
          </w:tcPr>
          <w:p>
            <w:pPr>
              <w:ind w:left="20"/>
              <w:spacing w:after="0" w:line="243" w:lineRule="exact"/>
              <w:rPr>
                <w:sz w:val="20"/>
                <w:szCs w:val="20"/>
                <w:color w:val="auto"/>
              </w:rPr>
            </w:pPr>
            <w:r>
              <w:rPr>
                <w:rFonts w:ascii="Calibri" w:cs="Calibri" w:eastAsia="Calibri" w:hAnsi="Calibri"/>
                <w:sz w:val="20"/>
                <w:szCs w:val="20"/>
                <w:color w:val="auto"/>
              </w:rPr>
              <w:t>Title [***]</w:t>
            </w:r>
          </w:p>
        </w:tc>
        <w:tc>
          <w:tcPr>
            <w:tcW w:w="4880" w:type="dxa"/>
            <w:vAlign w:val="bottom"/>
            <w:gridSpan w:val="2"/>
          </w:tcPr>
          <w:p>
            <w:pPr>
              <w:spacing w:after="0" w:line="243" w:lineRule="exact"/>
              <w:rPr>
                <w:sz w:val="20"/>
                <w:szCs w:val="20"/>
                <w:color w:val="auto"/>
              </w:rPr>
            </w:pPr>
            <w:r>
              <w:rPr>
                <w:rFonts w:ascii="Calibri" w:cs="Calibri" w:eastAsia="Calibri" w:hAnsi="Calibri"/>
                <w:sz w:val="20"/>
                <w:szCs w:val="20"/>
                <w:color w:val="auto"/>
              </w:rPr>
              <w:t>Title [***]</w:t>
            </w:r>
          </w:p>
        </w:tc>
      </w:tr>
      <w:tr>
        <w:trPr>
          <w:trHeight w:val="243"/>
        </w:trPr>
        <w:tc>
          <w:tcPr>
            <w:tcW w:w="980" w:type="dxa"/>
            <w:vAlign w:val="bottom"/>
          </w:tcPr>
          <w:p>
            <w:pPr>
              <w:spacing w:after="0"/>
              <w:rPr>
                <w:sz w:val="21"/>
                <w:szCs w:val="21"/>
                <w:color w:val="auto"/>
              </w:rPr>
            </w:pPr>
          </w:p>
        </w:tc>
        <w:tc>
          <w:tcPr>
            <w:tcW w:w="5380" w:type="dxa"/>
            <w:vAlign w:val="bottom"/>
            <w:gridSpan w:val="2"/>
          </w:tcPr>
          <w:p>
            <w:pPr>
              <w:ind w:left="20"/>
              <w:spacing w:after="0" w:line="243" w:lineRule="exact"/>
              <w:rPr>
                <w:sz w:val="20"/>
                <w:szCs w:val="20"/>
                <w:color w:val="auto"/>
              </w:rPr>
            </w:pPr>
            <w:r>
              <w:rPr>
                <w:rFonts w:ascii="Calibri" w:cs="Calibri" w:eastAsia="Calibri" w:hAnsi="Calibri"/>
                <w:sz w:val="20"/>
                <w:szCs w:val="20"/>
                <w:color w:val="auto"/>
              </w:rPr>
              <w:t>Date December 20, 2022</w:t>
            </w:r>
          </w:p>
        </w:tc>
        <w:tc>
          <w:tcPr>
            <w:tcW w:w="4880" w:type="dxa"/>
            <w:vAlign w:val="bottom"/>
            <w:gridSpan w:val="2"/>
          </w:tcPr>
          <w:p>
            <w:pPr>
              <w:spacing w:after="0" w:line="243" w:lineRule="exact"/>
              <w:rPr>
                <w:sz w:val="20"/>
                <w:szCs w:val="20"/>
                <w:color w:val="auto"/>
              </w:rPr>
            </w:pPr>
            <w:r>
              <w:rPr>
                <w:rFonts w:ascii="Calibri" w:cs="Calibri" w:eastAsia="Calibri" w:hAnsi="Calibri"/>
                <w:sz w:val="20"/>
                <w:szCs w:val="20"/>
                <w:color w:val="auto"/>
              </w:rPr>
              <w:t>Date December 20, 2022</w:t>
            </w:r>
          </w:p>
        </w:tc>
      </w:tr>
      <w:tr>
        <w:trPr>
          <w:trHeight w:val="1579"/>
        </w:trPr>
        <w:tc>
          <w:tcPr>
            <w:tcW w:w="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1" w:name="page192"/>
    <w:bookmarkEnd w:id="191"/>
    <w:p>
      <w:pPr>
        <w:jc w:val="center"/>
        <w:ind w:right="-1060"/>
        <w:spacing w:after="0"/>
        <w:rPr>
          <w:sz w:val="20"/>
          <w:szCs w:val="20"/>
          <w:color w:val="auto"/>
        </w:rPr>
      </w:pPr>
      <w:r>
        <w:rPr>
          <w:rFonts w:ascii="Calibri" w:cs="Calibri" w:eastAsia="Calibri" w:hAnsi="Calibri"/>
          <w:sz w:val="20"/>
          <w:szCs w:val="20"/>
          <w:b w:val="1"/>
          <w:bCs w:val="1"/>
          <w:color w:val="auto"/>
        </w:rPr>
        <w:t>Exhibit 1</w:t>
      </w:r>
    </w:p>
    <w:p>
      <w:pPr>
        <w:spacing w:after="0" w:line="9" w:lineRule="exact"/>
        <w:rPr>
          <w:sz w:val="20"/>
          <w:szCs w:val="20"/>
          <w:color w:val="auto"/>
        </w:rPr>
      </w:pPr>
    </w:p>
    <w:p>
      <w:pPr>
        <w:jc w:val="center"/>
        <w:ind w:right="-1060"/>
        <w:spacing w:after="0"/>
        <w:rPr>
          <w:sz w:val="20"/>
          <w:szCs w:val="20"/>
          <w:color w:val="auto"/>
        </w:rPr>
      </w:pPr>
      <w:r>
        <w:rPr>
          <w:rFonts w:ascii="Calibri" w:cs="Calibri" w:eastAsia="Calibri" w:hAnsi="Calibri"/>
          <w:sz w:val="19"/>
          <w:szCs w:val="19"/>
          <w:color w:val="auto"/>
        </w:rPr>
        <w:t>Change Order</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9"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117" w:lineRule="exact"/>
        <w:rPr>
          <w:sz w:val="20"/>
          <w:szCs w:val="20"/>
          <w:color w:val="auto"/>
        </w:rPr>
      </w:pPr>
    </w:p>
    <w:p>
      <w:pPr>
        <w:ind w:left="2760"/>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333-269081, 333-263134, 333-253776, 333-236824, 333-230092, 333-223514, 333-210171 and 333-205253) and Form S-3 (Nos.333-244401, 333- 237033 and 333-216735) of Seres Therapeutics, Inc. of our report dated March 7, 2023 relating to the financial statements and the effectiveness of internal control over financial reporting, which appears in this Form 10-K.</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/s/PricewaterhouseCoopers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March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0"/>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D. Shaff, certify that:</w:t>
      </w:r>
    </w:p>
    <w:p>
      <w:pPr>
        <w:spacing w:after="0" w:line="117" w:lineRule="exact"/>
        <w:rPr>
          <w:sz w:val="20"/>
          <w:szCs w:val="20"/>
          <w:color w:val="auto"/>
        </w:rPr>
      </w:pPr>
    </w:p>
    <w:p>
      <w:pPr>
        <w:ind w:left="700" w:hanging="183"/>
        <w:spacing w:after="0"/>
        <w:tabs>
          <w:tab w:leader="none" w:pos="7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Seres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66" w:lineRule="auto"/>
        <w:tabs>
          <w:tab w:leader="none" w:pos="128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517"/>
        <w:spacing w:after="0" w:line="282" w:lineRule="auto"/>
        <w:tabs>
          <w:tab w:leader="none" w:pos="68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March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Eric D. Shaff</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Arkowitz, certify that:</w:t>
      </w:r>
    </w:p>
    <w:p>
      <w:pPr>
        <w:spacing w:after="0" w:line="117" w:lineRule="exact"/>
        <w:rPr>
          <w:sz w:val="20"/>
          <w:szCs w:val="20"/>
          <w:color w:val="auto"/>
        </w:rPr>
      </w:pPr>
    </w:p>
    <w:p>
      <w:pPr>
        <w:ind w:left="700" w:hanging="183"/>
        <w:spacing w:after="0"/>
        <w:tabs>
          <w:tab w:leader="none" w:pos="7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Seres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66" w:lineRule="auto"/>
        <w:tabs>
          <w:tab w:leader="none" w:pos="128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517"/>
        <w:spacing w:after="0" w:line="282" w:lineRule="auto"/>
        <w:tabs>
          <w:tab w:leader="none" w:pos="68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March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Arkowitz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David Arkowitz</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Chief Financial Officer and Head of</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Business Development</w:t>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 Eric D. Shaff, President and Chief Executive Officer of Seres Therapeutics, Inc. (the “Company”), hereby certify, pursuant to 18 U.S.C. §1350, as adopted pursuant to §906 of the Sarbanes-Oxley Act of 2002, that, to the best of my knowledge:</w:t>
      </w:r>
    </w:p>
    <w:p>
      <w:pPr>
        <w:spacing w:after="0" w:line="67" w:lineRule="exact"/>
        <w:rPr>
          <w:sz w:val="20"/>
          <w:szCs w:val="20"/>
          <w:color w:val="auto"/>
        </w:rPr>
      </w:pPr>
    </w:p>
    <w:p>
      <w:pPr>
        <w:ind w:left="1020" w:right="800" w:hanging="503"/>
        <w:spacing w:after="0" w:line="282" w:lineRule="auto"/>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2022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March 7, 2023</w:t>
      </w:r>
      <w:r>
        <w:rPr>
          <w:sz w:val="20"/>
          <w:szCs w:val="20"/>
          <w:color w:val="auto"/>
        </w:rPr>
        <w:tab/>
      </w:r>
      <w:r>
        <w:rPr>
          <w:rFonts w:ascii="Times New Roman" w:cs="Times New Roman" w:eastAsia="Times New Roman" w:hAnsi="Times New Roman"/>
          <w:sz w:val="17"/>
          <w:szCs w:val="17"/>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Eric D. Shaff</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I, David Arkowitz, Executive Vice President, Chief Financial Officer and Head of Business Development of Seres Therapeutics, Inc. (the “Company”), hereby certify, pursuant to 18 U.S.C. §1350, as adopted pursuant to §906 of the Sarbanes-Oxley Act of 2002, that, to the best of my knowledge:</w:t>
      </w:r>
    </w:p>
    <w:p>
      <w:pPr>
        <w:spacing w:after="0" w:line="45" w:lineRule="exact"/>
        <w:rPr>
          <w:sz w:val="20"/>
          <w:szCs w:val="20"/>
          <w:color w:val="auto"/>
        </w:rPr>
      </w:pPr>
    </w:p>
    <w:p>
      <w:pPr>
        <w:ind w:left="1020" w:right="800" w:hanging="503"/>
        <w:spacing w:after="0" w:line="282"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2022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March 7, 2023</w:t>
      </w:r>
      <w:r>
        <w:rPr>
          <w:sz w:val="20"/>
          <w:szCs w:val="20"/>
          <w:color w:val="auto"/>
        </w:rPr>
        <w:tab/>
      </w:r>
      <w:r>
        <w:rPr>
          <w:rFonts w:ascii="Times New Roman" w:cs="Times New Roman" w:eastAsia="Times New Roman" w:hAnsi="Times New Roman"/>
          <w:sz w:val="17"/>
          <w:szCs w:val="17"/>
          <w:color w:val="auto"/>
        </w:rPr>
        <w:t>/s/ David Arkowitz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Arkowitz</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Chief Financial Officer and Head of Business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Development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7" w:name="page198"/>
    <w:bookmarkEnd w:id="1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1)"/>
      <w:numFmt w:val="lowerRoman"/>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1)"/>
      <w:numFmt w:val="lowerLetter"/>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1)"/>
      <w:numFmt w:val="lowerRoman"/>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1."/>
      <w:numFmt w:val="upperLetter"/>
      <w:start w:val="6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1)"/>
      <w:numFmt w:val="lowerRoman"/>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1)"/>
      <w:numFmt w:val="lowerRoman"/>
      <w:start w:val="1"/>
    </w:lvl>
  </w:abstractNum>
  <w:abstractNum w:abstractNumId="60">
    <w:nsid w:val="415E286C"/>
    <w:multiLevelType w:val="hybridMultilevel"/>
    <w:lvl w:ilvl="0">
      <w:lvlJc w:val="left"/>
      <w:lvlText w:val="(%1)"/>
      <w:numFmt w:val="decimal"/>
      <w:start w:val="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1]"/>
      <w:numFmt w:val="decimal"/>
      <w:start w:val="1"/>
    </w:lvl>
  </w:abstractNum>
  <w:abstractNum w:abstractNumId="63">
    <w:nsid w:val="45E6D486"/>
    <w:multiLevelType w:val="hybridMultilevel"/>
    <w:lvl w:ilvl="0">
      <w:lvlJc w:val="left"/>
      <w:lvlText w:val="[%1]"/>
      <w:numFmt w:val="decimal"/>
      <w:start w:val="3"/>
    </w:lvl>
  </w:abstractNum>
  <w:abstractNum w:abstractNumId="64">
    <w:nsid w:val="5C10FE21"/>
    <w:multiLevelType w:val="hybridMultilevel"/>
    <w:lvl w:ilvl="0">
      <w:lvlJc w:val="left"/>
      <w:lvlText w:val="%1."/>
      <w:numFmt w:val="decimal"/>
      <w:start w:val="1"/>
    </w:lvl>
  </w:abstractNum>
  <w:abstractNum w:abstractNumId="65">
    <w:nsid w:val="E7FFA2B"/>
    <w:multiLevelType w:val="hybridMultilevel"/>
    <w:lvl w:ilvl="0">
      <w:lvlJc w:val="left"/>
      <w:lvlText w:val="%1."/>
      <w:numFmt w:val="decimal"/>
      <w:start w:val="2"/>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1."/>
      <w:numFmt w:val="lowerLetter"/>
      <w:start w:val="1"/>
    </w:lvl>
  </w:abstractNum>
  <w:abstractNum w:abstractNumId="68">
    <w:nsid w:val="78DF6A55"/>
    <w:multiLevelType w:val="hybridMultilevel"/>
    <w:lvl w:ilvl="0">
      <w:lvlJc w:val="left"/>
      <w:lvlText w:val="%1."/>
      <w:numFmt w:val="decimal"/>
      <w:start w:val="3"/>
    </w:lvl>
  </w:abstractNum>
  <w:abstractNum w:abstractNumId="69">
    <w:nsid w:val="39B7AAA2"/>
    <w:multiLevelType w:val="hybridMultilevel"/>
    <w:lvl w:ilvl="0">
      <w:lvlJc w:val="left"/>
      <w:lvlText w:val="%1."/>
      <w:numFmt w:val="decimal"/>
      <w:start w:val="4"/>
    </w:lvl>
  </w:abstractNum>
  <w:abstractNum w:abstractNumId="70">
    <w:nsid w:val="2B0D8DBE"/>
    <w:multiLevelType w:val="hybridMultilevel"/>
    <w:lvl w:ilvl="0">
      <w:lvlJc w:val="left"/>
      <w:lvlText w:val="%1."/>
      <w:numFmt w:val="decimal"/>
      <w:start w:val="5"/>
    </w:lvl>
  </w:abstractNum>
  <w:abstractNum w:abstractNumId="71">
    <w:nsid w:val="6C80EC70"/>
    <w:multiLevelType w:val="hybridMultilevel"/>
    <w:lvl w:ilvl="0">
      <w:lvlJc w:val="left"/>
      <w:lvlText w:val="%1."/>
      <w:numFmt w:val="decimal"/>
      <w:start w:val="6"/>
    </w:lvl>
  </w:abstractNum>
  <w:abstractNum w:abstractNumId="72">
    <w:nsid w:val="379E21B5"/>
    <w:multiLevelType w:val="hybridMultilevel"/>
    <w:lvl w:ilvl="0">
      <w:lvlJc w:val="left"/>
      <w:lvlText w:val="%1."/>
      <w:numFmt w:val="decimal"/>
      <w:start w:val="7"/>
    </w:lvl>
  </w:abstractNum>
  <w:abstractNum w:abstractNumId="73">
    <w:nsid w:val="69E373"/>
    <w:multiLevelType w:val="hybridMultilevel"/>
    <w:lvl w:ilvl="0">
      <w:lvlJc w:val="left"/>
      <w:lvlText w:val="%1."/>
      <w:numFmt w:val="decimal"/>
      <w:start w:val="8"/>
    </w:lvl>
  </w:abstractNum>
  <w:abstractNum w:abstractNumId="74">
    <w:nsid w:val="2C27173B"/>
    <w:multiLevelType w:val="hybridMultilevel"/>
    <w:lvl w:ilvl="0">
      <w:lvlJc w:val="left"/>
      <w:lvlText w:val="(%1)"/>
      <w:numFmt w:val="lowerRoman"/>
      <w:start w:val="2"/>
    </w:lvl>
  </w:abstractNum>
  <w:abstractNum w:abstractNumId="75">
    <w:nsid w:val="4C9B0904"/>
    <w:multiLevelType w:val="hybridMultilevel"/>
    <w:lvl w:ilvl="0">
      <w:lvlJc w:val="left"/>
      <w:lvlText w:val="%1."/>
      <w:numFmt w:val="decimal"/>
      <w:start w:val="9"/>
    </w:lvl>
  </w:abstractNum>
  <w:abstractNum w:abstractNumId="76">
    <w:nsid w:val="6AA7B75C"/>
    <w:multiLevelType w:val="hybridMultilevel"/>
    <w:lvl w:ilvl="0">
      <w:lvlJc w:val="left"/>
      <w:lvlText w:val="%1."/>
      <w:numFmt w:val="decimal"/>
      <w:start w:val="10"/>
    </w:lvl>
  </w:abstractNum>
  <w:abstractNum w:abstractNumId="77">
    <w:nsid w:val="1DF029D3"/>
    <w:multiLevelType w:val="hybridMultilevel"/>
    <w:lvl w:ilvl="0">
      <w:lvlJc w:val="left"/>
      <w:lvlText w:val="%1."/>
      <w:numFmt w:val="decimal"/>
      <w:start w:val="11"/>
    </w:lvl>
  </w:abstractNum>
  <w:abstractNum w:abstractNumId="78">
    <w:nsid w:val="5675FF36"/>
    <w:multiLevelType w:val="hybridMultilevel"/>
    <w:lvl w:ilvl="0">
      <w:lvlJc w:val="left"/>
      <w:lvlText w:val="%1."/>
      <w:numFmt w:val="decimal"/>
      <w:start w:val="606"/>
    </w:lvl>
  </w:abstractNum>
  <w:abstractNum w:abstractNumId="79">
    <w:nsid w:val="3DD15094"/>
    <w:multiLevelType w:val="hybridMultilevel"/>
    <w:lvl w:ilvl="0">
      <w:lvlJc w:val="left"/>
      <w:lvlText w:val="%1."/>
      <w:numFmt w:val="decimal"/>
      <w:start w:val="12"/>
    </w:lvl>
  </w:abstractNum>
  <w:abstractNum w:abstractNumId="80">
    <w:nsid w:val="3DB012B3"/>
    <w:multiLevelType w:val="hybridMultilevel"/>
    <w:lvl w:ilvl="0">
      <w:lvlJc w:val="left"/>
      <w:lvlText w:val="%1."/>
      <w:numFmt w:val="decimal"/>
      <w:start w:val="13"/>
    </w:lvl>
  </w:abstractNum>
  <w:abstractNum w:abstractNumId="81">
    <w:nsid w:val="2708C9AF"/>
    <w:multiLevelType w:val="hybridMultilevel"/>
    <w:lvl w:ilvl="0">
      <w:lvlJc w:val="left"/>
      <w:lvlText w:val="%1."/>
      <w:numFmt w:val="decimal"/>
      <w:start w:val="14"/>
    </w:lvl>
  </w:abstractNum>
  <w:abstractNum w:abstractNumId="82">
    <w:nsid w:val="5B25ACE2"/>
    <w:multiLevelType w:val="hybridMultilevel"/>
    <w:lvl w:ilvl="0">
      <w:lvlJc w:val="left"/>
      <w:lvlText w:val="%1."/>
      <w:numFmt w:val="decimal"/>
      <w:start w:val="15"/>
    </w:lvl>
  </w:abstractNum>
  <w:abstractNum w:abstractNumId="83">
    <w:nsid w:val="175DFCF0"/>
    <w:multiLevelType w:val="hybridMultilevel"/>
    <w:lvl w:ilvl="0">
      <w:lvlJc w:val="left"/>
      <w:lvlText w:val="%1."/>
      <w:numFmt w:val="decimal"/>
      <w:start w:val="16"/>
    </w:lvl>
  </w:abstractNum>
  <w:abstractNum w:abstractNumId="84">
    <w:nsid w:val="4F97E3E4"/>
    <w:multiLevelType w:val="hybridMultilevel"/>
    <w:lvl w:ilvl="0">
      <w:lvlJc w:val="left"/>
      <w:lvlText w:val="(%1)"/>
      <w:numFmt w:val="lowerLetter"/>
      <w:start w:val="1"/>
    </w:lvl>
  </w:abstractNum>
  <w:abstractNum w:abstractNumId="85">
    <w:nsid w:val="53B0A9E"/>
    <w:multiLevelType w:val="hybridMultilevel"/>
    <w:lvl w:ilvl="0">
      <w:lvlJc w:val="left"/>
      <w:lvlText w:val="(%1)"/>
      <w:numFmt w:val="lowerLetter"/>
      <w:start w:val="1"/>
    </w:lvl>
  </w:abstractNum>
  <w:abstractNum w:abstractNumId="86">
    <w:nsid w:val="34FD6B4F"/>
    <w:multiLevelType w:val="hybridMultilevel"/>
    <w:lvl w:ilvl="0">
      <w:lvlJc w:val="left"/>
      <w:lvlText w:val="(%1)"/>
      <w:numFmt w:val="lowerLetter"/>
      <w:start w:val="3"/>
    </w:lvl>
  </w:abstractNum>
  <w:abstractNum w:abstractNumId="87">
    <w:nsid w:val="5915FF32"/>
    <w:multiLevelType w:val="hybridMultilevel"/>
    <w:lvl w:ilvl="0">
      <w:lvlJc w:val="left"/>
      <w:lvlText w:val="(%1)"/>
      <w:numFmt w:val="lowerLetter"/>
      <w:start w:val="1"/>
    </w:lvl>
  </w:abstractNum>
  <w:abstractNum w:abstractNumId="88">
    <w:nsid w:val="56438D15"/>
    <w:multiLevelType w:val="hybridMultilevel"/>
    <w:lvl w:ilvl="0">
      <w:lvlJc w:val="left"/>
      <w:lvlText w:val="(%1)"/>
      <w:numFmt w:val="lowerLetter"/>
      <w:start w:val="3"/>
    </w:lvl>
    <w:lvl w:ilvl="1">
      <w:lvlJc w:val="left"/>
      <w:lvlText w:val="(%2)"/>
      <w:numFmt w:val="lowerRoman"/>
      <w:start w:val="1"/>
    </w:lvl>
  </w:abstractNum>
  <w:abstractNum w:abstractNumId="89">
    <w:nsid w:val="519E3149"/>
    <w:multiLevelType w:val="hybridMultilevel"/>
    <w:lvl w:ilvl="0">
      <w:lvlJc w:val="left"/>
      <w:lvlText w:val="(%1)"/>
      <w:numFmt w:val="lowerLetter"/>
      <w:start w:val="1"/>
    </w:lvl>
  </w:abstractNum>
  <w:abstractNum w:abstractNumId="90">
    <w:nsid w:val="2C6E4AFD"/>
    <w:multiLevelType w:val="hybridMultilevel"/>
    <w:lvl w:ilvl="0">
      <w:lvlJc w:val="left"/>
      <w:lvlText w:val="(%1)"/>
      <w:numFmt w:val="lowerLetter"/>
      <w:start w:val="2"/>
    </w:lvl>
    <w:lvl w:ilvl="1">
      <w:lvlJc w:val="left"/>
      <w:lvlText w:val="(%2)"/>
      <w:numFmt w:val="lowerRoman"/>
      <w:start w:val="1"/>
    </w:lvl>
  </w:abstractNum>
  <w:abstractNum w:abstractNumId="91">
    <w:nsid w:val="17A1B582"/>
    <w:multiLevelType w:val="hybridMultilevel"/>
    <w:lvl w:ilvl="0">
      <w:lvlJc w:val="left"/>
      <w:lvlText w:val="(%1)"/>
      <w:numFmt w:val="lowerLetter"/>
      <w:start w:val="1"/>
    </w:lvl>
  </w:abstractNum>
  <w:abstractNum w:abstractNumId="92">
    <w:nsid w:val="4DF72E4E"/>
    <w:multiLevelType w:val="hybridMultilevel"/>
    <w:lvl w:ilvl="0">
      <w:lvlJc w:val="left"/>
      <w:lvlText w:val="(%1)"/>
      <w:numFmt w:val="lowerLetter"/>
      <w:start w:val="2"/>
    </w:lvl>
    <w:lvl w:ilvl="1">
      <w:lvlJc w:val="left"/>
      <w:lvlText w:val="(%2)"/>
      <w:numFmt w:val="lowerRoman"/>
      <w:start w:val="1"/>
    </w:lvl>
  </w:abstractNum>
  <w:abstractNum w:abstractNumId="93">
    <w:nsid w:val="5046B5A9"/>
    <w:multiLevelType w:val="hybridMultilevel"/>
    <w:lvl w:ilvl="0">
      <w:lvlJc w:val="left"/>
      <w:lvlText w:val="(%1)"/>
      <w:numFmt w:val="lowerLetter"/>
      <w:start w:val="4"/>
    </w:lvl>
  </w:abstractNum>
  <w:abstractNum w:abstractNumId="94">
    <w:nsid w:val="5D888A08"/>
    <w:multiLevelType w:val="hybridMultilevel"/>
    <w:lvl w:ilvl="0">
      <w:lvlJc w:val="left"/>
      <w:lvlText w:val="(%1)"/>
      <w:numFmt w:val="lowerLetter"/>
      <w:start w:val="1"/>
    </w:lvl>
  </w:abstractNum>
  <w:abstractNum w:abstractNumId="95">
    <w:nsid w:val="2A082C70"/>
    <w:multiLevelType w:val="hybridMultilevel"/>
    <w:lvl w:ilvl="0">
      <w:lvlJc w:val="left"/>
      <w:lvlText w:val="(%1)"/>
      <w:numFmt w:val="lowerLetter"/>
      <w:start w:val="2"/>
    </w:lvl>
  </w:abstractNum>
  <w:abstractNum w:abstractNumId="96">
    <w:nsid w:val="5EC6AFD4"/>
    <w:multiLevelType w:val="hybridMultilevel"/>
    <w:lvl w:ilvl="0">
      <w:lvlJc w:val="left"/>
      <w:lvlText w:val="(%1)"/>
      <w:numFmt w:val="lowerLetter"/>
      <w:start w:val="7"/>
    </w:lvl>
  </w:abstractNum>
  <w:abstractNum w:abstractNumId="97">
    <w:nsid w:val="19E21BB2"/>
    <w:multiLevelType w:val="hybridMultilevel"/>
    <w:lvl w:ilvl="0">
      <w:lvlJc w:val="left"/>
      <w:lvlText w:val="(%1)"/>
      <w:numFmt w:val="lowerLetter"/>
      <w:start w:val="1"/>
    </w:lvl>
  </w:abstractNum>
  <w:abstractNum w:abstractNumId="98">
    <w:nsid w:val="75E0858A"/>
    <w:multiLevelType w:val="hybridMultilevel"/>
    <w:lvl w:ilvl="0">
      <w:lvlJc w:val="left"/>
      <w:lvlText w:val="(%1)"/>
      <w:numFmt w:val="lowerLetter"/>
      <w:start w:val="3"/>
    </w:lvl>
    <w:lvl w:ilvl="1">
      <w:lvlJc w:val="left"/>
      <w:lvlText w:val="(%2)"/>
      <w:numFmt w:val="lowerRoman"/>
      <w:start w:val="1"/>
    </w:lvl>
  </w:abstractNum>
  <w:abstractNum w:abstractNumId="99">
    <w:nsid w:val="57A61A29"/>
    <w:multiLevelType w:val="hybridMultilevel"/>
    <w:lvl w:ilvl="0">
      <w:lvlJc w:val="left"/>
      <w:lvlText w:val="%1"/>
      <w:numFmt w:val="lowerLetter"/>
      <w:start w:val="1"/>
    </w:lvl>
    <w:lvl w:ilvl="1">
      <w:lvlJc w:val="left"/>
      <w:lvlText w:val="(%2)"/>
      <w:numFmt w:val="lowerLetter"/>
      <w:start w:val="61"/>
    </w:lvl>
  </w:abstractNum>
  <w:abstractNum w:abstractNumId="100">
    <w:nsid w:val="5399C654"/>
    <w:multiLevelType w:val="hybridMultilevel"/>
    <w:lvl w:ilvl="0">
      <w:lvlJc w:val="left"/>
      <w:lvlText w:val="(%1)"/>
      <w:numFmt w:val="lowerLetter"/>
      <w:start w:val="7"/>
    </w:lvl>
    <w:lvl w:ilvl="1">
      <w:lvlJc w:val="left"/>
      <w:lvlText w:val="%2"/>
      <w:numFmt w:val="lowerLetter"/>
      <w:start w:val="1"/>
    </w:lvl>
  </w:abstractNum>
  <w:abstractNum w:abstractNumId="101">
    <w:nsid w:val="20EE1348"/>
    <w:multiLevelType w:val="hybridMultilevel"/>
    <w:lvl w:ilvl="0">
      <w:lvlJc w:val="left"/>
      <w:lvlText w:val="%1"/>
      <w:numFmt w:val="lowerLetter"/>
      <w:start w:val="1"/>
    </w:lvl>
    <w:lvl w:ilvl="1">
      <w:lvlJc w:val="left"/>
      <w:lvlText w:val="(%2)"/>
      <w:numFmt w:val="lowerLetter"/>
      <w:start w:val="10"/>
    </w:lvl>
  </w:abstractNum>
  <w:abstractNum w:abstractNumId="102">
    <w:nsid w:val="4427069A"/>
    <w:multiLevelType w:val="hybridMultilevel"/>
    <w:lvl w:ilvl="0">
      <w:lvlJc w:val="left"/>
      <w:lvlText w:val="(%1)"/>
      <w:numFmt w:val="lowerLetter"/>
      <w:start w:val="2"/>
    </w:lvl>
    <w:lvl w:ilvl="1">
      <w:lvlJc w:val="left"/>
      <w:lvlText w:val="%2"/>
      <w:numFmt w:val="lowerLetter"/>
      <w:start w:val="1"/>
    </w:lvl>
  </w:abstractNum>
  <w:abstractNum w:abstractNumId="103">
    <w:nsid w:val="B37E80A"/>
    <w:multiLevelType w:val="hybridMultilevel"/>
    <w:lvl w:ilvl="0">
      <w:lvlJc w:val="left"/>
      <w:lvlText w:val="(%1)"/>
      <w:numFmt w:val="lowerLetter"/>
      <w:start w:val="1"/>
    </w:lvl>
    <w:lvl w:ilvl="1">
      <w:lvlJc w:val="left"/>
      <w:lvlText w:val="(%2)"/>
      <w:numFmt w:val="lowerRoman"/>
      <w:start w:val="1"/>
    </w:lvl>
  </w:abstractNum>
  <w:abstractNum w:abstractNumId="104">
    <w:nsid w:val="2157F6BC"/>
    <w:multiLevelType w:val="hybridMultilevel"/>
    <w:lvl w:ilvl="0">
      <w:lvlJc w:val="left"/>
      <w:lvlText w:val="(%1)"/>
      <w:numFmt w:val="lowerLetter"/>
      <w:start w:val="8"/>
    </w:lvl>
  </w:abstractNum>
  <w:abstractNum w:abstractNumId="105">
    <w:nsid w:val="704E1DD5"/>
    <w:multiLevelType w:val="hybridMultilevel"/>
    <w:lvl w:ilvl="0">
      <w:lvlJc w:val="left"/>
      <w:lvlText w:val="(%1)"/>
      <w:numFmt w:val="lowerLetter"/>
      <w:start w:val="13"/>
    </w:lvl>
  </w:abstractNum>
  <w:abstractNum w:abstractNumId="106">
    <w:nsid w:val="57D2F10E"/>
    <w:multiLevelType w:val="hybridMultilevel"/>
    <w:lvl w:ilvl="0">
      <w:lvlJc w:val="left"/>
      <w:lvlText w:val="(%1)"/>
      <w:numFmt w:val="lowerLetter"/>
      <w:start w:val="25"/>
    </w:lvl>
  </w:abstractNum>
  <w:abstractNum w:abstractNumId="107">
    <w:nsid w:val="BFFAE18"/>
    <w:multiLevelType w:val="hybridMultilevel"/>
    <w:lvl w:ilvl="0">
      <w:lvlJc w:val="left"/>
      <w:lvlText w:val="(%1)"/>
      <w:numFmt w:val="lowerLetter"/>
      <w:start w:val="27"/>
    </w:lvl>
  </w:abstractNum>
  <w:abstractNum w:abstractNumId="108">
    <w:nsid w:val="E3E47A8"/>
    <w:multiLevelType w:val="hybridMultilevel"/>
    <w:lvl w:ilvl="0">
      <w:lvlJc w:val="left"/>
      <w:lvlText w:val="(%1)"/>
      <w:numFmt w:val="lowerLetter"/>
      <w:start w:val="34"/>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1)"/>
      <w:numFmt w:val="upperLetter"/>
      <w:start w:val="1"/>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lowerLetter"/>
      <w:start w:val="1"/>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lowerLetter"/>
      <w:start w:val="1"/>
    </w:lvl>
    <w:lvl w:ilvl="1">
      <w:lvlJc w:val="left"/>
      <w:lvlText w:val="(%2)"/>
      <w:numFmt w:val="lowerRoman"/>
      <w:start w:val="1"/>
    </w:lvl>
  </w:abstractNum>
  <w:abstractNum w:abstractNumId="116">
    <w:nsid w:val="2A31B62D"/>
    <w:multiLevelType w:val="hybridMultilevel"/>
    <w:lvl w:ilvl="0">
      <w:lvlJc w:val="left"/>
      <w:lvlText w:val="(%1)"/>
      <w:numFmt w:val="lowerRoman"/>
      <w:start w:val="3"/>
    </w:lvl>
  </w:abstractNum>
  <w:abstractNum w:abstractNumId="117">
    <w:nsid w:val="1849C29B"/>
    <w:multiLevelType w:val="hybridMultilevel"/>
    <w:lvl w:ilvl="0">
      <w:lvlJc w:val="left"/>
      <w:lvlText w:val="(%1)"/>
      <w:numFmt w:val="lowerLetter"/>
      <w:start w:val="1"/>
    </w:lvl>
  </w:abstractNum>
  <w:abstractNum w:abstractNumId="118">
    <w:nsid w:val="7DFF9D09"/>
    <w:multiLevelType w:val="hybridMultilevel"/>
    <w:lvl w:ilvl="0">
      <w:lvlJc w:val="left"/>
      <w:lvlText w:val="(%1)"/>
      <w:numFmt w:val="lowerLetter"/>
      <w:start w:val="1"/>
    </w:lvl>
  </w:abstractNum>
  <w:abstractNum w:abstractNumId="119">
    <w:nsid w:val="754342"/>
    <w:multiLevelType w:val="hybridMultilevel"/>
    <w:lvl w:ilvl="0">
      <w:lvlJc w:val="left"/>
      <w:lvlText w:val="(%1)"/>
      <w:numFmt w:val="lowerLetter"/>
      <w:start w:val="1"/>
    </w:lvl>
    <w:lvl w:ilvl="1">
      <w:lvlJc w:val="left"/>
      <w:lvlText w:val="(%2)"/>
      <w:numFmt w:val="lowerRoman"/>
      <w:start w:val="1"/>
    </w:lvl>
  </w:abstractNum>
  <w:abstractNum w:abstractNumId="120">
    <w:nsid w:val="69E7F3E5"/>
    <w:multiLevelType w:val="hybridMultilevel"/>
    <w:lvl w:ilvl="0">
      <w:lvlJc w:val="left"/>
      <w:lvlText w:val="(%1)"/>
      <w:numFmt w:val="lowerRoman"/>
      <w:start w:val="3"/>
    </w:lvl>
  </w:abstractNum>
  <w:abstractNum w:abstractNumId="121">
    <w:nsid w:val="2A6DE806"/>
    <w:multiLevelType w:val="hybridMultilevel"/>
    <w:lvl w:ilvl="0">
      <w:lvlJc w:val="left"/>
      <w:lvlText w:val="(%1)"/>
      <w:numFmt w:val="lowerLetter"/>
      <w:start w:val="1"/>
    </w:lvl>
    <w:lvl w:ilvl="1">
      <w:lvlJc w:val="left"/>
      <w:lvlText w:val="(%2)"/>
      <w:numFmt w:val="lowerRoman"/>
      <w:start w:val="1"/>
    </w:lvl>
  </w:abstractNum>
  <w:abstractNum w:abstractNumId="122">
    <w:nsid w:val="1816F8C4"/>
    <w:multiLevelType w:val="hybridMultilevel"/>
    <w:lvl w:ilvl="0">
      <w:lvlJc w:val="left"/>
      <w:lvlText w:val="(%1)"/>
      <w:numFmt w:val="lowerLetter"/>
      <w:start w:val="1"/>
    </w:lvl>
    <w:lvl w:ilvl="1">
      <w:lvlJc w:val="left"/>
      <w:lvlText w:val="(%2)"/>
      <w:numFmt w:val="lowerLetter"/>
      <w:start w:val="9"/>
    </w:lvl>
  </w:abstractNum>
  <w:abstractNum w:abstractNumId="123">
    <w:nsid w:val="37DF2233"/>
    <w:multiLevelType w:val="hybridMultilevel"/>
    <w:lvl w:ilvl="0">
      <w:lvlJc w:val="left"/>
      <w:lvlText w:val="%1"/>
      <w:numFmt w:val="lowerLetter"/>
      <w:start w:val="1"/>
    </w:lvl>
    <w:lvl w:ilvl="1">
      <w:lvlJc w:val="left"/>
      <w:lvlText w:val="(%2)"/>
      <w:numFmt w:val="lowerRoman"/>
      <w:start w:val="2"/>
    </w:lvl>
  </w:abstractNum>
  <w:abstractNum w:abstractNumId="124">
    <w:nsid w:val="7AB49DAF"/>
    <w:multiLevelType w:val="hybridMultilevel"/>
    <w:lvl w:ilvl="0">
      <w:lvlJc w:val="left"/>
      <w:lvlText w:val="(%1)"/>
      <w:numFmt w:val="lowerLetter"/>
      <w:start w:val="3"/>
    </w:lvl>
    <w:lvl w:ilvl="1">
      <w:lvlJc w:val="left"/>
      <w:lvlText w:val="%2"/>
      <w:numFmt w:val="lowerRoman"/>
      <w:start w:val="1"/>
    </w:lvl>
  </w:abstractNum>
  <w:abstractNum w:abstractNumId="125">
    <w:nsid w:val="759F82CD"/>
    <w:multiLevelType w:val="hybridMultilevel"/>
    <w:lvl w:ilvl="0">
      <w:lvlJc w:val="left"/>
      <w:lvlText w:val="(%1)"/>
      <w:numFmt w:val="lowerLetter"/>
      <w:start w:val="1"/>
    </w:lvl>
  </w:abstractNum>
  <w:abstractNum w:abstractNumId="126">
    <w:nsid w:val="61E74EA3"/>
    <w:multiLevelType w:val="hybridMultilevel"/>
    <w:lvl w:ilvl="0">
      <w:lvlJc w:val="left"/>
      <w:lvlText w:val="(%1)"/>
      <w:numFmt w:val="lowerLetter"/>
      <w:start w:val="6"/>
    </w:lvl>
  </w:abstractNum>
  <w:abstractNum w:abstractNumId="127">
    <w:nsid w:val="597B4D84"/>
    <w:multiLevelType w:val="hybridMultilevel"/>
    <w:lvl w:ilvl="0">
      <w:lvlJc w:val="left"/>
      <w:lvlText w:val="(%1)"/>
      <w:numFmt w:val="lowerLetter"/>
      <w:start w:val="1"/>
    </w:lvl>
  </w:abstractNum>
  <w:abstractNum w:abstractNumId="128">
    <w:nsid w:val="F819E7F"/>
    <w:multiLevelType w:val="hybridMultilevel"/>
    <w:lvl w:ilvl="0">
      <w:lvlJc w:val="left"/>
      <w:lvlText w:val="(%1)"/>
      <w:numFmt w:val="lowerLetter"/>
      <w:start w:val="7"/>
    </w:lvl>
    <w:lvl w:ilvl="1">
      <w:lvlJc w:val="left"/>
      <w:lvlText w:val="(%2)"/>
      <w:numFmt w:val="lowerRoman"/>
      <w:start w:val="1"/>
    </w:lvl>
  </w:abstractNum>
  <w:abstractNum w:abstractNumId="129">
    <w:nsid w:val="57C7D42D"/>
    <w:multiLevelType w:val="hybridMultilevel"/>
    <w:lvl w:ilvl="0">
      <w:lvlJc w:val="left"/>
      <w:lvlText w:val="(%1)"/>
      <w:numFmt w:val="lowerLetter"/>
      <w:start w:val="9"/>
    </w:lvl>
  </w:abstractNum>
  <w:abstractNum w:abstractNumId="130">
    <w:nsid w:val="312167AD"/>
    <w:multiLevelType w:val="hybridMultilevel"/>
    <w:lvl w:ilvl="0">
      <w:lvlJc w:val="left"/>
      <w:lvlText w:val="%1"/>
      <w:numFmt w:val="lowerLetter"/>
      <w:start w:val="1"/>
    </w:lvl>
    <w:lvl w:ilvl="1">
      <w:lvlJc w:val="left"/>
      <w:lvlText w:val="(%2)"/>
      <w:numFmt w:val="lowerLetter"/>
      <w:start w:val="14"/>
    </w:lvl>
  </w:abstractNum>
  <w:abstractNum w:abstractNumId="131">
    <w:nsid w:val="631B64D4"/>
    <w:multiLevelType w:val="hybridMultilevel"/>
    <w:lvl w:ilvl="0">
      <w:lvlJc w:val="left"/>
      <w:lvlText w:val="(%1)"/>
      <w:numFmt w:val="lowerLetter"/>
      <w:start w:val="2"/>
    </w:lvl>
    <w:lvl w:ilvl="1">
      <w:lvlJc w:val="left"/>
      <w:lvlText w:val="%2"/>
      <w:numFmt w:val="lowerLetter"/>
      <w:start w:val="1"/>
    </w:lvl>
  </w:abstractNum>
  <w:abstractNum w:abstractNumId="132">
    <w:nsid w:val="78B5E776"/>
    <w:multiLevelType w:val="hybridMultilevel"/>
    <w:lvl w:ilvl="0">
      <w:lvlJc w:val="left"/>
      <w:lvlText w:val="(%1)"/>
      <w:numFmt w:val="lowerLetter"/>
      <w:start w:val="1"/>
    </w:lvl>
  </w:abstractNum>
  <w:abstractNum w:abstractNumId="133">
    <w:nsid w:val="75486E47"/>
    <w:multiLevelType w:val="hybridMultilevel"/>
    <w:lvl w:ilvl="0">
      <w:lvlJc w:val="left"/>
      <w:lvlText w:val="(%1)"/>
      <w:numFmt w:val="lowerLetter"/>
      <w:start w:val="4"/>
    </w:lvl>
    <w:lvl w:ilvl="1">
      <w:lvlJc w:val="left"/>
      <w:lvlText w:val="(%2)"/>
      <w:numFmt w:val="lowerRoman"/>
      <w:start w:val="1"/>
    </w:lvl>
  </w:abstractNum>
  <w:abstractNum w:abstractNumId="134">
    <w:nsid w:val="6E534CDE"/>
    <w:multiLevelType w:val="hybridMultilevel"/>
    <w:lvl w:ilvl="0">
      <w:lvlJc w:val="left"/>
      <w:lvlText w:val="(%1)"/>
      <w:numFmt w:val="lowerLetter"/>
      <w:start w:val="7"/>
    </w:lvl>
  </w:abstractNum>
  <w:abstractNum w:abstractNumId="135">
    <w:nsid w:val="1A0DDE32"/>
    <w:multiLevelType w:val="hybridMultilevel"/>
    <w:lvl w:ilvl="0">
      <w:lvlJc w:val="left"/>
      <w:lvlText w:val="(%1)"/>
      <w:numFmt w:val="lowerLetter"/>
      <w:start w:val="18"/>
    </w:lvl>
  </w:abstractNum>
  <w:abstractNum w:abstractNumId="136">
    <w:nsid w:val="65968C1C"/>
    <w:multiLevelType w:val="hybridMultilevel"/>
    <w:lvl w:ilvl="0">
      <w:lvlJc w:val="left"/>
      <w:lvlText w:val="(%1)"/>
      <w:numFmt w:val="lowerLetter"/>
      <w:start w:val="27"/>
    </w:lvl>
  </w:abstractNum>
  <w:abstractNum w:abstractNumId="137">
    <w:nsid w:val="46263DEC"/>
    <w:multiLevelType w:val="hybridMultilevel"/>
    <w:lvl w:ilvl="0">
      <w:lvlJc w:val="left"/>
      <w:lvlText w:val="(%1)"/>
      <w:numFmt w:val="lowerLetter"/>
      <w:start w:val="30"/>
    </w:lvl>
    <w:lvl w:ilvl="1">
      <w:lvlJc w:val="left"/>
      <w:lvlText w:val="*"/>
      <w:numFmt w:val="bullet"/>
      <w:start w:val="1"/>
    </w:lvl>
  </w:abstractNum>
  <w:abstractNum w:abstractNumId="138">
    <w:nsid w:val="260D8C4A"/>
    <w:multiLevelType w:val="hybridMultilevel"/>
    <w:lvl w:ilvl="0">
      <w:lvlJc w:val="left"/>
      <w:lvlText w:val="(%1)"/>
      <w:numFmt w:val="lowerLetter"/>
      <w:start w:val="1"/>
    </w:lvl>
  </w:abstractNum>
  <w:abstractNum w:abstractNumId="139">
    <w:nsid w:val="73D4D3C4"/>
    <w:multiLevelType w:val="hybridMultilevel"/>
    <w:lvl w:ilvl="0">
      <w:lvlJc w:val="left"/>
      <w:lvlText w:val="(%1)"/>
      <w:numFmt w:val="lowerLetter"/>
      <w:start w:val="1"/>
    </w:lvl>
  </w:abstractNum>
  <w:abstractNum w:abstractNumId="140">
    <w:nsid w:val="746F2E30"/>
    <w:multiLevelType w:val="hybridMultilevel"/>
    <w:lvl w:ilvl="0">
      <w:lvlJc w:val="left"/>
      <w:lvlText w:val="(%1)"/>
      <w:numFmt w:val="lowerLetter"/>
      <w:start w:val="1"/>
    </w:lvl>
  </w:abstractNum>
  <w:abstractNum w:abstractNumId="141">
    <w:nsid w:val="6FDE8AF6"/>
    <w:multiLevelType w:val="hybridMultilevel"/>
    <w:lvl w:ilvl="0">
      <w:lvlJc w:val="left"/>
      <w:lvlText w:val="(%1)"/>
      <w:numFmt w:val="lowerLetter"/>
      <w:start w:val="1"/>
    </w:lvl>
  </w:abstractNum>
  <w:abstractNum w:abstractNumId="142">
    <w:nsid w:val="3FC32E20"/>
    <w:multiLevelType w:val="hybridMultilevel"/>
    <w:lvl w:ilvl="0">
      <w:lvlJc w:val="left"/>
      <w:lvlText w:val="(%1)"/>
      <w:numFmt w:val="lowerLetter"/>
      <w:start w:val="1"/>
    </w:lvl>
  </w:abstractNum>
  <w:abstractNum w:abstractNumId="143">
    <w:nsid w:val="49C0E823"/>
    <w:multiLevelType w:val="hybridMultilevel"/>
    <w:lvl w:ilvl="0">
      <w:lvlJc w:val="left"/>
      <w:lvlText w:val="(%1)"/>
      <w:numFmt w:val="lowerRoman"/>
      <w:start w:val="1"/>
    </w:lvl>
  </w:abstractNum>
  <w:abstractNum w:abstractNumId="144">
    <w:nsid w:val="14D53685"/>
    <w:multiLevelType w:val="hybridMultilevel"/>
    <w:lvl w:ilvl="0">
      <w:lvlJc w:val="left"/>
      <w:lvlText w:val="(%1)"/>
      <w:numFmt w:val="lowerRoman"/>
      <w:start w:val="2"/>
    </w:lvl>
  </w:abstractNum>
  <w:abstractNum w:abstractNumId="145">
    <w:nsid w:val="230F856C"/>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146">
    <w:nsid w:val="6EAA85FB"/>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147">
    <w:nsid w:val="3F06ECB2"/>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148">
    <w:nsid w:val="3B594807"/>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49">
    <w:nsid w:val="6CAA2304"/>
    <w:multiLevelType w:val="hybridMultilevel"/>
    <w:lvl w:ilvl="0">
      <w:lvlJc w:val="left"/>
      <w:lvlText w:val="%1."/>
      <w:numFmt w:val="upperLetter"/>
      <w:start w:val="1"/>
    </w:lvl>
  </w:abstractNum>
  <w:abstractNum w:abstractNumId="150">
    <w:nsid w:val="3F7C2FF4"/>
    <w:multiLevelType w:val="hybridMultilevel"/>
    <w:lvl w:ilvl="0">
      <w:lvlJc w:val="left"/>
      <w:lvlText w:val="%1."/>
      <w:numFmt w:val="upperLetter"/>
      <w:start w:val="3"/>
    </w:lvl>
    <w:lvl w:ilvl="1">
      <w:lvlJc w:val="left"/>
      <w:lvlText w:val="%2."/>
      <w:numFmt w:val="decimal"/>
      <w:start w:val="1"/>
    </w:lvl>
    <w:lvl w:ilvl="2">
      <w:lvlJc w:val="left"/>
      <w:lvlText w:val="%3."/>
      <w:numFmt w:val="decimal"/>
      <w:start w:val="3"/>
    </w:lvl>
    <w:lvl w:ilvl="3">
      <w:lvlJc w:val="left"/>
      <w:lvlText w:val="*"/>
      <w:numFmt w:val="bullet"/>
      <w:start w:val="1"/>
    </w:lvl>
  </w:abstractNum>
  <w:abstractNum w:abstractNumId="151">
    <w:nsid w:val="25413BEC"/>
    <w:multiLevelType w:val="hybridMultilevel"/>
    <w:lvl w:ilvl="0">
      <w:lvlJc w:val="left"/>
      <w:lvlText w:val="[***]"/>
      <w:numFmt w:val="bullet"/>
      <w:start w:val="1"/>
    </w:lvl>
  </w:abstractNum>
  <w:abstractNum w:abstractNumId="152">
    <w:nsid w:val="17180B0B"/>
    <w:multiLevelType w:val="hybridMultilevel"/>
    <w:lvl w:ilvl="0">
      <w:lvlJc w:val="left"/>
      <w:lvlText w:val="%1."/>
      <w:numFmt w:val="decimal"/>
      <w:start w:val="1"/>
    </w:lvl>
  </w:abstractNum>
  <w:abstractNum w:abstractNumId="153">
    <w:nsid w:val="579328B9"/>
    <w:multiLevelType w:val="hybridMultilevel"/>
    <w:lvl w:ilvl="0">
      <w:lvlJc w:val="left"/>
      <w:lvlText w:val="%1."/>
      <w:numFmt w:val="decimal"/>
      <w:start w:val="2"/>
    </w:lvl>
  </w:abstractNum>
  <w:abstractNum w:abstractNumId="154">
    <w:nsid w:val="5D205E20"/>
    <w:multiLevelType w:val="hybridMultilevel"/>
    <w:lvl w:ilvl="0">
      <w:lvlJc w:val="left"/>
      <w:lvlText w:val="%1."/>
      <w:numFmt w:val="decimal"/>
      <w:start w:val="3"/>
    </w:lvl>
  </w:abstractNum>
  <w:abstractNum w:abstractNumId="155">
    <w:nsid w:val="11CCA8BA"/>
    <w:multiLevelType w:val="hybridMultilevel"/>
    <w:lvl w:ilvl="0">
      <w:lvlJc w:val="left"/>
      <w:lvlText w:val="%1."/>
      <w:numFmt w:val="decimal"/>
      <w:start w:val="4"/>
    </w:lvl>
  </w:abstractNum>
  <w:abstractNum w:abstractNumId="156">
    <w:nsid w:val="4D32AB86"/>
    <w:multiLevelType w:val="hybridMultilevel"/>
    <w:lvl w:ilvl="0">
      <w:lvlJc w:val="left"/>
      <w:lvlText w:val="%1."/>
      <w:numFmt w:val="decimal"/>
      <w:start w:val="5"/>
    </w:lvl>
  </w:abstractNum>
  <w:abstractNum w:abstractNumId="157">
    <w:nsid w:val="3F07ACC3"/>
    <w:multiLevelType w:val="hybridMultilevel"/>
    <w:lvl w:ilvl="0">
      <w:lvlJc w:val="left"/>
      <w:lvlText w:val="%1."/>
      <w:numFmt w:val="decimal"/>
      <w:start w:val="7"/>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2"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345" Type="http://schemas.openxmlformats.org/officeDocument/2006/relationships/image" Target="media/image305.png"/><Relationship Id="rId346" Type="http://schemas.openxmlformats.org/officeDocument/2006/relationships/image" Target="media/image306.png"/><Relationship Id="rId347" Type="http://schemas.openxmlformats.org/officeDocument/2006/relationships/image" Target="media/image307.png"/><Relationship Id="rId348" Type="http://schemas.openxmlformats.org/officeDocument/2006/relationships/image" Target="media/image308.png"/><Relationship Id="rId349" Type="http://schemas.openxmlformats.org/officeDocument/2006/relationships/image" Target="media/image309.png"/><Relationship Id="rId350" Type="http://schemas.openxmlformats.org/officeDocument/2006/relationships/image" Target="media/image310.png"/><Relationship Id="rId351" Type="http://schemas.openxmlformats.org/officeDocument/2006/relationships/image" Target="media/image311.png"/><Relationship Id="rId352" Type="http://schemas.openxmlformats.org/officeDocument/2006/relationships/image" Target="media/image312.png"/><Relationship Id="rId353"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363" Type="http://schemas.openxmlformats.org/officeDocument/2006/relationships/image" Target="media/image323.png"/><Relationship Id="rId364" Type="http://schemas.openxmlformats.org/officeDocument/2006/relationships/image" Target="media/image324.png"/><Relationship Id="rId365" Type="http://schemas.openxmlformats.org/officeDocument/2006/relationships/image" Target="media/image325.png"/><Relationship Id="rId366" Type="http://schemas.openxmlformats.org/officeDocument/2006/relationships/image" Target="media/image326.png"/><Relationship Id="rId367" Type="http://schemas.openxmlformats.org/officeDocument/2006/relationships/image" Target="media/image327.png"/><Relationship Id="rId368" Type="http://schemas.openxmlformats.org/officeDocument/2006/relationships/image" Target="media/image328.png"/><Relationship Id="rId369" Type="http://schemas.openxmlformats.org/officeDocument/2006/relationships/image" Target="media/image329.png"/><Relationship Id="rId370" Type="http://schemas.openxmlformats.org/officeDocument/2006/relationships/image" Target="media/image330.png"/><Relationship Id="rId371" Type="http://schemas.openxmlformats.org/officeDocument/2006/relationships/image" Target="media/image331.png"/><Relationship Id="rId372" Type="http://schemas.openxmlformats.org/officeDocument/2006/relationships/image" Target="media/image332.png"/><Relationship Id="rId373" Type="http://schemas.openxmlformats.org/officeDocument/2006/relationships/image" Target="media/image333.png"/><Relationship Id="rId374" Type="http://schemas.openxmlformats.org/officeDocument/2006/relationships/image" Target="media/image334.png"/><Relationship Id="rId375" Type="http://schemas.openxmlformats.org/officeDocument/2006/relationships/image" Target="media/image335.png"/><Relationship Id="rId376" Type="http://schemas.openxmlformats.org/officeDocument/2006/relationships/image" Target="media/image336.png"/><Relationship Id="rId377" Type="http://schemas.openxmlformats.org/officeDocument/2006/relationships/image" Target="media/image337.png"/><Relationship Id="rId378" Type="http://schemas.openxmlformats.org/officeDocument/2006/relationships/image" Target="media/image338.png"/><Relationship Id="rId379" Type="http://schemas.openxmlformats.org/officeDocument/2006/relationships/image" Target="media/image339.png"/><Relationship Id="rId380" Type="http://schemas.openxmlformats.org/officeDocument/2006/relationships/image" Target="media/image340.png"/><Relationship Id="rId381" Type="http://schemas.openxmlformats.org/officeDocument/2006/relationships/image" Target="media/image341.png"/><Relationship Id="rId382" Type="http://schemas.openxmlformats.org/officeDocument/2006/relationships/image" Target="media/image342.png"/><Relationship Id="rId383" Type="http://schemas.openxmlformats.org/officeDocument/2006/relationships/image" Target="media/image343.png"/><Relationship Id="rId384" Type="http://schemas.openxmlformats.org/officeDocument/2006/relationships/image" Target="media/image344.png"/><Relationship Id="rId385" Type="http://schemas.openxmlformats.org/officeDocument/2006/relationships/image" Target="media/image345.png"/><Relationship Id="rId386" Type="http://schemas.openxmlformats.org/officeDocument/2006/relationships/image" Target="media/image346.png"/><Relationship Id="rId387" Type="http://schemas.openxmlformats.org/officeDocument/2006/relationships/image" Target="media/image347.png"/><Relationship Id="rId388" Type="http://schemas.openxmlformats.org/officeDocument/2006/relationships/image" Target="media/image348.png"/><Relationship Id="rId389" Type="http://schemas.openxmlformats.org/officeDocument/2006/relationships/image" Target="media/image349.png"/><Relationship Id="rId390" Type="http://schemas.openxmlformats.org/officeDocument/2006/relationships/image" Target="media/image350.png"/><Relationship Id="rId391" Type="http://schemas.openxmlformats.org/officeDocument/2006/relationships/image" Target="media/image351.png"/><Relationship Id="rId392" Type="http://schemas.openxmlformats.org/officeDocument/2006/relationships/image" Target="media/image352.png"/><Relationship Id="rId393" Type="http://schemas.openxmlformats.org/officeDocument/2006/relationships/image" Target="media/image353.png"/><Relationship Id="rId394" Type="http://schemas.openxmlformats.org/officeDocument/2006/relationships/image" Target="media/image354.png"/><Relationship Id="rId395" Type="http://schemas.openxmlformats.org/officeDocument/2006/relationships/image" Target="media/image355.png"/><Relationship Id="rId396" Type="http://schemas.openxmlformats.org/officeDocument/2006/relationships/image" Target="media/image356.png"/><Relationship Id="rId397" Type="http://schemas.openxmlformats.org/officeDocument/2006/relationships/image" Target="media/image357.png"/><Relationship Id="rId398" Type="http://schemas.openxmlformats.org/officeDocument/2006/relationships/image" Target="media/image358.png"/><Relationship Id="rId399" Type="http://schemas.openxmlformats.org/officeDocument/2006/relationships/image" Target="media/image359.png"/><Relationship Id="rId400" Type="http://schemas.openxmlformats.org/officeDocument/2006/relationships/image" Target="media/image360.png"/><Relationship Id="rId401" Type="http://schemas.openxmlformats.org/officeDocument/2006/relationships/image" Target="media/image361.png"/><Relationship Id="rId402" Type="http://schemas.openxmlformats.org/officeDocument/2006/relationships/image" Target="media/image362.png"/><Relationship Id="rId403" Type="http://schemas.openxmlformats.org/officeDocument/2006/relationships/image" Target="media/image363.png"/><Relationship Id="rId404" Type="http://schemas.openxmlformats.org/officeDocument/2006/relationships/image" Target="media/image364.png"/><Relationship Id="rId405" Type="http://schemas.openxmlformats.org/officeDocument/2006/relationships/image" Target="media/image365.png"/><Relationship Id="rId406" Type="http://schemas.openxmlformats.org/officeDocument/2006/relationships/image" Target="media/image366.png"/><Relationship Id="rId407" Type="http://schemas.openxmlformats.org/officeDocument/2006/relationships/image" Target="media/image367.png"/><Relationship Id="rId408" Type="http://schemas.openxmlformats.org/officeDocument/2006/relationships/image" Target="media/image368.png"/><Relationship Id="rId409" Type="http://schemas.openxmlformats.org/officeDocument/2006/relationships/image" Target="media/image369.png"/><Relationship Id="rId410" Type="http://schemas.openxmlformats.org/officeDocument/2006/relationships/image" Target="media/image370.png"/><Relationship Id="rId411" Type="http://schemas.openxmlformats.org/officeDocument/2006/relationships/image" Target="media/image371.png"/><Relationship Id="rId412" Type="http://schemas.openxmlformats.org/officeDocument/2006/relationships/image" Target="media/image372.png"/><Relationship Id="rId413" Type="http://schemas.openxmlformats.org/officeDocument/2006/relationships/image" Target="media/image373.png"/><Relationship Id="rId414" Type="http://schemas.openxmlformats.org/officeDocument/2006/relationships/image" Target="media/image374.png"/><Relationship Id="rId415" Type="http://schemas.openxmlformats.org/officeDocument/2006/relationships/image" Target="media/image375.png"/><Relationship Id="rId416" Type="http://schemas.openxmlformats.org/officeDocument/2006/relationships/image" Target="media/image376.png"/><Relationship Id="rId417" Type="http://schemas.openxmlformats.org/officeDocument/2006/relationships/image" Target="media/image377.png"/><Relationship Id="rId118" Type="http://schemas.openxmlformats.org/officeDocument/2006/relationships/hyperlink" Target="https://www.sec.gov/Archives/edgar/data/1609809/000119312515242845/d48188dex31.htm" TargetMode="External"/><Relationship Id="rId119" Type="http://schemas.openxmlformats.org/officeDocument/2006/relationships/hyperlink" Target="https://www.sec.gov/Archives/edgar/data/1609809/000119312515242845/d48188dex32.htm" TargetMode="External"/><Relationship Id="rId120" Type="http://schemas.openxmlformats.org/officeDocument/2006/relationships/hyperlink" Target="https://www.sec.gov/Archives/edgar/data/1609809/000119312515224101/d816354dex42.htm" TargetMode="External"/><Relationship Id="rId121" Type="http://schemas.openxmlformats.org/officeDocument/2006/relationships/hyperlink" Target="https://www.sec.gov/Archives/edgar/data/1609809/000156459021010057/mcrb-ex42_661.htm" TargetMode="External"/><Relationship Id="rId122" Type="http://schemas.openxmlformats.org/officeDocument/2006/relationships/hyperlink" Target="https://www.sec.gov/Archives/edgar/data/1609809/000119312515224101/d816354dex103.htm" TargetMode="External"/><Relationship Id="rId123" Type="http://schemas.openxmlformats.org/officeDocument/2006/relationships/hyperlink" Target="https://www.sec.gov/Archives/edgar/data/1609809/000119312515202059/d816354dex101.htm" TargetMode="External"/><Relationship Id="rId124" Type="http://schemas.openxmlformats.org/officeDocument/2006/relationships/hyperlink" Target="https://www.sec.gov/Archives/edgar/data/1609809/000119312515202059/d816354dex1013.htm" TargetMode="External"/><Relationship Id="rId125" Type="http://schemas.openxmlformats.org/officeDocument/2006/relationships/hyperlink" Target="https://www.sec.gov/Archives/edgar/data/1609809/000156459016014692/mcrb-ex1013_656.htm" TargetMode="External"/><Relationship Id="rId126" Type="http://schemas.openxmlformats.org/officeDocument/2006/relationships/hyperlink" Target="https://www.sec.gov/Archives/edgar/data/1609809/000119312522304803/d399120dex101.htm" TargetMode="External"/><Relationship Id="rId127" Type="http://schemas.openxmlformats.org/officeDocument/2006/relationships/hyperlink" Target="https://www.sec.gov/Archives/edgar/data/1609809/000119312521023645/d30286dex101.htm" TargetMode="External"/><Relationship Id="rId128" Type="http://schemas.openxmlformats.org/officeDocument/2006/relationships/hyperlink" Target="https://www.sec.gov/Archives/edgar/data/1609809/000119312521023645/d30286dex102.htm" TargetMode="External"/><Relationship Id="rId129" Type="http://schemas.openxmlformats.org/officeDocument/2006/relationships/hyperlink" Target="https://www.sec.gov/Archives/edgar/data/1609809/000119312521023645/d30286dex103.htm" TargetMode="External"/><Relationship Id="rId130" Type="http://schemas.openxmlformats.org/officeDocument/2006/relationships/hyperlink" Target="https://www.sec.gov/Archives/edgar/data/1609809/000095017021000674/mcrb-20210630ex10_2.htm" TargetMode="External"/><Relationship Id="rId131" Type="http://schemas.openxmlformats.org/officeDocument/2006/relationships/hyperlink" Target="https://www.sec.gov/Archives/edgar/data/1609809/000095017021003937/mcrb-ex10_2.htm" TargetMode="External"/><Relationship Id="rId133" Type="http://schemas.openxmlformats.org/officeDocument/2006/relationships/hyperlink" Target="https://www.sec.gov/Archives/edgar/data/1609809/000156459021010057/mcrb-ex1013_660.htm" TargetMode="External"/><Relationship Id="rId134" Type="http://schemas.openxmlformats.org/officeDocument/2006/relationships/hyperlink" Target="https://www.sec.gov/Archives/edgar/data/1609809/000156459021010057/mcrb-ex1014_662.htm" TargetMode="External"/><Relationship Id="rId135" Type="http://schemas.openxmlformats.org/officeDocument/2006/relationships/hyperlink" Target="https://www.sec.gov/Archives/edgar/data/1609809/000119312521167279/d158157dex101.htm" TargetMode="External"/><Relationship Id="rId136" Type="http://schemas.openxmlformats.org/officeDocument/2006/relationships/hyperlink" Target="https://www.sec.gov/Archives/edgar/data/1609809/000095017022002435/mcrb-ex10_16.htm" TargetMode="External"/><Relationship Id="rId137" Type="http://schemas.openxmlformats.org/officeDocument/2006/relationships/hyperlink" Target="https://www.sec.gov/Archives/edgar/data/1609809/000119312519283493/d819403dex101.htm" TargetMode="External"/><Relationship Id="rId138" Type="http://schemas.openxmlformats.org/officeDocument/2006/relationships/hyperlink" Target="https://www.sec.gov/Archives/edgar/data/0001609809/000156459020033715/mcrb-ex102_259.htm" TargetMode="External"/><Relationship Id="rId139" Type="http://schemas.openxmlformats.org/officeDocument/2006/relationships/hyperlink" Target="https://www.sec.gov/Archives/edgar/data/1609809/000095017022002435/mcrb-ex10_19.htm" TargetMode="External"/><Relationship Id="rId140" Type="http://schemas.openxmlformats.org/officeDocument/2006/relationships/hyperlink" Target="https://www.sec.gov/Archives/edgar/data/1609809/000156459016019550/mcrb-ex101_534.htm" TargetMode="External"/><Relationship Id="rId141" Type="http://schemas.openxmlformats.org/officeDocument/2006/relationships/hyperlink" Target="https://www.sec.gov/Archives/edgar/data/1609809/000156459019006423/mcrb-ex1022_331.htm" TargetMode="External"/><Relationship Id="rId142" Type="http://schemas.openxmlformats.org/officeDocument/2006/relationships/hyperlink" Target="https://www.sec.gov/Archives/edgar/data/1609809/000156459019006423/mcrb-ex1023_291.htm" TargetMode="External"/><Relationship Id="rId143" Type="http://schemas.openxmlformats.org/officeDocument/2006/relationships/hyperlink" Target="https://www.sec.gov/Archives/edgar/data/0001609809/000119312520220584/d87599dex101.htm" TargetMode="External"/><Relationship Id="rId144" Type="http://schemas.openxmlformats.org/officeDocument/2006/relationships/hyperlink" Target="https://www.sec.gov/Archives/edgar/data/1609809/000095017021003937/mcrb-ex10_1.htm" TargetMode="External"/><Relationship Id="rId145" Type="http://schemas.openxmlformats.org/officeDocument/2006/relationships/hyperlink" Target="https://www.sec.gov/Archives/edgar/data/1609809/000095017022007217/mcrb-ex10_3.htm" TargetMode="External"/><Relationship Id="rId146" Type="http://schemas.openxmlformats.org/officeDocument/2006/relationships/hyperlink" Target="https://www.sec.gov/Archives/edgar/data/1609809/000095017022002435/mcrb-ex10_25.htm" TargetMode="External"/><Relationship Id="rId147" Type="http://schemas.openxmlformats.org/officeDocument/2006/relationships/hyperlink" Target="https://www.sec.gov/Archives/edgar/data/1609809/000119312522185606/d319800dex101.htm" TargetMode="External"/><Relationship Id="rId148" Type="http://schemas.openxmlformats.org/officeDocument/2006/relationships/hyperlink" Target="https://www.sec.gov/Archives/edgar/data/1609809/000119312522185606/d319800dex102.htm" TargetMode="External"/><Relationship Id="rId149" Type="http://schemas.openxmlformats.org/officeDocument/2006/relationships/hyperlink" Target="https://www.sec.gov/Archives/edgar/data/1609809/000119312522185606/d319800dex103.htm" TargetMode="External"/><Relationship Id="rId150" Type="http://schemas.openxmlformats.org/officeDocument/2006/relationships/hyperlink" Target="https://www.sec.gov/Archives/edgar/data/1609809/000095017022021018/mcrb-ex10_1.htm" TargetMode="External"/><Relationship Id="rId151" Type="http://schemas.openxmlformats.org/officeDocument/2006/relationships/hyperlink" Target="https://www.sec.gov/Archives/edgar/data/0001609809/000156459020008002/mcrb-ex211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2023-03-07T06:21:20Z</dcterms:created>
  <dcterms:modified xsi:type="dcterms:W3CDTF">2023-03-07T06:21:20Z</dcterms:modified>
</cp:coreProperties>
</file>