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620395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637540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231775</wp:posOffset>
            </wp:positionV>
            <wp:extent cx="142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4"/>
          <w:szCs w:val="24"/>
          <w:b w:val="1"/>
          <w:bCs w:val="1"/>
          <w:color w:val="auto"/>
        </w:rPr>
        <w:t>SCHEDULE 14A INFORMATION</w:t>
      </w:r>
    </w:p>
    <w:p>
      <w:pPr>
        <w:spacing w:after="0" w:line="22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 w:lineRule="exact"/>
        <w:rPr>
          <w:sz w:val="24"/>
          <w:szCs w:val="24"/>
          <w:color w:val="auto"/>
        </w:rPr>
      </w:pPr>
    </w:p>
    <w:p>
      <w:pPr>
        <w:jc w:val="center"/>
        <w:ind w:right="-1060"/>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233045</wp:posOffset>
            </wp:positionV>
            <wp:extent cx="142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spacing w:after="0" w:line="196" w:lineRule="exact"/>
        <w:tabs>
          <w:tab w:leader="none" w:pos="326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23" w:lineRule="exact"/>
        <w:rPr>
          <w:sz w:val="24"/>
          <w:szCs w:val="24"/>
          <w:color w:val="auto"/>
        </w:rPr>
      </w:pPr>
    </w:p>
    <w:p>
      <w:pPr>
        <w:ind w:left="480" w:hanging="462"/>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480" w:hanging="462"/>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1" w:lineRule="exact"/>
        <w:rPr>
          <w:rFonts w:ascii="MS PGothic" w:cs="MS PGothic" w:eastAsia="MS PGothic" w:hAnsi="MS PGothic"/>
          <w:sz w:val="17"/>
          <w:szCs w:val="17"/>
          <w:color w:val="auto"/>
        </w:rPr>
      </w:pPr>
    </w:p>
    <w:p>
      <w:pPr>
        <w:ind w:left="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Definitive Proxy Statement</w:t>
      </w:r>
    </w:p>
    <w:p>
      <w:pPr>
        <w:spacing w:after="0" w:line="98" w:lineRule="exact"/>
        <w:rPr>
          <w:rFonts w:ascii="MS PGothic" w:cs="MS PGothic" w:eastAsia="MS PGothic" w:hAnsi="MS PGothic"/>
          <w:sz w:val="17"/>
          <w:szCs w:val="17"/>
          <w:color w:val="auto"/>
        </w:rPr>
      </w:pPr>
    </w:p>
    <w:p>
      <w:pPr>
        <w:ind w:left="480" w:hanging="462"/>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480" w:hanging="462"/>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31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31"/>
          <w:szCs w:val="31"/>
          <w:b w:val="1"/>
          <w:bCs w:val="1"/>
          <w:color w:val="auto"/>
        </w:rPr>
        <w:t>SERES THERAPEUTICS, INC.</w:t>
      </w:r>
    </w:p>
    <w:p>
      <w:pPr>
        <w:spacing w:after="0" w:line="3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05" w:lineRule="exact"/>
        <w:rPr>
          <w:sz w:val="24"/>
          <w:szCs w:val="24"/>
          <w:color w:val="auto"/>
        </w:rPr>
      </w:pPr>
    </w:p>
    <w:p>
      <w:pPr>
        <w:ind w:left="520" w:hanging="502"/>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45" w:lineRule="exact"/>
        <w:rPr>
          <w:sz w:val="24"/>
          <w:szCs w:val="24"/>
          <w:color w:val="auto"/>
        </w:rPr>
      </w:pPr>
    </w:p>
    <w:p>
      <w:pPr>
        <w:ind w:left="520" w:hanging="502"/>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44" w:lineRule="exact"/>
        <w:rPr>
          <w:rFonts w:ascii="MS PGothic" w:cs="MS PGothic" w:eastAsia="MS PGothic" w:hAnsi="MS PGothic"/>
          <w:sz w:val="17"/>
          <w:szCs w:val="17"/>
          <w:color w:val="auto"/>
        </w:rPr>
      </w:pPr>
    </w:p>
    <w:p>
      <w:pPr>
        <w:ind w:left="520" w:hanging="502"/>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680720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09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2273935</wp:posOffset>
            </wp:positionV>
            <wp:extent cx="7136765" cy="4436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443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Seres Therapeutics, Inc.</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63"/>
          <w:szCs w:val="63"/>
          <w:color w:val="auto"/>
        </w:rPr>
        <w:t>PROXY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63"/>
          <w:szCs w:val="63"/>
          <w:color w:val="auto"/>
        </w:rPr>
        <w:t>STATEMENT</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52"/>
          <w:szCs w:val="52"/>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April 4, 2024</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885825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SERES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CAMBRIDGEPARK DRIVE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5, 2024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19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You are cordially invited to attend the 2024 Annual Meeting of Stockholders of Seres Therapeutics, Inc. at 8:00 a.m. Eastern time, on Thursday, April 4, 2024 (the “Annual Meeting”). The Annual Meeting will be held online. You will be able to attend the Annual Meeting online and submit your questions during the meeting by visiting www.virtualshareholdermeeting.com/MCRB2024.</w:t>
      </w:r>
    </w:p>
    <w:p>
      <w:pPr>
        <w:spacing w:after="0" w:line="145"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The Notice of Meeting and Proxy Statement on the following pages describe the matters to be presented at the Annual Meeting. Please see the section called “Who Can Attend the 2024 Annual Meeting of Stockholders?” on page 3 of the proxy statement for more information about how to attend the meeting online.</w:t>
      </w:r>
    </w:p>
    <w:p>
      <w:pPr>
        <w:spacing w:after="0" w:line="14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Whether or not you attend the Annual Meeting webcast, it is important that your shares be represented and voted at the Annual Meeting. Therefore, I urge you to promptly vote and submit your proxy via the Internet or by signing, dating and returning the enclosed proxy card in the enclosed envelope, which requires no postage if mailed in the United States. Instructions regarding how you can vote are contained on the proxy card. You may also vote online during the Annual Meeting. Instructions on how to vote during the meeting will be available at www.virtualshareholdermeeting.com/MCRB2024.</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support.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81050" cy="673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0" cy="67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Eric D. Shaff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453390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520" w:type="dxa"/>
            <w:vAlign w:val="bottom"/>
            <w:gridSpan w:val="44"/>
          </w:tcPr>
          <w:p>
            <w:pPr>
              <w:spacing w:after="0"/>
              <w:rPr>
                <w:sz w:val="20"/>
                <w:szCs w:val="20"/>
                <w:color w:val="auto"/>
              </w:rPr>
            </w:pPr>
            <w:r>
              <w:rPr>
                <w:rFonts w:ascii="Arial" w:cs="Arial" w:eastAsia="Arial" w:hAnsi="Arial"/>
                <w:sz w:val="17"/>
                <w:szCs w:val="17"/>
                <w:b w:val="1"/>
                <w:bCs w:val="1"/>
                <w:color w:val="0000FF"/>
              </w:rPr>
              <w:t>Notice of Annual Meeting of Stockholders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tcBorders>
              <w:top w:val="single" w:sz="8" w:color="0000FF"/>
              <w:bottom w:val="single" w:sz="8" w:color="0000EE"/>
            </w:tcBorders>
            <w:gridSpan w:val="3"/>
          </w:tcPr>
          <w:p>
            <w:pPr>
              <w:spacing w:after="0"/>
              <w:rPr>
                <w:sz w:val="20"/>
                <w:szCs w:val="20"/>
                <w:color w:val="auto"/>
              </w:rPr>
            </w:pPr>
            <w:r>
              <w:rPr>
                <w:rFonts w:ascii="Arial" w:cs="Arial" w:eastAsia="Arial" w:hAnsi="Arial"/>
                <w:sz w:val="17"/>
                <w:szCs w:val="17"/>
                <w:b w:val="1"/>
                <w:bCs w:val="1"/>
                <w:color w:val="0000FF"/>
                <w:w w:val="99"/>
              </w:rPr>
              <w:t>Proxy Statement</w:t>
            </w:r>
          </w:p>
        </w:tc>
        <w:tc>
          <w:tcPr>
            <w:tcW w:w="1920" w:type="dxa"/>
            <w:vAlign w:val="bottom"/>
            <w:tcBorders>
              <w:top w:val="single" w:sz="8" w:color="0000FF"/>
            </w:tcBorders>
            <w:gridSpan w:val="20"/>
          </w:tcPr>
          <w:p>
            <w:pPr>
              <w:spacing w:after="0"/>
              <w:rPr>
                <w:sz w:val="19"/>
                <w:szCs w:val="19"/>
                <w:color w:val="auto"/>
              </w:rPr>
            </w:pPr>
          </w:p>
        </w:tc>
        <w:tc>
          <w:tcPr>
            <w:tcW w:w="7240" w:type="dxa"/>
            <w:vAlign w:val="bottom"/>
            <w:gridSpan w:val="21"/>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Proposals</w:t>
            </w: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Recommendations of the Board</w:t>
            </w: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Information About This Proxy Statement</w:t>
            </w: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740" w:type="dxa"/>
            <w:vAlign w:val="bottom"/>
            <w:tcBorders>
              <w:bottom w:val="single" w:sz="8" w:color="0000EE"/>
            </w:tcBorders>
            <w:gridSpan w:val="39"/>
          </w:tcPr>
          <w:p>
            <w:pPr>
              <w:spacing w:after="0"/>
              <w:rPr>
                <w:sz w:val="20"/>
                <w:szCs w:val="20"/>
                <w:color w:val="auto"/>
              </w:rPr>
            </w:pPr>
            <w:r>
              <w:rPr>
                <w:rFonts w:ascii="Arial" w:cs="Arial" w:eastAsia="Arial" w:hAnsi="Arial"/>
                <w:sz w:val="17"/>
                <w:szCs w:val="17"/>
                <w:b w:val="1"/>
                <w:bCs w:val="1"/>
                <w:color w:val="0000FF"/>
                <w:w w:val="97"/>
              </w:rPr>
              <w:t>Questions and Answers About the 2024 Annual Meeting of Stockholders</w:t>
            </w:r>
          </w:p>
        </w:tc>
        <w:tc>
          <w:tcPr>
            <w:tcW w:w="4780" w:type="dxa"/>
            <w:vAlign w:val="bottom"/>
            <w:gridSpan w:val="5"/>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06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b w:val="1"/>
                <w:bCs w:val="1"/>
                <w:color w:val="0000FF"/>
                <w:w w:val="98"/>
              </w:rPr>
              <w:t>Proposals to be Voted On</w:t>
            </w:r>
          </w:p>
        </w:tc>
        <w:tc>
          <w:tcPr>
            <w:tcW w:w="8460" w:type="dxa"/>
            <w:vAlign w:val="bottom"/>
            <w:gridSpan w:val="3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Proposal 1: Election of Directors</w:t>
            </w: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Proposal 2: Ratification of Appointment of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Proposal 3: Approval, on an Advisory (Non-Binding) Basis, of the Compensation of Our Named Executive Officers</w:t>
            </w: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w w:val="97"/>
              </w:rPr>
              <w:t>Proposal 4: Approval of an Amendment to Our Restated Certificate of Incorporation to Increase the Number of Authorized Shares of</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400" w:type="dxa"/>
            <w:vAlign w:val="bottom"/>
            <w:tcBorders>
              <w:top w:val="single" w:sz="8" w:color="0000FF"/>
            </w:tcBorders>
            <w:gridSpan w:val="42"/>
          </w:tcPr>
          <w:p>
            <w:pPr>
              <w:spacing w:after="0" w:line="163" w:lineRule="exact"/>
              <w:rPr>
                <w:sz w:val="20"/>
                <w:szCs w:val="20"/>
                <w:color w:val="auto"/>
              </w:rPr>
            </w:pPr>
            <w:r>
              <w:rPr>
                <w:rFonts w:ascii="Arial" w:cs="Arial" w:eastAsia="Arial" w:hAnsi="Arial"/>
                <w:sz w:val="17"/>
                <w:szCs w:val="17"/>
                <w:color w:val="0000FF"/>
              </w:rPr>
              <w:t>Common Stock</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60" w:type="dxa"/>
            <w:vAlign w:val="bottom"/>
            <w:gridSpan w:val="43"/>
          </w:tcPr>
          <w:p>
            <w:pPr>
              <w:spacing w:after="0" w:line="189" w:lineRule="exact"/>
              <w:rPr>
                <w:sz w:val="20"/>
                <w:szCs w:val="20"/>
                <w:color w:val="auto"/>
              </w:rPr>
            </w:pPr>
            <w:r>
              <w:rPr>
                <w:rFonts w:ascii="Arial" w:cs="Arial" w:eastAsia="Arial" w:hAnsi="Arial"/>
                <w:sz w:val="17"/>
                <w:szCs w:val="17"/>
                <w:color w:val="0000FF"/>
              </w:rPr>
              <w:t>Proposal 5: Approval of an adjournment of the Annual Meeting, if necessary, to solicit additional proxies if there are not sufficient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140" w:type="dxa"/>
            <w:vAlign w:val="bottom"/>
            <w:tcBorders>
              <w:top w:val="single" w:sz="8" w:color="0000FF"/>
            </w:tcBorders>
            <w:gridSpan w:val="41"/>
          </w:tcPr>
          <w:p>
            <w:pPr>
              <w:spacing w:after="0" w:line="163" w:lineRule="exact"/>
              <w:rPr>
                <w:sz w:val="20"/>
                <w:szCs w:val="20"/>
                <w:color w:val="auto"/>
              </w:rPr>
            </w:pPr>
            <w:r>
              <w:rPr>
                <w:rFonts w:ascii="Arial" w:cs="Arial" w:eastAsia="Arial" w:hAnsi="Arial"/>
                <w:sz w:val="17"/>
                <w:szCs w:val="17"/>
                <w:color w:val="0000FF"/>
              </w:rPr>
              <w:t>votes at the time of the Annual Meeting to approve Proposal 4</w:t>
            </w: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60" w:type="dxa"/>
            <w:vAlign w:val="bottom"/>
            <w:gridSpan w:val="43"/>
          </w:tcPr>
          <w:p>
            <w:pPr>
              <w:spacing w:after="0" w:line="189" w:lineRule="exact"/>
              <w:rPr>
                <w:sz w:val="20"/>
                <w:szCs w:val="20"/>
                <w:color w:val="auto"/>
              </w:rPr>
            </w:pPr>
            <w:r>
              <w:rPr>
                <w:rFonts w:ascii="Arial" w:cs="Arial" w:eastAsia="Arial" w:hAnsi="Arial"/>
                <w:sz w:val="17"/>
                <w:szCs w:val="17"/>
                <w:color w:val="0000FF"/>
              </w:rPr>
              <w:t>Proposal 6: Stockholder Proposal on Simple Majority Vote</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440" w:type="dxa"/>
            <w:vAlign w:val="bottom"/>
            <w:tcBorders>
              <w:bottom w:val="single" w:sz="8" w:color="0000EE"/>
            </w:tcBorders>
            <w:gridSpan w:val="30"/>
          </w:tcPr>
          <w:p>
            <w:pPr>
              <w:spacing w:after="0"/>
              <w:rPr>
                <w:sz w:val="20"/>
                <w:szCs w:val="20"/>
                <w:color w:val="auto"/>
              </w:rPr>
            </w:pPr>
            <w:r>
              <w:rPr>
                <w:rFonts w:ascii="Arial" w:cs="Arial" w:eastAsia="Arial" w:hAnsi="Arial"/>
                <w:sz w:val="17"/>
                <w:szCs w:val="17"/>
                <w:b w:val="1"/>
                <w:bCs w:val="1"/>
                <w:color w:val="0000FF"/>
                <w:w w:val="97"/>
              </w:rPr>
              <w:t>Report of the Audit Committee of the Board of Directors</w:t>
            </w:r>
          </w:p>
        </w:tc>
        <w:tc>
          <w:tcPr>
            <w:tcW w:w="6080" w:type="dxa"/>
            <w:vAlign w:val="bottom"/>
            <w:gridSpan w:val="1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720" w:type="dxa"/>
            <w:vAlign w:val="bottom"/>
            <w:tcBorders>
              <w:bottom w:val="single" w:sz="8" w:color="0000EE"/>
            </w:tcBorders>
            <w:gridSpan w:val="38"/>
          </w:tcPr>
          <w:p>
            <w:pPr>
              <w:spacing w:after="0"/>
              <w:rPr>
                <w:sz w:val="20"/>
                <w:szCs w:val="20"/>
                <w:color w:val="auto"/>
              </w:rPr>
            </w:pPr>
            <w:r>
              <w:rPr>
                <w:rFonts w:ascii="Arial" w:cs="Arial" w:eastAsia="Arial" w:hAnsi="Arial"/>
                <w:sz w:val="17"/>
                <w:szCs w:val="17"/>
                <w:b w:val="1"/>
                <w:bCs w:val="1"/>
                <w:color w:val="0000FF"/>
                <w:w w:val="97"/>
              </w:rPr>
              <w:t>Independent Registered Public Accounting Firm Fees and Other Matters</w:t>
            </w:r>
          </w:p>
        </w:tc>
        <w:tc>
          <w:tcPr>
            <w:tcW w:w="4800" w:type="dxa"/>
            <w:vAlign w:val="bottom"/>
            <w:gridSpan w:val="6"/>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520" w:type="dxa"/>
            <w:vAlign w:val="bottom"/>
            <w:gridSpan w:val="44"/>
          </w:tcPr>
          <w:p>
            <w:pPr>
              <w:spacing w:after="0"/>
              <w:rPr>
                <w:sz w:val="20"/>
                <w:szCs w:val="20"/>
                <w:color w:val="auto"/>
              </w:rPr>
            </w:pPr>
            <w:r>
              <w:rPr>
                <w:rFonts w:ascii="Arial" w:cs="Arial" w:eastAsia="Arial" w:hAnsi="Arial"/>
                <w:sz w:val="17"/>
                <w:szCs w:val="17"/>
                <w:b w:val="1"/>
                <w:bCs w:val="1"/>
                <w:color w:val="0000FF"/>
              </w:rPr>
              <w:t>Executive Officers</w:t>
            </w:r>
          </w:p>
        </w:tc>
        <w:tc>
          <w:tcPr>
            <w:tcW w:w="70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8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b w:val="1"/>
                <w:bCs w:val="1"/>
                <w:color w:val="0000FF"/>
                <w:w w:val="99"/>
              </w:rPr>
              <w:t>Corporate Governance</w:t>
            </w:r>
          </w:p>
        </w:tc>
        <w:tc>
          <w:tcPr>
            <w:tcW w:w="8660" w:type="dxa"/>
            <w:vAlign w:val="bottom"/>
            <w:gridSpan w:val="35"/>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General</w:t>
            </w: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Board Composition</w:t>
            </w: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Director Independence</w:t>
            </w: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Director Candidates</w:t>
            </w: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Communications from Stockholders</w:t>
            </w:r>
          </w:p>
        </w:tc>
        <w:tc>
          <w:tcPr>
            <w:tcW w:w="7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Board Leadership Structure and Role in Risk Oversight</w:t>
            </w:r>
          </w:p>
        </w:tc>
        <w:tc>
          <w:tcPr>
            <w:tcW w:w="7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Environmental, Social and Corporate Governance Activities</w:t>
            </w:r>
          </w:p>
        </w:tc>
        <w:tc>
          <w:tcPr>
            <w:tcW w:w="7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Annual Board Evaluation</w:t>
            </w: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Code of Ethics</w:t>
            </w: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Anti-Hedging and Anti-Pledging Policy</w:t>
            </w: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Attendance by Members of the Board of Directors at Meetings</w:t>
            </w: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0520" w:type="dxa"/>
            <w:vAlign w:val="bottom"/>
            <w:gridSpan w:val="44"/>
          </w:tcPr>
          <w:p>
            <w:pPr>
              <w:spacing w:after="0"/>
              <w:rPr>
                <w:sz w:val="20"/>
                <w:szCs w:val="20"/>
                <w:color w:val="auto"/>
              </w:rPr>
            </w:pPr>
            <w:r>
              <w:rPr>
                <w:rFonts w:ascii="Arial" w:cs="Arial" w:eastAsia="Arial" w:hAnsi="Arial"/>
                <w:sz w:val="17"/>
                <w:szCs w:val="17"/>
                <w:b w:val="1"/>
                <w:bCs w:val="1"/>
                <w:color w:val="0000FF"/>
              </w:rPr>
              <w:t>Committees of the Board</w:t>
            </w: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Audit Committee</w:t>
            </w: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Compensation and Talent Committee</w:t>
            </w:r>
          </w:p>
        </w:tc>
        <w:tc>
          <w:tcPr>
            <w:tcW w:w="7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Nominating and Corporate Governance Committee</w:t>
            </w:r>
          </w:p>
        </w:tc>
        <w:tc>
          <w:tcPr>
            <w:tcW w:w="7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Science and Clinical Development Committee</w:t>
            </w: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b w:val="1"/>
                <w:bCs w:val="1"/>
                <w:color w:val="0000FF"/>
                <w:w w:val="93"/>
              </w:rPr>
              <w:t>Executive Compensation</w:t>
            </w:r>
          </w:p>
        </w:tc>
        <w:tc>
          <w:tcPr>
            <w:tcW w:w="8580" w:type="dxa"/>
            <w:vAlign w:val="bottom"/>
            <w:gridSpan w:val="3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General</w:t>
            </w:r>
          </w:p>
        </w:tc>
        <w:tc>
          <w:tcPr>
            <w:tcW w:w="7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Details of Our Compensation Program</w:t>
            </w:r>
          </w:p>
        </w:tc>
        <w:tc>
          <w:tcPr>
            <w:tcW w:w="7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Executive Compensation Table</w:t>
            </w:r>
          </w:p>
        </w:tc>
        <w:tc>
          <w:tcPr>
            <w:tcW w:w="7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Employment Agreements</w:t>
            </w:r>
          </w:p>
        </w:tc>
        <w:tc>
          <w:tcPr>
            <w:tcW w:w="7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Pay Versus Performance</w:t>
            </w:r>
          </w:p>
        </w:tc>
        <w:tc>
          <w:tcPr>
            <w:tcW w:w="70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0520" w:type="dxa"/>
            <w:vAlign w:val="bottom"/>
            <w:gridSpan w:val="44"/>
          </w:tcPr>
          <w:p>
            <w:pPr>
              <w:spacing w:after="0"/>
              <w:rPr>
                <w:sz w:val="20"/>
                <w:szCs w:val="20"/>
                <w:color w:val="auto"/>
              </w:rPr>
            </w:pPr>
            <w:r>
              <w:rPr>
                <w:rFonts w:ascii="Arial" w:cs="Arial" w:eastAsia="Arial" w:hAnsi="Arial"/>
                <w:sz w:val="17"/>
                <w:szCs w:val="17"/>
                <w:b w:val="1"/>
                <w:bCs w:val="1"/>
                <w:color w:val="0000FF"/>
              </w:rPr>
              <w:t>Director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60" w:type="dxa"/>
            <w:vAlign w:val="bottom"/>
            <w:gridSpan w:val="43"/>
          </w:tcPr>
          <w:p>
            <w:pPr>
              <w:spacing w:after="0"/>
              <w:rPr>
                <w:sz w:val="20"/>
                <w:szCs w:val="20"/>
                <w:color w:val="auto"/>
              </w:rPr>
            </w:pPr>
            <w:r>
              <w:rPr>
                <w:rFonts w:ascii="Arial" w:cs="Arial" w:eastAsia="Arial" w:hAnsi="Arial"/>
                <w:sz w:val="17"/>
                <w:szCs w:val="17"/>
                <w:color w:val="0000FF"/>
              </w:rPr>
              <w:t>2023 Director Compensation Table</w:t>
            </w:r>
          </w:p>
        </w:tc>
        <w:tc>
          <w:tcPr>
            <w:tcW w:w="7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b w:val="1"/>
                <w:bCs w:val="1"/>
                <w:color w:val="0000FF"/>
                <w:w w:val="96"/>
              </w:rPr>
              <w:t>Equity Compensation Plan Information</w:t>
            </w:r>
          </w:p>
        </w:tc>
        <w:tc>
          <w:tcPr>
            <w:tcW w:w="40" w:type="dxa"/>
            <w:vAlign w:val="bottom"/>
            <w:tcBorders>
              <w:bottom w:val="single" w:sz="8" w:color="0000EE"/>
            </w:tcBorders>
          </w:tcPr>
          <w:p>
            <w:pPr>
              <w:spacing w:after="0"/>
              <w:rPr>
                <w:sz w:val="22"/>
                <w:szCs w:val="22"/>
                <w:color w:val="auto"/>
              </w:rPr>
            </w:pPr>
          </w:p>
        </w:tc>
        <w:tc>
          <w:tcPr>
            <w:tcW w:w="7420" w:type="dxa"/>
            <w:vAlign w:val="bottom"/>
            <w:gridSpan w:val="2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0000EE"/>
            </w:tcBorders>
            <w:gridSpan w:val="35"/>
          </w:tcPr>
          <w:p>
            <w:pPr>
              <w:spacing w:after="0"/>
              <w:rPr>
                <w:sz w:val="20"/>
                <w:szCs w:val="20"/>
                <w:color w:val="auto"/>
              </w:rPr>
            </w:pPr>
            <w:r>
              <w:rPr>
                <w:rFonts w:ascii="Arial" w:cs="Arial" w:eastAsia="Arial" w:hAnsi="Arial"/>
                <w:sz w:val="17"/>
                <w:szCs w:val="17"/>
                <w:b w:val="1"/>
                <w:bCs w:val="1"/>
                <w:color w:val="0000FF"/>
                <w:w w:val="97"/>
              </w:rPr>
              <w:t>Security Ownership of Certain Beneficial Owners and Management</w:t>
            </w:r>
          </w:p>
        </w:tc>
        <w:tc>
          <w:tcPr>
            <w:tcW w:w="5220" w:type="dxa"/>
            <w:vAlign w:val="bottom"/>
            <w:gridSpan w:val="9"/>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b w:val="1"/>
                <w:bCs w:val="1"/>
                <w:color w:val="0000FF"/>
                <w:w w:val="99"/>
              </w:rPr>
              <w:t>Certain Relationships</w:t>
            </w:r>
          </w:p>
        </w:tc>
        <w:tc>
          <w:tcPr>
            <w:tcW w:w="8760" w:type="dxa"/>
            <w:vAlign w:val="bottom"/>
            <w:gridSpan w:val="37"/>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760" w:type="dxa"/>
            <w:vAlign w:val="bottom"/>
            <w:tcBorders>
              <w:bottom w:val="single" w:sz="8" w:color="0000EE"/>
            </w:tcBorders>
            <w:gridSpan w:val="40"/>
          </w:tcPr>
          <w:p>
            <w:pPr>
              <w:spacing w:after="0"/>
              <w:rPr>
                <w:sz w:val="20"/>
                <w:szCs w:val="20"/>
                <w:color w:val="auto"/>
              </w:rPr>
            </w:pPr>
            <w:r>
              <w:rPr>
                <w:rFonts w:ascii="Arial" w:cs="Arial" w:eastAsia="Arial" w:hAnsi="Arial"/>
                <w:sz w:val="17"/>
                <w:szCs w:val="17"/>
                <w:b w:val="1"/>
                <w:bCs w:val="1"/>
                <w:color w:val="0000FF"/>
                <w:w w:val="97"/>
              </w:rPr>
              <w:t>Compensation and Talent Committee Interlocks and Insider Participation</w:t>
            </w:r>
          </w:p>
        </w:tc>
        <w:tc>
          <w:tcPr>
            <w:tcW w:w="4760" w:type="dxa"/>
            <w:vAlign w:val="bottom"/>
            <w:gridSpan w:val="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b w:val="1"/>
                <w:bCs w:val="1"/>
                <w:color w:val="0000FF"/>
                <w:w w:val="95"/>
              </w:rPr>
              <w:t>Stockholders’ Proposals</w:t>
            </w:r>
          </w:p>
        </w:tc>
        <w:tc>
          <w:tcPr>
            <w:tcW w:w="8580" w:type="dxa"/>
            <w:vAlign w:val="bottom"/>
            <w:gridSpan w:val="3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b w:val="1"/>
                <w:bCs w:val="1"/>
                <w:color w:val="0000FF"/>
                <w:w w:val="97"/>
              </w:rPr>
              <w:t>Other Matters</w:t>
            </w:r>
          </w:p>
        </w:tc>
        <w:tc>
          <w:tcPr>
            <w:tcW w:w="9400" w:type="dxa"/>
            <w:vAlign w:val="bottom"/>
            <w:gridSpan w:val="4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w w:val="96"/>
              </w:rPr>
              <w:t>Solicitation of Proxies</w:t>
            </w:r>
          </w:p>
        </w:tc>
        <w:tc>
          <w:tcPr>
            <w:tcW w:w="100" w:type="dxa"/>
            <w:vAlign w:val="bottom"/>
            <w:tcBorders>
              <w:bottom w:val="single" w:sz="8" w:color="0000EE"/>
            </w:tcBorders>
            <w:gridSpan w:val="2"/>
          </w:tcPr>
          <w:p>
            <w:pPr>
              <w:spacing w:after="0"/>
              <w:rPr>
                <w:sz w:val="22"/>
                <w:szCs w:val="22"/>
                <w:color w:val="auto"/>
              </w:rPr>
            </w:pPr>
          </w:p>
        </w:tc>
        <w:tc>
          <w:tcPr>
            <w:tcW w:w="8680" w:type="dxa"/>
            <w:vAlign w:val="bottom"/>
            <w:gridSpan w:val="36"/>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520" w:type="dxa"/>
            <w:vAlign w:val="bottom"/>
            <w:gridSpan w:val="44"/>
          </w:tcPr>
          <w:p>
            <w:pPr>
              <w:spacing w:after="0"/>
              <w:rPr>
                <w:sz w:val="20"/>
                <w:szCs w:val="20"/>
                <w:color w:val="auto"/>
              </w:rPr>
            </w:pPr>
            <w:r>
              <w:rPr>
                <w:rFonts w:ascii="Arial" w:cs="Arial" w:eastAsia="Arial" w:hAnsi="Arial"/>
                <w:sz w:val="17"/>
                <w:szCs w:val="17"/>
                <w:b w:val="1"/>
                <w:bCs w:val="1"/>
                <w:color w:val="0000FF"/>
              </w:rPr>
              <w:t>Seres’ Annual Report on Form 10-K</w:t>
            </w:r>
          </w:p>
        </w:tc>
        <w:tc>
          <w:tcPr>
            <w:tcW w:w="70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85"/>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4"/>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Be Held Thursday, 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SERES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CAMBRIDGEPARK DRIVE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67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9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Annual Meeting of Stockholders (the “Annual Meeting”) of Seres Therapeutics, Inc., a Delaware corporation (the “Company”), will be held at 8:00 a.m. Eastern time on Thursday, April 4, 2024. The Annual Meeting will be a completely virtual meeting, which will be conducted via live webcast. You will be able to attend the Annual Meeting online and submit your questions during the meeting by visiting www.virtualshareholdermeeting.com/MCRB2024 and entering your 16-digit control number included on your proxy card or on the instructions that accompanied your proxy materials. The Annual Meeting will be held for the following purposes:</w:t>
      </w:r>
    </w:p>
    <w:p>
      <w:pPr>
        <w:spacing w:after="0" w:line="155" w:lineRule="exact"/>
        <w:rPr>
          <w:sz w:val="20"/>
          <w:szCs w:val="20"/>
          <w:color w:val="auto"/>
        </w:rPr>
      </w:pPr>
    </w:p>
    <w:p>
      <w:pPr>
        <w:ind w:left="1620" w:hanging="507"/>
        <w:spacing w:after="0" w:line="250"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Paul R. Biondi and Kurt C. Graves as Class III Directors to serve until the 2027 Annual Meeting of Stockholders, and until their respective successors have been duly elected and qualified;</w:t>
      </w:r>
    </w:p>
    <w:p>
      <w:pPr>
        <w:spacing w:after="0" w:line="1" w:lineRule="exact"/>
        <w:rPr>
          <w:rFonts w:ascii="Arial" w:cs="Arial" w:eastAsia="Arial" w:hAnsi="Arial"/>
          <w:sz w:val="17"/>
          <w:szCs w:val="17"/>
          <w:color w:val="auto"/>
        </w:rPr>
      </w:pPr>
    </w:p>
    <w:p>
      <w:pPr>
        <w:ind w:left="1620" w:right="60" w:hanging="507"/>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our independent registered public accounting firm for the fiscal year ending December 31, 2024;</w:t>
      </w:r>
    </w:p>
    <w:p>
      <w:pPr>
        <w:spacing w:after="0" w:line="1" w:lineRule="exact"/>
        <w:rPr>
          <w:rFonts w:ascii="Arial" w:cs="Arial" w:eastAsia="Arial" w:hAnsi="Arial"/>
          <w:sz w:val="17"/>
          <w:szCs w:val="17"/>
          <w:color w:val="auto"/>
        </w:rPr>
      </w:pPr>
    </w:p>
    <w:p>
      <w:pPr>
        <w:ind w:left="1620" w:hanging="507"/>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on an advisory (non-binding) basis, the compensation of our named executive officers;</w:t>
      </w:r>
    </w:p>
    <w:p>
      <w:pPr>
        <w:ind w:left="1620" w:right="260" w:hanging="507"/>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our Restated Certificate of Incorporation to increase the number of authorized shares of our common stock, par value $0.001 per share (our "Common Stock") from 240,000,000 to 360,000,000;</w:t>
      </w:r>
    </w:p>
    <w:p>
      <w:pPr>
        <w:spacing w:after="0" w:line="1" w:lineRule="exact"/>
        <w:rPr>
          <w:rFonts w:ascii="Arial" w:cs="Arial" w:eastAsia="Arial" w:hAnsi="Arial"/>
          <w:sz w:val="17"/>
          <w:szCs w:val="17"/>
          <w:color w:val="auto"/>
        </w:rPr>
      </w:pPr>
    </w:p>
    <w:p>
      <w:pPr>
        <w:ind w:left="1620" w:right="40" w:hanging="507"/>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adjournment of the Annual Meeting, if necessary, to solicit additional proxies if there are not sufficient votes at the time of the Annual Meeting to approve Proposal 4;</w:t>
      </w:r>
    </w:p>
    <w:p>
      <w:pPr>
        <w:spacing w:after="0" w:line="1" w:lineRule="exact"/>
        <w:rPr>
          <w:rFonts w:ascii="Arial" w:cs="Arial" w:eastAsia="Arial" w:hAnsi="Arial"/>
          <w:sz w:val="17"/>
          <w:szCs w:val="17"/>
          <w:color w:val="auto"/>
        </w:rPr>
      </w:pPr>
    </w:p>
    <w:p>
      <w:pPr>
        <w:ind w:left="1620" w:hanging="507"/>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properly presented at the Annual Meeting, to vote upon a stockholder proposal on simple majority vote; and</w:t>
      </w:r>
    </w:p>
    <w:p>
      <w:pPr>
        <w:ind w:left="1620" w:right="340" w:hanging="507"/>
        <w:spacing w:after="0" w:line="263"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continuation, postponement, or adjournment of the Annual Meeting.</w:t>
      </w:r>
    </w:p>
    <w:p>
      <w:pPr>
        <w:spacing w:after="0" w:line="144"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Holders of record of our Common Stock as of the close of business on February 12, 2024 are entitled to notice of and to vote at the Annual Meeting, or any continuation, postponement or adjournment of the Annual Meeting. To participate in the Annual Meeting, including to vote via the Internet, you will need the 16-digit control number included on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ending on the day before the Annual Meeting. The Annual Meeting may be continued or adjourned from time to time without notice other than by announcement at the Annual Meeting.</w:t>
      </w:r>
    </w:p>
    <w:p>
      <w:pPr>
        <w:spacing w:after="0" w:line="160" w:lineRule="exact"/>
        <w:rPr>
          <w:sz w:val="20"/>
          <w:szCs w:val="20"/>
          <w:color w:val="auto"/>
        </w:rPr>
      </w:pPr>
    </w:p>
    <w:p>
      <w:pPr>
        <w:jc w:val="both"/>
        <w:ind w:right="40"/>
        <w:spacing w:after="0" w:line="248" w:lineRule="auto"/>
        <w:rPr>
          <w:sz w:val="20"/>
          <w:szCs w:val="20"/>
          <w:color w:val="auto"/>
        </w:rPr>
      </w:pPr>
      <w:r>
        <w:rPr>
          <w:rFonts w:ascii="Arial" w:cs="Arial" w:eastAsia="Arial" w:hAnsi="Arial"/>
          <w:sz w:val="17"/>
          <w:szCs w:val="17"/>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have received a printed copy of your proxy card by mail, you may alternatively sign, date and mail the proxy card in the enclosed return envelope.</w:t>
      </w:r>
    </w:p>
    <w:p>
      <w:pPr>
        <w:spacing w:after="0" w:line="1"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b w:val="1"/>
          <w:bCs w:val="1"/>
          <w:color w:val="auto"/>
        </w:rPr>
        <w:t>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1902460" cy="431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2460" cy="43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Thomas J. DesRosier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453390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SERES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CAMBRIDGEPARK DRIVE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CAMBRIDGE, MASSACHUSETTS 02140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Seres Therapeutics, Inc. of proxies to be voted at our Annual Meeting of Stockholders to be held on Thursday, April 4, 2024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 MCRB2024 and entering the 16-digit control number included on your proxy card or on the instructions that accompanied your proxy materials. Holders of record of shares of our common stock (our “Common Stock”), as of the close of business on February 12, 2024 (the “Record Date”), will be entitled to notice of and to vote at the Annual Meeting and any continuation, postponement, or adjournment of the Annual Meeting. As of the Record Date, there were 145,557,567</w:t>
      </w:r>
    </w:p>
    <w:p>
      <w:pPr>
        <w:spacing w:after="0" w:line="3"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shares of Common Stock outstanding and entitled to vote at the Annual Meeting. Each share of Common Stock is entitled to one vote on any matter presented to stockholders at the Annual Meeting.</w:t>
      </w:r>
    </w:p>
    <w:p>
      <w:pPr>
        <w:spacing w:after="0" w:line="144"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This proxy statement and our Annual Report to Stockholders for the year ended December 31, 2023 (the “2023 Annual Report”) will be released on or about March 5, 2024 to our stockholders on the Record Date.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In this proxy statement, “Seres”, “Company”, “we”, “us”, and “our” refer to Seres Therapeutics, Inc.</w:t>
      </w:r>
    </w:p>
    <w:p>
      <w:pPr>
        <w:spacing w:after="0" w:line="195" w:lineRule="exact"/>
        <w:rPr>
          <w:sz w:val="20"/>
          <w:szCs w:val="20"/>
          <w:color w:val="auto"/>
        </w:rPr>
      </w:pPr>
    </w:p>
    <w:p>
      <w:pPr>
        <w:ind w:right="280"/>
        <w:spacing w:after="0" w:line="295"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THURSDAY, APRIL 4, 2024</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Proxy Statement and our 2023 Annual Report to Stockholders are available at http://www.proxyvote.com/.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At the Annual Meeting, our stockholders will be asked:</w:t>
      </w:r>
    </w:p>
    <w:p>
      <w:pPr>
        <w:spacing w:after="0" w:line="197" w:lineRule="exact"/>
        <w:rPr>
          <w:sz w:val="20"/>
          <w:szCs w:val="20"/>
          <w:color w:val="auto"/>
        </w:rPr>
      </w:pPr>
    </w:p>
    <w:p>
      <w:pPr>
        <w:ind w:left="880" w:right="120" w:hanging="246"/>
        <w:spacing w:after="0" w:line="250" w:lineRule="auto"/>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1: To elect Paul R. Biondi and Kurt C. Graves as Class III Directors to serve until the 2027 Annual Meeting of Stockholders, and until their respective successors have been duly elected and qualified;</w:t>
      </w:r>
    </w:p>
    <w:p>
      <w:pPr>
        <w:ind w:left="880" w:right="280" w:hanging="246"/>
        <w:spacing w:after="0"/>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2: To ratify the appointment of PricewaterhouseCoopers LLP as our independent registered public accounting firm for the fiscal year ending December 31, 2024;</w:t>
      </w:r>
    </w:p>
    <w:p>
      <w:pPr>
        <w:ind w:left="880" w:hanging="246"/>
        <w:spacing w:after="0"/>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3: To approve, on an advisory (non-binding) basis, the compensation of our named executive officers;</w:t>
      </w:r>
    </w:p>
    <w:p>
      <w:pPr>
        <w:spacing w:after="0" w:line="13" w:lineRule="exact"/>
        <w:rPr>
          <w:rFonts w:ascii="Times New Roman" w:cs="Times New Roman" w:eastAsia="Times New Roman" w:hAnsi="Times New Roman"/>
          <w:sz w:val="17"/>
          <w:szCs w:val="17"/>
          <w:color w:val="auto"/>
        </w:rPr>
      </w:pPr>
    </w:p>
    <w:p>
      <w:pPr>
        <w:ind w:left="880" w:right="340" w:hanging="246"/>
        <w:spacing w:after="0"/>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4: To approve an amendment to our Restated Certificate of Incorporation to increase the number of authorized shares of Common Stock from 240,000,000 to 360,000,000;</w:t>
      </w:r>
    </w:p>
    <w:p>
      <w:pPr>
        <w:ind w:left="880" w:right="20" w:hanging="246"/>
        <w:spacing w:after="0"/>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5: To approve an adjournment of the Annual Meeting, if necessary, to solicit additional proxies if there are not sufficient votes at the time of the Annual Meeting to approve Proposal 4;</w:t>
      </w:r>
    </w:p>
    <w:p>
      <w:pPr>
        <w:ind w:left="880" w:hanging="246"/>
        <w:spacing w:after="0"/>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Proposal 6: If properly presented at the Annual Meeting, to vote upon a stockholder proposal on simple majority vote; and</w:t>
      </w:r>
    </w:p>
    <w:p>
      <w:pPr>
        <w:spacing w:after="0" w:line="13" w:lineRule="exact"/>
        <w:rPr>
          <w:rFonts w:ascii="Times New Roman" w:cs="Times New Roman" w:eastAsia="Times New Roman" w:hAnsi="Times New Roman"/>
          <w:sz w:val="17"/>
          <w:szCs w:val="17"/>
          <w:color w:val="auto"/>
        </w:rPr>
      </w:pPr>
    </w:p>
    <w:p>
      <w:pPr>
        <w:ind w:left="880" w:right="20" w:hanging="246"/>
        <w:spacing w:after="0" w:line="262" w:lineRule="auto"/>
        <w:tabs>
          <w:tab w:leader="none" w:pos="8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To transact such other business as may properly come before the Annual Meeting or any continuation, postponement, or adjournment of the Annual Meeting.</w:t>
      </w:r>
    </w:p>
    <w:p>
      <w:pPr>
        <w:spacing w:after="0" w:line="14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Our Board of Directors (the “Board of Directors” or the “Board”) recommends that you vote your shares of Common Stock as indicated below. If you return a properly completed proxy card, or vote your shares by Internet, your shares will be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0"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voted on your behalf as you direct. If not otherwise specified, shares of Common Stock represented by proxies will be voted, and the Board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Directors recommends that you vote:</w:t>
      </w:r>
    </w:p>
    <w:p>
      <w:pPr>
        <w:spacing w:after="0" w:line="181" w:lineRule="exact"/>
        <w:rPr>
          <w:sz w:val="20"/>
          <w:szCs w:val="20"/>
          <w:color w:val="auto"/>
        </w:rPr>
      </w:pPr>
    </w:p>
    <w:p>
      <w:pPr>
        <w:ind w:left="88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FOR the election of Paul R. Biondi and Kurt C. Graves as Class III Directors;</w:t>
      </w:r>
    </w:p>
    <w:p>
      <w:pPr>
        <w:spacing w:after="0" w:line="29" w:lineRule="exact"/>
        <w:rPr>
          <w:rFonts w:ascii="Times New Roman" w:cs="Times New Roman" w:eastAsia="Times New Roman" w:hAnsi="Times New Roman"/>
          <w:sz w:val="17"/>
          <w:szCs w:val="17"/>
          <w:color w:val="auto"/>
        </w:rPr>
      </w:pPr>
    </w:p>
    <w:p>
      <w:pPr>
        <w:ind w:left="880" w:right="16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FOR the ratification of the appointment of PricewaterhouseCoopers LLP as our independent registered public accounting firm for the fiscal year ending December 31, 2024;</w:t>
      </w:r>
    </w:p>
    <w:p>
      <w:pPr>
        <w:ind w:left="88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FOR the approval, on an advisory (non-binding) basis, of the compensation of our named executive officers;</w:t>
      </w:r>
    </w:p>
    <w:p>
      <w:pPr>
        <w:spacing w:after="0" w:line="13" w:lineRule="exact"/>
        <w:rPr>
          <w:rFonts w:ascii="Times New Roman" w:cs="Times New Roman" w:eastAsia="Times New Roman" w:hAnsi="Times New Roman"/>
          <w:sz w:val="17"/>
          <w:szCs w:val="17"/>
          <w:color w:val="auto"/>
        </w:rPr>
      </w:pPr>
    </w:p>
    <w:p>
      <w:pPr>
        <w:ind w:left="880" w:right="58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FOR the approval of an amendment to our Restated Certificate of Incorporation to increase the number of authorized shares of Common Stock from 240,000,000 to 360,000,000;</w:t>
      </w:r>
    </w:p>
    <w:p>
      <w:pPr>
        <w:ind w:left="880" w:right="6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FOR the approval of an adjournment of the Annual Meeting, if necessary, to solicit additional proxies if there are not sufficient votes at the time of the Annual Meeting to approve Proposal 4; and</w:t>
      </w:r>
    </w:p>
    <w:p>
      <w:pPr>
        <w:ind w:left="880" w:hanging="246"/>
        <w:spacing w:after="0"/>
        <w:tabs>
          <w:tab w:leader="none" w:pos="8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AGAINST the stockholder proposal.</w:t>
      </w:r>
    </w:p>
    <w:p>
      <w:pPr>
        <w:spacing w:after="0" w:line="193"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If any other matter properly comes before the stockholders for a vote at the Annual Meeting, the proxy holders named on the Company’s proxy card will vote your shares in accordance with their best judgment.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Why you Received this Proxy Statement. </w:t>
      </w:r>
      <w:r>
        <w:rPr>
          <w:rFonts w:ascii="Arial" w:cs="Arial" w:eastAsia="Arial" w:hAnsi="Arial"/>
          <w:sz w:val="17"/>
          <w:szCs w:val="17"/>
          <w:color w:val="auto"/>
        </w:rPr>
        <w:t>You are viewing or have received these proxy materials because our Board is soliciting your proxy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your shares of Common Stock at the Annual Meeting. This proxy statement includes information that we are required to provide to you under the rules of the Securities and Exchange Commission (“SEC”) and that is designed to assist you in voting your shares. Instructions regarding how you can vote are contained on the proxy card included in the proxy materials.</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color w:val="auto"/>
        </w:rPr>
        <w:t xml:space="preserve">Householding. </w:t>
      </w:r>
      <w:r>
        <w:rPr>
          <w:rFonts w:ascii="Arial" w:cs="Arial" w:eastAsia="Arial" w:hAnsi="Arial"/>
          <w:sz w:val="17"/>
          <w:szCs w:val="17"/>
          <w:color w:val="auto"/>
        </w:rPr>
        <w:t>The SEC’s rules permit us and banks, brokers, or other agents to deliver a single set of proxy materials to one address shared by</w:t>
      </w:r>
      <w:r>
        <w:rPr>
          <w:rFonts w:ascii="Arial" w:cs="Arial" w:eastAsia="Arial" w:hAnsi="Arial"/>
          <w:sz w:val="17"/>
          <w:szCs w:val="17"/>
          <w:b w:val="1"/>
          <w:bCs w:val="1"/>
          <w:color w:val="auto"/>
        </w:rPr>
        <w:t xml:space="preserve"> </w:t>
      </w:r>
      <w:r>
        <w:rPr>
          <w:rFonts w:ascii="Arial" w:cs="Arial" w:eastAsia="Arial" w:hAnsi="Arial"/>
          <w:sz w:val="17"/>
          <w:szCs w:val="17"/>
          <w:color w:val="auto"/>
        </w:rPr>
        <w:t>two or more of our stockholders. This delivery method is referred to as “householding” and can result in significant cost savings. To take advantage of this opportunity, we and certain banks, brokers, or other agents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360"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t>Questions and Answers about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entitled to vote at the Annual Meeting?</w:t>
      </w:r>
    </w:p>
    <w:p>
      <w:pPr>
        <w:spacing w:after="0" w:line="17"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The Record Date for the Annual Meeting is February 12, 2024.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145,557,567 shares of Common Stock outstanding and entitled to vote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difference between being a "Record Holder" and holding shares in "Street Name"?</w:t>
      </w:r>
    </w:p>
    <w:p>
      <w:pPr>
        <w:spacing w:after="0" w:line="17"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A record holder holds shares in his or her name. Shares held in “street name” means shares that are held in the name of a bank or broker on a person’s behalf.</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 I entitled to vote if my shares are held in "Street Name"?</w:t>
      </w:r>
    </w:p>
    <w:p>
      <w:pPr>
        <w:spacing w:after="0" w:line="1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shares must be present to hold the Annual Meeting?</w:t>
      </w:r>
    </w:p>
    <w:p>
      <w:pPr>
        <w:spacing w:after="0" w:line="17"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can attend the 2024 Annual Meeting of Stockholders?</w:t>
      </w:r>
    </w:p>
    <w:p>
      <w:pPr>
        <w:spacing w:after="0" w:line="1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www.virtualshareholdermeeting.com/MCRB2024.</w:t>
      </w:r>
    </w:p>
    <w:p>
      <w:pPr>
        <w:spacing w:after="0" w:line="153"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The meeting webcast will begin promptly at 8:00 a.m. Eastern Time. We encourage you to access the meeting prior to the start time. Online check-in will begin at 7:55 a.m. Eastern Time, and you should allow sufficient time for the check-in procedures.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To attend and participate in the Annual Meeting, you will need the 16-digit control number included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or ask questions.</w:t>
      </w:r>
    </w:p>
    <w:p>
      <w:pPr>
        <w:spacing w:after="0" w:line="150"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b w:val="1"/>
          <w:bCs w:val="1"/>
          <w:i w:val="1"/>
          <w:iCs w:val="1"/>
          <w:color w:val="auto"/>
        </w:rPr>
        <w:t>What if during the check-in time or during the Annual Meeting I have technical difficulties or trouble accessing the virtual meeting website?</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Why hold a virtual meeting?</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if a quorum is not present at the Annual Meeting?</w:t>
      </w:r>
    </w:p>
    <w:p>
      <w:pPr>
        <w:spacing w:after="0" w:line="1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If a quorum is not present at the scheduled time of the Annual Meeting, (i) the Chairperson of the Annual Meeting, or a person designated by the Chairperson of the Annual Meeting or (ii) a majority in voting power of the stockholders entitled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8" w:name="page9"/>
    <w:bookmarkEnd w:id="8"/>
    <w:p>
      <w:pPr>
        <w:ind w:right="240"/>
        <w:spacing w:after="0" w:line="283" w:lineRule="auto"/>
        <w:rPr>
          <w:sz w:val="20"/>
          <w:szCs w:val="20"/>
          <w:color w:val="auto"/>
        </w:rPr>
      </w:pPr>
      <w:r>
        <w:rPr>
          <w:rFonts w:ascii="Arial" w:cs="Arial" w:eastAsia="Arial" w:hAnsi="Arial"/>
          <w:sz w:val="17"/>
          <w:szCs w:val="17"/>
          <w:color w:val="auto"/>
        </w:rPr>
        <w:t>to vote thereon, present in person, or by remote communication, if applicable, or represented by proxy, may adjourn the Annual Meeting until a quorum is present or represented.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does it mean if I receive more than one set of proxy materials?</w:t>
      </w:r>
    </w:p>
    <w:p>
      <w:pPr>
        <w:spacing w:after="0" w:line="1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set of proxy materials, please submit your proxy via the Internet, or, if you received printed copies of the proxy materials, by signing, dating and returning each enclosed proxy card in the enclosed envelope.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1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Your most recent proxy card or Internet proxy is the one that is counted.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Stockholders of Record. </w:t>
      </w:r>
      <w:r>
        <w:rPr>
          <w:rFonts w:ascii="Arial" w:cs="Arial" w:eastAsia="Arial" w:hAnsi="Arial"/>
          <w:sz w:val="17"/>
          <w:szCs w:val="17"/>
          <w:color w:val="auto"/>
        </w:rPr>
        <w:t>If you are a stockholder of record, you may vote:</w:t>
      </w:r>
    </w:p>
    <w:p>
      <w:pPr>
        <w:spacing w:after="0" w:line="199" w:lineRule="exact"/>
        <w:rPr>
          <w:sz w:val="20"/>
          <w:szCs w:val="20"/>
          <w:color w:val="auto"/>
        </w:rPr>
      </w:pPr>
    </w:p>
    <w:p>
      <w:pPr>
        <w:ind w:left="880" w:right="400" w:hanging="246"/>
        <w:spacing w:after="0" w:line="250" w:lineRule="auto"/>
        <w:tabs>
          <w:tab w:leader="none" w:pos="8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By Internet before the Annual Meeting—You can vote over the Internet at www.proxyvote.com by following the instructions on the proxy card;</w:t>
      </w:r>
    </w:p>
    <w:p>
      <w:pPr>
        <w:ind w:left="880" w:hanging="246"/>
        <w:spacing w:after="0"/>
        <w:tabs>
          <w:tab w:leader="none" w:pos="8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By Mail—You can vote by mail by signing, dating and mailing the printed proxy card, which you may have received by mail; or</w:t>
      </w:r>
    </w:p>
    <w:p>
      <w:pPr>
        <w:spacing w:after="0" w:line="13" w:lineRule="exact"/>
        <w:rPr>
          <w:rFonts w:ascii="Times New Roman" w:cs="Times New Roman" w:eastAsia="Times New Roman" w:hAnsi="Times New Roman"/>
          <w:sz w:val="17"/>
          <w:szCs w:val="17"/>
          <w:color w:val="auto"/>
        </w:rPr>
      </w:pPr>
    </w:p>
    <w:p>
      <w:pPr>
        <w:ind w:left="880" w:right="400" w:hanging="246"/>
        <w:spacing w:after="0" w:line="262" w:lineRule="auto"/>
        <w:tabs>
          <w:tab w:leader="none" w:pos="8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Electronically at the Annual Meeting—If you attend the meeting online, you will need the 16-digit control number included on your proxy card or on the instructions that accompanied your proxy materials to vote electronically during the Annual Meeting.</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Internet voting facilities for stockholders of record will be available 24 hours a day and will close at 11:59 p.m. Eastern Time on April 3, 2024 (other than the voting that occurs during the Annual Meeting). To participate in the Annual Meeting, including to vote via the Internet, you will need the 16-digit control number included on your proxy card or on the instructions that accompanied your proxy materials.</w:t>
      </w:r>
    </w:p>
    <w:p>
      <w:pPr>
        <w:spacing w:after="0" w:line="143"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b w:val="1"/>
          <w:bCs w:val="1"/>
          <w:color w:val="auto"/>
        </w:rPr>
        <w:t xml:space="preserve">Beneficial Owners of Shares Held in “Street Name.” </w:t>
      </w:r>
      <w:r>
        <w:rPr>
          <w:rFonts w:ascii="Arial" w:cs="Arial" w:eastAsia="Arial" w:hAnsi="Arial"/>
          <w:sz w:val="17"/>
          <w:szCs w:val="17"/>
          <w:color w:val="auto"/>
        </w:rPr>
        <w:t>If your shares are held in street name through a bank or broker, you will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153"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If you lose your 16-digit control number, you may join the Annual Meeting as a “Guest” but you will not be able to vote or ask questions. You will need to obtain your own Internet access if you choose to attend the Annual Meeting online and/or vote over the Internet.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 after I submit my proxy?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If you are a registered stockholder, you may revoke your proxy and change your vote:</w:t>
      </w:r>
    </w:p>
    <w:p>
      <w:pPr>
        <w:spacing w:after="0" w:line="181" w:lineRule="exact"/>
        <w:rPr>
          <w:sz w:val="20"/>
          <w:szCs w:val="20"/>
          <w:color w:val="auto"/>
        </w:rPr>
      </w:pPr>
    </w:p>
    <w:p>
      <w:pPr>
        <w:ind w:left="880" w:hanging="246"/>
        <w:spacing w:after="0"/>
        <w:tabs>
          <w:tab w:leader="none" w:pos="8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by submitting a duly executed proxy bearing a later date prior to the Annual Meeting;</w:t>
      </w:r>
    </w:p>
    <w:p>
      <w:pPr>
        <w:spacing w:after="0" w:line="29"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by granting a subsequent proxy through the Internet prior to the Annual Meeting;</w:t>
      </w:r>
    </w:p>
    <w:p>
      <w:pPr>
        <w:spacing w:after="0" w:line="13" w:lineRule="exact"/>
        <w:rPr>
          <w:rFonts w:ascii="Times New Roman" w:cs="Times New Roman" w:eastAsia="Times New Roman" w:hAnsi="Times New Roman"/>
          <w:sz w:val="17"/>
          <w:szCs w:val="17"/>
          <w:color w:val="auto"/>
        </w:rPr>
      </w:pPr>
    </w:p>
    <w:p>
      <w:pPr>
        <w:ind w:left="880" w:right="280" w:hanging="246"/>
        <w:spacing w:after="0"/>
        <w:tabs>
          <w:tab w:leader="none" w:pos="8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by giving written notice of revocation to the Secretary of Seres at 101 Cambridgepark Drive, Cambridge, MA 02140, as long as it is received prior to the Annual Meeting; or</w:t>
      </w:r>
    </w:p>
    <w:p>
      <w:pPr>
        <w:ind w:left="880" w:hanging="246"/>
        <w:spacing w:after="0"/>
        <w:tabs>
          <w:tab w:leader="none" w:pos="8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by voting online during the Annual Meeting.</w:t>
      </w:r>
    </w:p>
    <w:p>
      <w:pPr>
        <w:spacing w:after="0" w:line="193"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128"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Will there be a question and answer session during the Annual Meeting?</w:t>
      </w:r>
    </w:p>
    <w:p>
      <w:pPr>
        <w:spacing w:after="0" w:line="30"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2024 Annual Meeting of Stockholders?” will be permitted to submit questions during the Annual Meeting. Each stockholder is limited to no more than two questions. Questions should be succinct and only cover a single topic. We will not address questions that are, among other things:</w:t>
      </w:r>
    </w:p>
    <w:p>
      <w:pPr>
        <w:spacing w:after="0" w:line="160" w:lineRule="exact"/>
        <w:rPr>
          <w:sz w:val="20"/>
          <w:szCs w:val="20"/>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irrelevant to the business of the Company or to the business of the Annual Meeting;</w:t>
      </w:r>
    </w:p>
    <w:p>
      <w:pPr>
        <w:spacing w:after="0" w:line="29" w:lineRule="exact"/>
        <w:rPr>
          <w:rFonts w:ascii="Times New Roman" w:cs="Times New Roman" w:eastAsia="Times New Roman" w:hAnsi="Times New Roman"/>
          <w:sz w:val="17"/>
          <w:szCs w:val="17"/>
          <w:color w:val="auto"/>
        </w:rPr>
      </w:pPr>
    </w:p>
    <w:p>
      <w:pPr>
        <w:ind w:left="880" w:right="10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related to material non-public information of the Company, including the status or results of our business since our last Annual Report on Form 10-K;</w:t>
      </w: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related to any pending, threatened or ongoing litigation;</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related to personal grievances;</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derogatory references to individuals or that are otherwise in bad taste;</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substantially repetitious of questions already made by another stockholder;</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excess of the two question limit;</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furtherance of the stockholder’s personal or business interests; or</w:t>
      </w:r>
    </w:p>
    <w:p>
      <w:pPr>
        <w:spacing w:after="0" w:line="13" w:lineRule="exact"/>
        <w:rPr>
          <w:rFonts w:ascii="Times New Roman" w:cs="Times New Roman" w:eastAsia="Times New Roman" w:hAnsi="Times New Roman"/>
          <w:sz w:val="17"/>
          <w:szCs w:val="17"/>
          <w:color w:val="auto"/>
        </w:rPr>
      </w:pPr>
    </w:p>
    <w:p>
      <w:pPr>
        <w:ind w:left="880" w:right="860" w:hanging="246"/>
        <w:spacing w:after="0" w:line="262" w:lineRule="auto"/>
        <w:tabs>
          <w:tab w:leader="none" w:pos="8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out of order or not otherwise suitable for the conduct of the Annual Meeting as determined by the Chair or Secretary in their reasonable judgment.</w:t>
      </w:r>
    </w:p>
    <w:p>
      <w:pPr>
        <w:spacing w:after="0" w:line="14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2024 Annual Meeting of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will count the votes?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 representative of Broadridge Financial Solutions, Inc., our inspector of election, will tabulate and certify the votes.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if I do not specify how my shares are to be voted?</w:t>
      </w:r>
    </w:p>
    <w:p>
      <w:pPr>
        <w:spacing w:after="0" w:line="1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If you submit a proxy but do not indicate any voting instructions, the persons named as proxies will vote in accordance with the recommendations of our Board of Directors. Our Board of Directors’ recommendations are indicated on page 1 of this proxy statement, as well as with the description of each proposal in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 any other business be conducted at the Annual Meeting?</w:t>
      </w:r>
    </w:p>
    <w:p>
      <w:pPr>
        <w:spacing w:after="0" w:line="1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52" w:lineRule="exact"/>
        <w:rPr>
          <w:sz w:val="20"/>
          <w:szCs w:val="20"/>
          <w:color w:val="auto"/>
        </w:rPr>
      </w:pPr>
    </w:p>
    <w:p>
      <w:pPr>
        <w:ind w:right="380"/>
        <w:spacing w:after="0" w:line="292" w:lineRule="auto"/>
        <w:rPr>
          <w:sz w:val="20"/>
          <w:szCs w:val="20"/>
          <w:color w:val="auto"/>
        </w:rPr>
      </w:pPr>
      <w:r>
        <w:rPr>
          <w:rFonts w:ascii="Arial" w:cs="Arial" w:eastAsia="Arial" w:hAnsi="Arial"/>
          <w:sz w:val="17"/>
          <w:szCs w:val="17"/>
          <w:b w:val="1"/>
          <w:bCs w:val="1"/>
          <w:i w:val="1"/>
          <w:i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shd w:val="clear" w:color="auto" w:fill="E5E5E5"/>
          </w:tcPr>
          <w:p>
            <w:pPr>
              <w:spacing w:after="0"/>
              <w:rPr>
                <w:sz w:val="14"/>
                <w:szCs w:val="14"/>
                <w:color w:val="auto"/>
              </w:rPr>
            </w:pPr>
          </w:p>
        </w:tc>
        <w:tc>
          <w:tcPr>
            <w:tcW w:w="2440" w:type="dxa"/>
            <w:vAlign w:val="bottom"/>
            <w:shd w:val="clear" w:color="auto" w:fill="E5E5E5"/>
          </w:tcPr>
          <w:p>
            <w:pPr>
              <w:spacing w:after="0"/>
              <w:rPr>
                <w:sz w:val="14"/>
                <w:szCs w:val="14"/>
                <w:color w:val="auto"/>
              </w:rPr>
            </w:pPr>
          </w:p>
        </w:tc>
        <w:tc>
          <w:tcPr>
            <w:tcW w:w="5040" w:type="dxa"/>
            <w:vAlign w:val="bottom"/>
            <w:shd w:val="clear" w:color="auto" w:fill="E5E5E5"/>
          </w:tcPr>
          <w:p>
            <w:pPr>
              <w:ind w:left="1420"/>
              <w:spacing w:after="0"/>
              <w:rPr>
                <w:sz w:val="20"/>
                <w:szCs w:val="20"/>
                <w:color w:val="auto"/>
              </w:rPr>
            </w:pPr>
            <w:r>
              <w:rPr>
                <w:rFonts w:ascii="Arial" w:cs="Arial" w:eastAsia="Arial" w:hAnsi="Arial"/>
                <w:sz w:val="13"/>
                <w:szCs w:val="13"/>
                <w:b w:val="1"/>
                <w:bCs w:val="1"/>
                <w:color w:val="auto"/>
              </w:rPr>
              <w:t>Effect of Votes Withheld / Abstentions and</w:t>
            </w:r>
          </w:p>
        </w:tc>
      </w:tr>
      <w:tr>
        <w:trPr>
          <w:trHeight w:val="183"/>
        </w:trPr>
        <w:tc>
          <w:tcPr>
            <w:tcW w:w="37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Proposal</w:t>
            </w:r>
          </w:p>
        </w:tc>
        <w:tc>
          <w:tcPr>
            <w:tcW w:w="2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Votes required</w:t>
            </w:r>
          </w:p>
        </w:tc>
        <w:tc>
          <w:tcPr>
            <w:tcW w:w="5040" w:type="dxa"/>
            <w:vAlign w:val="bottom"/>
            <w:tcBorders>
              <w:bottom w:val="single" w:sz="8" w:color="auto"/>
            </w:tcBorders>
            <w:shd w:val="clear" w:color="auto" w:fill="E5E5E5"/>
          </w:tcPr>
          <w:p>
            <w:pPr>
              <w:ind w:left="1420"/>
              <w:spacing w:after="0"/>
              <w:rPr>
                <w:sz w:val="20"/>
                <w:szCs w:val="20"/>
                <w:color w:val="auto"/>
              </w:rPr>
            </w:pPr>
            <w:r>
              <w:rPr>
                <w:rFonts w:ascii="Arial" w:cs="Arial" w:eastAsia="Arial" w:hAnsi="Arial"/>
                <w:sz w:val="13"/>
                <w:szCs w:val="13"/>
                <w:b w:val="1"/>
                <w:bCs w:val="1"/>
                <w:color w:val="auto"/>
              </w:rPr>
              <w:t>Broker Non-Votes</w:t>
            </w:r>
          </w:p>
        </w:tc>
      </w:tr>
    </w:tbl>
    <w:p>
      <w:pPr>
        <w:spacing w:after="0" w:line="1" w:lineRule="exact"/>
        <w:rPr>
          <w:sz w:val="20"/>
          <w:szCs w:val="20"/>
          <w:color w:val="auto"/>
        </w:rPr>
      </w:pPr>
    </w:p>
    <w:p>
      <w:pPr>
        <w:sectPr>
          <w:pgSz w:w="11900" w:h="16838" w:orient="portrait"/>
          <w:cols w:equalWidth="0" w:num="1">
            <w:col w:w="11240"/>
          </w:cols>
          <w:pgMar w:left="320" w:top="986" w:right="339" w:bottom="1440" w:gutter="0" w:footer="0" w:header="0"/>
        </w:sectPr>
      </w:pPr>
    </w:p>
    <w:tbl>
      <w:tblPr>
        <w:tblLayout w:type="fixed"/>
        <w:tblInd w:w="120" w:type="dxa"/>
        <w:tblCellMar>
          <w:top w:w="0" w:type="dxa"/>
          <w:left w:w="0" w:type="dxa"/>
          <w:bottom w:w="0" w:type="dxa"/>
          <w:right w:w="0" w:type="dxa"/>
        </w:tblCellMar>
      </w:tblPr>
      <w:tr>
        <w:trPr>
          <w:trHeight w:val="144"/>
        </w:trPr>
        <w:tc>
          <w:tcPr>
            <w:tcW w:w="2820" w:type="dxa"/>
            <w:vAlign w:val="bottom"/>
            <w:gridSpan w:val="2"/>
          </w:tcPr>
          <w:p>
            <w:pPr>
              <w:spacing w:after="0" w:line="144" w:lineRule="exact"/>
              <w:rPr>
                <w:sz w:val="20"/>
                <w:szCs w:val="20"/>
                <w:color w:val="auto"/>
              </w:rPr>
            </w:pPr>
            <w:r>
              <w:rPr>
                <w:rFonts w:ascii="Arial" w:cs="Arial" w:eastAsia="Arial" w:hAnsi="Arial"/>
                <w:sz w:val="13"/>
                <w:szCs w:val="13"/>
                <w:color w:val="auto"/>
              </w:rPr>
              <w:t>Proposal 1: Election of Directors</w:t>
            </w:r>
          </w:p>
        </w:tc>
        <w:tc>
          <w:tcPr>
            <w:tcW w:w="4420" w:type="dxa"/>
            <w:vAlign w:val="bottom"/>
          </w:tcPr>
          <w:p>
            <w:pPr>
              <w:ind w:left="960"/>
              <w:spacing w:after="0" w:line="144" w:lineRule="exact"/>
              <w:rPr>
                <w:sz w:val="20"/>
                <w:szCs w:val="20"/>
                <w:color w:val="auto"/>
              </w:rPr>
            </w:pPr>
            <w:r>
              <w:rPr>
                <w:rFonts w:ascii="Arial" w:cs="Arial" w:eastAsia="Arial" w:hAnsi="Arial"/>
                <w:sz w:val="13"/>
                <w:szCs w:val="13"/>
                <w:color w:val="auto"/>
              </w:rPr>
              <w:t>The plurality of the votes cast. This means that the two</w:t>
            </w:r>
          </w:p>
        </w:tc>
      </w:tr>
      <w:tr>
        <w:trPr>
          <w:trHeight w:val="124"/>
        </w:trPr>
        <w:tc>
          <w:tcPr>
            <w:tcW w:w="640" w:type="dxa"/>
            <w:vAlign w:val="bottom"/>
            <w:tcBorders>
              <w:top w:val="single" w:sz="8" w:color="auto"/>
            </w:tcBorders>
          </w:tcPr>
          <w:p>
            <w:pPr>
              <w:spacing w:after="0"/>
              <w:rPr>
                <w:sz w:val="10"/>
                <w:szCs w:val="10"/>
                <w:color w:val="auto"/>
              </w:rPr>
            </w:pPr>
          </w:p>
        </w:tc>
        <w:tc>
          <w:tcPr>
            <w:tcW w:w="2180" w:type="dxa"/>
            <w:vAlign w:val="bottom"/>
          </w:tcPr>
          <w:p>
            <w:pPr>
              <w:spacing w:after="0"/>
              <w:rPr>
                <w:sz w:val="10"/>
                <w:szCs w:val="10"/>
                <w:color w:val="auto"/>
              </w:rPr>
            </w:pPr>
          </w:p>
        </w:tc>
        <w:tc>
          <w:tcPr>
            <w:tcW w:w="4420" w:type="dxa"/>
            <w:vAlign w:val="bottom"/>
          </w:tcPr>
          <w:p>
            <w:pPr>
              <w:ind w:left="960"/>
              <w:spacing w:after="0" w:line="124" w:lineRule="exact"/>
              <w:rPr>
                <w:sz w:val="20"/>
                <w:szCs w:val="20"/>
                <w:color w:val="auto"/>
              </w:rPr>
            </w:pPr>
            <w:r>
              <w:rPr>
                <w:rFonts w:ascii="Arial" w:cs="Arial" w:eastAsia="Arial" w:hAnsi="Arial"/>
                <w:sz w:val="13"/>
                <w:szCs w:val="13"/>
                <w:color w:val="auto"/>
                <w:w w:val="99"/>
              </w:rPr>
              <w:t>nominees receiving the highest number of affirmative “FOR”</w:t>
            </w:r>
          </w:p>
        </w:tc>
      </w:tr>
      <w:tr>
        <w:trPr>
          <w:trHeight w:val="168"/>
        </w:trPr>
        <w:tc>
          <w:tcPr>
            <w:tcW w:w="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420" w:type="dxa"/>
            <w:vAlign w:val="bottom"/>
          </w:tcPr>
          <w:p>
            <w:pPr>
              <w:ind w:left="960"/>
              <w:spacing w:after="0"/>
              <w:rPr>
                <w:sz w:val="20"/>
                <w:szCs w:val="20"/>
                <w:color w:val="auto"/>
              </w:rPr>
            </w:pPr>
            <w:r>
              <w:rPr>
                <w:rFonts w:ascii="Arial" w:cs="Arial" w:eastAsia="Arial" w:hAnsi="Arial"/>
                <w:sz w:val="13"/>
                <w:szCs w:val="13"/>
                <w:color w:val="auto"/>
              </w:rPr>
              <w:t>votes will be elected as Class III Directors.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Votes withheld and broker non-votes will have no effect.</w:t>
      </w:r>
    </w:p>
    <w:p>
      <w:pPr>
        <w:spacing w:after="0" w:line="306" w:lineRule="exact"/>
        <w:rPr>
          <w:sz w:val="20"/>
          <w:szCs w:val="20"/>
          <w:color w:val="auto"/>
        </w:rPr>
      </w:pPr>
    </w:p>
    <w:p>
      <w:pPr>
        <w:sectPr>
          <w:pgSz w:w="11900" w:h="16838" w:orient="portrait"/>
          <w:cols w:equalWidth="0" w:num="2">
            <w:col w:w="7360" w:space="280"/>
            <w:col w:w="3600"/>
          </w:cols>
          <w:pgMar w:left="320" w:top="986" w:right="3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120" w:type="dxa"/>
            <w:vAlign w:val="bottom"/>
            <w:shd w:val="clear" w:color="auto" w:fill="E5E5E5"/>
          </w:tcPr>
          <w:p>
            <w:pPr>
              <w:spacing w:after="0"/>
              <w:rPr>
                <w:sz w:val="12"/>
                <w:szCs w:val="12"/>
                <w:color w:val="auto"/>
              </w:rPr>
            </w:pPr>
          </w:p>
        </w:tc>
        <w:tc>
          <w:tcPr>
            <w:tcW w:w="3480" w:type="dxa"/>
            <w:vAlign w:val="bottom"/>
            <w:gridSpan w:val="2"/>
            <w:shd w:val="clear" w:color="auto" w:fill="E5E5E5"/>
          </w:tcPr>
          <w:p>
            <w:pPr>
              <w:spacing w:after="0" w:line="146" w:lineRule="exact"/>
              <w:rPr>
                <w:sz w:val="20"/>
                <w:szCs w:val="20"/>
                <w:color w:val="auto"/>
              </w:rPr>
            </w:pPr>
            <w:r>
              <w:rPr>
                <w:rFonts w:ascii="Arial" w:cs="Arial" w:eastAsia="Arial" w:hAnsi="Arial"/>
                <w:sz w:val="13"/>
                <w:szCs w:val="13"/>
                <w:color w:val="auto"/>
              </w:rPr>
              <w:t>Proposal 2: Ratification of Appointment of Independent</w:t>
            </w:r>
          </w:p>
        </w:tc>
        <w:tc>
          <w:tcPr>
            <w:tcW w:w="3800" w:type="dxa"/>
            <w:vAlign w:val="bottom"/>
            <w:shd w:val="clear" w:color="auto" w:fill="E5E5E5"/>
          </w:tcPr>
          <w:p>
            <w:pPr>
              <w:ind w:left="300"/>
              <w:spacing w:after="0" w:line="146" w:lineRule="exact"/>
              <w:rPr>
                <w:sz w:val="20"/>
                <w:szCs w:val="20"/>
                <w:color w:val="auto"/>
              </w:rPr>
            </w:pPr>
            <w:r>
              <w:rPr>
                <w:rFonts w:ascii="Arial" w:cs="Arial" w:eastAsia="Arial" w:hAnsi="Arial"/>
                <w:sz w:val="13"/>
                <w:szCs w:val="13"/>
                <w:color w:val="auto"/>
              </w:rPr>
              <w:t>The affirmative vote of the holders of a majority in voting</w:t>
            </w:r>
          </w:p>
        </w:tc>
        <w:tc>
          <w:tcPr>
            <w:tcW w:w="3840" w:type="dxa"/>
            <w:vAlign w:val="bottom"/>
            <w:shd w:val="clear" w:color="auto" w:fill="E5E5E5"/>
          </w:tcPr>
          <w:p>
            <w:pPr>
              <w:ind w:left="240"/>
              <w:spacing w:after="0" w:line="146" w:lineRule="exact"/>
              <w:rPr>
                <w:sz w:val="20"/>
                <w:szCs w:val="20"/>
                <w:color w:val="auto"/>
              </w:rPr>
            </w:pPr>
            <w:r>
              <w:rPr>
                <w:rFonts w:ascii="Arial" w:cs="Arial" w:eastAsia="Arial" w:hAnsi="Arial"/>
                <w:sz w:val="13"/>
                <w:szCs w:val="13"/>
                <w:color w:val="auto"/>
              </w:rPr>
              <w:t>Abstentions will have no effect. We do not expect any broker</w:t>
            </w:r>
          </w:p>
        </w:tc>
      </w:tr>
      <w:tr>
        <w:trPr>
          <w:trHeight w:val="150"/>
        </w:trPr>
        <w:tc>
          <w:tcPr>
            <w:tcW w:w="120" w:type="dxa"/>
            <w:vAlign w:val="bottom"/>
            <w:tcBorders>
              <w:top w:val="single" w:sz="8" w:color="E5E5E5"/>
            </w:tcBorders>
            <w:shd w:val="clear" w:color="auto" w:fill="E5E5E5"/>
          </w:tcPr>
          <w:p>
            <w:pPr>
              <w:spacing w:after="0"/>
              <w:rPr>
                <w:sz w:val="13"/>
                <w:szCs w:val="13"/>
                <w:color w:val="auto"/>
              </w:rPr>
            </w:pPr>
          </w:p>
        </w:tc>
        <w:tc>
          <w:tcPr>
            <w:tcW w:w="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3"/>
                <w:szCs w:val="13"/>
                <w:color w:val="auto"/>
                <w:w w:val="98"/>
              </w:rPr>
              <w:t>Registered</w:t>
            </w:r>
          </w:p>
        </w:tc>
        <w:tc>
          <w:tcPr>
            <w:tcW w:w="2840" w:type="dxa"/>
            <w:vAlign w:val="bottom"/>
            <w:tcBorders>
              <w:top w:val="single" w:sz="8" w:color="E5E5E5"/>
            </w:tcBorders>
            <w:shd w:val="clear" w:color="auto" w:fill="E5E5E5"/>
          </w:tcPr>
          <w:p>
            <w:pPr>
              <w:ind w:left="40"/>
              <w:spacing w:after="0"/>
              <w:rPr>
                <w:sz w:val="20"/>
                <w:szCs w:val="20"/>
                <w:color w:val="auto"/>
              </w:rPr>
            </w:pPr>
            <w:r>
              <w:rPr>
                <w:rFonts w:ascii="Arial" w:cs="Arial" w:eastAsia="Arial" w:hAnsi="Arial"/>
                <w:sz w:val="13"/>
                <w:szCs w:val="13"/>
                <w:color w:val="auto"/>
              </w:rPr>
              <w:t>Public Accounting Firm</w:t>
            </w:r>
          </w:p>
        </w:tc>
        <w:tc>
          <w:tcPr>
            <w:tcW w:w="3800" w:type="dxa"/>
            <w:vAlign w:val="bottom"/>
            <w:tcBorders>
              <w:top w:val="single" w:sz="8" w:color="E5E5E5"/>
            </w:tcBorders>
            <w:shd w:val="clear" w:color="auto" w:fill="E5E5E5"/>
          </w:tcPr>
          <w:p>
            <w:pPr>
              <w:ind w:left="300"/>
              <w:spacing w:after="0"/>
              <w:rPr>
                <w:sz w:val="20"/>
                <w:szCs w:val="20"/>
                <w:color w:val="auto"/>
              </w:rPr>
            </w:pPr>
            <w:r>
              <w:rPr>
                <w:rFonts w:ascii="Arial" w:cs="Arial" w:eastAsia="Arial" w:hAnsi="Arial"/>
                <w:sz w:val="13"/>
                <w:szCs w:val="13"/>
                <w:color w:val="auto"/>
              </w:rPr>
              <w:t>power of the votes cast affirmatively or negatively.</w:t>
            </w:r>
          </w:p>
        </w:tc>
        <w:tc>
          <w:tcPr>
            <w:tcW w:w="3840" w:type="dxa"/>
            <w:vAlign w:val="bottom"/>
            <w:tcBorders>
              <w:top w:val="single" w:sz="8" w:color="E5E5E5"/>
            </w:tcBorders>
            <w:shd w:val="clear" w:color="auto" w:fill="E5E5E5"/>
          </w:tcPr>
          <w:p>
            <w:pPr>
              <w:ind w:left="240"/>
              <w:spacing w:after="0"/>
              <w:rPr>
                <w:sz w:val="20"/>
                <w:szCs w:val="20"/>
                <w:color w:val="auto"/>
              </w:rPr>
            </w:pPr>
            <w:r>
              <w:rPr>
                <w:rFonts w:ascii="Arial" w:cs="Arial" w:eastAsia="Arial" w:hAnsi="Arial"/>
                <w:sz w:val="13"/>
                <w:szCs w:val="13"/>
                <w:color w:val="auto"/>
              </w:rPr>
              <w:t>non-votes on this proposal.</w:t>
            </w:r>
          </w:p>
        </w:tc>
      </w:tr>
    </w:tbl>
    <w:p>
      <w:pPr>
        <w:spacing w:after="0" w:line="1" w:lineRule="exact"/>
        <w:rPr>
          <w:sz w:val="20"/>
          <w:szCs w:val="20"/>
          <w:color w:val="auto"/>
        </w:rPr>
      </w:pPr>
    </w:p>
    <w:p>
      <w:pPr>
        <w:sectPr>
          <w:pgSz w:w="11900" w:h="16838" w:orient="portrait"/>
          <w:cols w:equalWidth="0" w:num="1">
            <w:col w:w="11240"/>
          </w:cols>
          <w:pgMar w:left="320" w:top="986" w:right="339" w:bottom="1440" w:gutter="0" w:footer="0" w:header="0"/>
          <w:type w:val="continuous"/>
        </w:sectPr>
      </w:pPr>
    </w:p>
    <w:p>
      <w:pPr>
        <w:ind w:left="120"/>
        <w:spacing w:after="0" w:line="260" w:lineRule="auto"/>
        <w:rPr>
          <w:sz w:val="20"/>
          <w:szCs w:val="20"/>
          <w:color w:val="auto"/>
        </w:rPr>
      </w:pPr>
      <w:r>
        <w:rPr>
          <w:rFonts w:ascii="Arial" w:cs="Arial" w:eastAsia="Arial" w:hAnsi="Arial"/>
          <w:sz w:val="13"/>
          <w:szCs w:val="13"/>
          <w:u w:val="single" w:color="auto"/>
          <w:color w:val="auto"/>
        </w:rPr>
        <w:t>Proposal 3</w:t>
      </w:r>
      <w:r>
        <w:rPr>
          <w:rFonts w:ascii="Arial" w:cs="Arial" w:eastAsia="Arial" w:hAnsi="Arial"/>
          <w:sz w:val="13"/>
          <w:szCs w:val="13"/>
          <w:color w:val="auto"/>
        </w:rPr>
        <w:t>: Approval, on an Advisory (Non- Binding) Basis, of the Compensation of Our Named Executive Officers</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3"/>
          <w:szCs w:val="13"/>
          <w:color w:val="auto"/>
        </w:rPr>
        <w:t>The affirmative vote of the holders of a majority in voting power of the votes cast affirmatively or negatively.</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Arial" w:cs="Arial" w:eastAsia="Arial" w:hAnsi="Arial"/>
          <w:sz w:val="13"/>
          <w:szCs w:val="13"/>
          <w:color w:val="auto"/>
        </w:rPr>
        <w:t>Abstentions and broker non-votes will have no effect.</w:t>
      </w:r>
    </w:p>
    <w:p>
      <w:pPr>
        <w:spacing w:after="0" w:line="175" w:lineRule="exact"/>
        <w:rPr>
          <w:sz w:val="20"/>
          <w:szCs w:val="20"/>
          <w:color w:val="auto"/>
        </w:rPr>
      </w:pPr>
    </w:p>
    <w:p>
      <w:pPr>
        <w:sectPr>
          <w:pgSz w:w="11900" w:h="16838" w:orient="portrait"/>
          <w:cols w:equalWidth="0" w:num="3">
            <w:col w:w="3700" w:space="200"/>
            <w:col w:w="3240" w:space="500"/>
            <w:col w:w="3600"/>
          </w:cols>
          <w:pgMar w:left="320" w:top="986" w:right="33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120" w:type="dxa"/>
            <w:vAlign w:val="bottom"/>
            <w:shd w:val="clear" w:color="auto" w:fill="E5E5E5"/>
          </w:tcPr>
          <w:p>
            <w:pPr>
              <w:spacing w:after="0"/>
              <w:rPr>
                <w:sz w:val="11"/>
                <w:szCs w:val="11"/>
                <w:color w:val="auto"/>
              </w:rPr>
            </w:pPr>
          </w:p>
        </w:tc>
        <w:tc>
          <w:tcPr>
            <w:tcW w:w="3500" w:type="dxa"/>
            <w:vAlign w:val="bottom"/>
            <w:gridSpan w:val="2"/>
            <w:shd w:val="clear" w:color="auto" w:fill="E5E5E5"/>
          </w:tcPr>
          <w:p>
            <w:pPr>
              <w:spacing w:after="0" w:line="134" w:lineRule="exact"/>
              <w:rPr>
                <w:sz w:val="20"/>
                <w:szCs w:val="20"/>
                <w:color w:val="auto"/>
              </w:rPr>
            </w:pPr>
            <w:r>
              <w:rPr>
                <w:rFonts w:ascii="Arial" w:cs="Arial" w:eastAsia="Arial" w:hAnsi="Arial"/>
                <w:sz w:val="13"/>
                <w:szCs w:val="13"/>
                <w:color w:val="auto"/>
              </w:rPr>
              <w:t>Proposal 4: Approval of an amendment to our Restated</w:t>
            </w:r>
          </w:p>
        </w:tc>
        <w:tc>
          <w:tcPr>
            <w:tcW w:w="3940" w:type="dxa"/>
            <w:vAlign w:val="bottom"/>
            <w:shd w:val="clear" w:color="auto" w:fill="E5E5E5"/>
          </w:tcPr>
          <w:p>
            <w:pPr>
              <w:ind w:left="280"/>
              <w:spacing w:after="0" w:line="134" w:lineRule="exact"/>
              <w:rPr>
                <w:sz w:val="20"/>
                <w:szCs w:val="20"/>
                <w:color w:val="auto"/>
              </w:rPr>
            </w:pPr>
            <w:r>
              <w:rPr>
                <w:rFonts w:ascii="Arial" w:cs="Arial" w:eastAsia="Arial" w:hAnsi="Arial"/>
                <w:sz w:val="13"/>
                <w:szCs w:val="13"/>
                <w:color w:val="auto"/>
              </w:rPr>
              <w:t>The affirmative vote of the holders of a majority of the stock of</w:t>
            </w:r>
          </w:p>
        </w:tc>
        <w:tc>
          <w:tcPr>
            <w:tcW w:w="3680" w:type="dxa"/>
            <w:vAlign w:val="bottom"/>
            <w:shd w:val="clear" w:color="auto" w:fill="E5E5E5"/>
          </w:tcPr>
          <w:p>
            <w:pPr>
              <w:ind w:left="80"/>
              <w:spacing w:after="0" w:line="134" w:lineRule="exact"/>
              <w:rPr>
                <w:sz w:val="20"/>
                <w:szCs w:val="20"/>
                <w:color w:val="auto"/>
              </w:rPr>
            </w:pPr>
            <w:r>
              <w:rPr>
                <w:rFonts w:ascii="Arial" w:cs="Arial" w:eastAsia="Arial" w:hAnsi="Arial"/>
                <w:sz w:val="13"/>
                <w:szCs w:val="13"/>
                <w:color w:val="auto"/>
              </w:rPr>
              <w:t>Abstentions will have the same effect as votes against. We do</w:t>
            </w:r>
          </w:p>
        </w:tc>
      </w:tr>
      <w:tr>
        <w:trPr>
          <w:trHeight w:val="124"/>
        </w:trPr>
        <w:tc>
          <w:tcPr>
            <w:tcW w:w="120" w:type="dxa"/>
            <w:vAlign w:val="bottom"/>
            <w:tcBorders>
              <w:top w:val="single" w:sz="8" w:color="E5E5E5"/>
            </w:tcBorders>
            <w:shd w:val="clear" w:color="auto" w:fill="E5E5E5"/>
          </w:tcPr>
          <w:p>
            <w:pPr>
              <w:spacing w:after="0"/>
              <w:rPr>
                <w:sz w:val="10"/>
                <w:szCs w:val="10"/>
                <w:color w:val="auto"/>
              </w:rPr>
            </w:pPr>
          </w:p>
        </w:tc>
        <w:tc>
          <w:tcPr>
            <w:tcW w:w="640" w:type="dxa"/>
            <w:vAlign w:val="bottom"/>
            <w:tcBorders>
              <w:top w:val="single" w:sz="8" w:color="auto"/>
            </w:tcBorders>
            <w:shd w:val="clear" w:color="auto" w:fill="E5E5E5"/>
          </w:tcPr>
          <w:p>
            <w:pPr>
              <w:spacing w:after="0" w:line="124" w:lineRule="exact"/>
              <w:rPr>
                <w:sz w:val="20"/>
                <w:szCs w:val="20"/>
                <w:color w:val="auto"/>
              </w:rPr>
            </w:pPr>
            <w:r>
              <w:rPr>
                <w:rFonts w:ascii="Arial" w:cs="Arial" w:eastAsia="Arial" w:hAnsi="Arial"/>
                <w:sz w:val="13"/>
                <w:szCs w:val="13"/>
                <w:color w:val="auto"/>
              </w:rPr>
              <w:t>Certificate</w:t>
            </w:r>
          </w:p>
        </w:tc>
        <w:tc>
          <w:tcPr>
            <w:tcW w:w="2860" w:type="dxa"/>
            <w:vAlign w:val="bottom"/>
            <w:tcBorders>
              <w:top w:val="single" w:sz="8" w:color="E5E5E5"/>
            </w:tcBorders>
            <w:shd w:val="clear" w:color="auto" w:fill="E5E5E5"/>
          </w:tcPr>
          <w:p>
            <w:pPr>
              <w:spacing w:after="0" w:line="124" w:lineRule="exact"/>
              <w:rPr>
                <w:sz w:val="20"/>
                <w:szCs w:val="20"/>
                <w:color w:val="auto"/>
              </w:rPr>
            </w:pPr>
            <w:r>
              <w:rPr>
                <w:rFonts w:ascii="Arial" w:cs="Arial" w:eastAsia="Arial" w:hAnsi="Arial"/>
                <w:sz w:val="13"/>
                <w:szCs w:val="13"/>
                <w:color w:val="auto"/>
              </w:rPr>
              <w:t>of Incorporation to increase the number of</w:t>
            </w:r>
          </w:p>
        </w:tc>
        <w:tc>
          <w:tcPr>
            <w:tcW w:w="3940" w:type="dxa"/>
            <w:vAlign w:val="bottom"/>
            <w:tcBorders>
              <w:top w:val="single" w:sz="8" w:color="E5E5E5"/>
            </w:tcBorders>
            <w:shd w:val="clear" w:color="auto" w:fill="E5E5E5"/>
          </w:tcPr>
          <w:p>
            <w:pPr>
              <w:ind w:left="280"/>
              <w:spacing w:after="0" w:line="124" w:lineRule="exact"/>
              <w:rPr>
                <w:sz w:val="20"/>
                <w:szCs w:val="20"/>
                <w:color w:val="auto"/>
              </w:rPr>
            </w:pPr>
            <w:r>
              <w:rPr>
                <w:rFonts w:ascii="Arial" w:cs="Arial" w:eastAsia="Arial" w:hAnsi="Arial"/>
                <w:sz w:val="13"/>
                <w:szCs w:val="13"/>
                <w:color w:val="auto"/>
              </w:rPr>
              <w:t>the Company entitled to vote at the Annual Meeting.</w:t>
            </w:r>
          </w:p>
        </w:tc>
        <w:tc>
          <w:tcPr>
            <w:tcW w:w="3680" w:type="dxa"/>
            <w:vAlign w:val="bottom"/>
            <w:tcBorders>
              <w:top w:val="single" w:sz="8" w:color="E5E5E5"/>
            </w:tcBorders>
            <w:shd w:val="clear" w:color="auto" w:fill="E5E5E5"/>
          </w:tcPr>
          <w:p>
            <w:pPr>
              <w:ind w:left="80"/>
              <w:spacing w:after="0" w:line="124" w:lineRule="exact"/>
              <w:rPr>
                <w:sz w:val="20"/>
                <w:szCs w:val="20"/>
                <w:color w:val="auto"/>
              </w:rPr>
            </w:pPr>
            <w:r>
              <w:rPr>
                <w:rFonts w:ascii="Arial" w:cs="Arial" w:eastAsia="Arial" w:hAnsi="Arial"/>
                <w:sz w:val="13"/>
                <w:szCs w:val="13"/>
                <w:color w:val="auto"/>
              </w:rPr>
              <w:t>not expect any broker non-votes on this proposal.</w:t>
            </w:r>
          </w:p>
        </w:tc>
      </w:tr>
      <w:tr>
        <w:trPr>
          <w:trHeight w:val="170"/>
        </w:trPr>
        <w:tc>
          <w:tcPr>
            <w:tcW w:w="120" w:type="dxa"/>
            <w:vAlign w:val="bottom"/>
            <w:shd w:val="clear" w:color="auto" w:fill="E5E5E5"/>
          </w:tcPr>
          <w:p>
            <w:pPr>
              <w:spacing w:after="0"/>
              <w:rPr>
                <w:sz w:val="14"/>
                <w:szCs w:val="14"/>
                <w:color w:val="auto"/>
              </w:rPr>
            </w:pPr>
          </w:p>
        </w:tc>
        <w:tc>
          <w:tcPr>
            <w:tcW w:w="350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authorized shares of Common Stock</w:t>
            </w:r>
          </w:p>
        </w:tc>
        <w:tc>
          <w:tcPr>
            <w:tcW w:w="3940" w:type="dxa"/>
            <w:vAlign w:val="bottom"/>
            <w:shd w:val="clear" w:color="auto" w:fill="E5E5E5"/>
          </w:tcPr>
          <w:p>
            <w:pPr>
              <w:spacing w:after="0"/>
              <w:rPr>
                <w:sz w:val="14"/>
                <w:szCs w:val="14"/>
                <w:color w:val="auto"/>
              </w:rPr>
            </w:pPr>
          </w:p>
        </w:tc>
        <w:tc>
          <w:tcPr>
            <w:tcW w:w="3680" w:type="dxa"/>
            <w:vAlign w:val="bottom"/>
            <w:shd w:val="clear" w:color="auto" w:fill="E5E5E5"/>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986" w:right="339" w:bottom="1440" w:gutter="0" w:footer="0" w:header="0"/>
          <w:type w:val="continuous"/>
        </w:sectPr>
      </w:pPr>
    </w:p>
    <w:p>
      <w:pPr>
        <w:ind w:left="120"/>
        <w:spacing w:after="0" w:line="242" w:lineRule="auto"/>
        <w:rPr>
          <w:sz w:val="20"/>
          <w:szCs w:val="20"/>
          <w:color w:val="auto"/>
        </w:rPr>
      </w:pPr>
      <w:r>
        <w:rPr>
          <w:rFonts w:ascii="Arial" w:cs="Arial" w:eastAsia="Arial" w:hAnsi="Arial"/>
          <w:sz w:val="13"/>
          <w:szCs w:val="13"/>
          <w:u w:val="single" w:color="auto"/>
          <w:color w:val="auto"/>
        </w:rPr>
        <w:t>Proposal 5</w:t>
      </w:r>
      <w:r>
        <w:rPr>
          <w:rFonts w:ascii="Arial" w:cs="Arial" w:eastAsia="Arial" w:hAnsi="Arial"/>
          <w:sz w:val="13"/>
          <w:szCs w:val="13"/>
          <w:color w:val="auto"/>
        </w:rPr>
        <w:t>: Approval of an adjournment of the Annual Meeting, if necessary, to solicit additional proxies if there are not sufficient votes at the time of the Annual Meeting to approve Proposal 4</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3"/>
          <w:szCs w:val="13"/>
          <w:color w:val="auto"/>
        </w:rPr>
        <w:t>The affirmative vote of the holders of a majority of voting power of the votes cast affirmatively or negatively.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170815</wp:posOffset>
            </wp:positionV>
            <wp:extent cx="7136765" cy="207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207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67" w:lineRule="auto"/>
        <w:rPr>
          <w:sz w:val="20"/>
          <w:szCs w:val="20"/>
          <w:color w:val="auto"/>
        </w:rPr>
      </w:pPr>
      <w:r>
        <w:rPr>
          <w:rFonts w:ascii="Arial" w:cs="Arial" w:eastAsia="Arial" w:hAnsi="Arial"/>
          <w:sz w:val="13"/>
          <w:szCs w:val="13"/>
          <w:color w:val="auto"/>
        </w:rPr>
        <w:t>Abstentions will have no effect. We do not expect any broker non-votes on this proposal.</w:t>
      </w:r>
    </w:p>
    <w:p>
      <w:pPr>
        <w:spacing w:after="0" w:line="271" w:lineRule="exact"/>
        <w:rPr>
          <w:sz w:val="20"/>
          <w:szCs w:val="20"/>
          <w:color w:val="auto"/>
        </w:rPr>
      </w:pPr>
    </w:p>
    <w:p>
      <w:pPr>
        <w:sectPr>
          <w:pgSz w:w="11900" w:h="16838" w:orient="portrait"/>
          <w:cols w:equalWidth="0" w:num="3">
            <w:col w:w="3620" w:space="280"/>
            <w:col w:w="3260" w:space="480"/>
            <w:col w:w="3600"/>
          </w:cols>
          <w:pgMar w:left="320" w:top="986" w:right="339" w:bottom="1440" w:gutter="0" w:footer="0" w:header="0"/>
          <w:type w:val="continuous"/>
        </w:sectPr>
      </w:pPr>
    </w:p>
    <w:p>
      <w:pPr>
        <w:ind w:left="120"/>
        <w:spacing w:after="0" w:line="264" w:lineRule="auto"/>
        <w:rPr>
          <w:sz w:val="20"/>
          <w:szCs w:val="20"/>
          <w:color w:val="auto"/>
        </w:rPr>
      </w:pPr>
      <w:r>
        <w:rPr>
          <w:rFonts w:ascii="Arial" w:cs="Arial" w:eastAsia="Arial" w:hAnsi="Arial"/>
          <w:sz w:val="13"/>
          <w:szCs w:val="13"/>
          <w:u w:val="single" w:color="auto"/>
          <w:color w:val="auto"/>
        </w:rPr>
        <w:t>Proposal 6</w:t>
      </w:r>
      <w:r>
        <w:rPr>
          <w:rFonts w:ascii="Arial" w:cs="Arial" w:eastAsia="Arial" w:hAnsi="Arial"/>
          <w:sz w:val="13"/>
          <w:szCs w:val="13"/>
          <w:color w:val="auto"/>
        </w:rPr>
        <w:t>: Vote upon a stockholder proposal on simple majority vote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3"/>
          <w:szCs w:val="13"/>
          <w:color w:val="auto"/>
        </w:rPr>
        <w:t>The affirmative vote of the holders of a majority in voting power of the votes cast affirmatively or negatively.</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Arial" w:cs="Arial" w:eastAsia="Arial" w:hAnsi="Arial"/>
          <w:sz w:val="13"/>
          <w:szCs w:val="13"/>
          <w:color w:val="auto"/>
        </w:rPr>
        <w:t>Abstentions and broker non-votes will have no effect.</w:t>
      </w:r>
    </w:p>
    <w:p>
      <w:pPr>
        <w:spacing w:after="0" w:line="379" w:lineRule="exact"/>
        <w:rPr>
          <w:sz w:val="20"/>
          <w:szCs w:val="20"/>
          <w:color w:val="auto"/>
        </w:rPr>
      </w:pPr>
    </w:p>
    <w:p>
      <w:pPr>
        <w:sectPr>
          <w:pgSz w:w="11900" w:h="16838" w:orient="portrait"/>
          <w:cols w:equalWidth="0" w:num="3">
            <w:col w:w="3360" w:space="540"/>
            <w:col w:w="3240" w:space="500"/>
            <w:col w:w="3600"/>
          </w:cols>
          <w:pgMar w:left="320" w:top="986"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What is an abstention and how will votes withheld and abstentions be treated?</w:t>
      </w:r>
    </w:p>
    <w:p>
      <w:pPr>
        <w:spacing w:after="0" w:line="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 “vote withheld,” in the case of the proposal regarding the election of directors, or an “abstention,” with respect to the other proposals, represents a stockholder’s affirmative choice to decline to vote on a proposal. Votes withheld and abstentions are counted as present and entitled to vote for purposes of determining a quorum. Votes withheld have no effect on the election of directors (Proposal 1), abstentions will have the same effect as a vote against the approval of an amendment to our Restated Certificate of Incorporation to increase the number of authorized shares of Common Stock (Proposal 4), and abstentions have no effect on the other proposals (Proposals 2, 3, 5 and 6).</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broker non-votes and do they count for determining a quorum?</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(Proposal 2), the approval of an amendment to our Restated Certificate of Incorporation to increase the number of authorized shares of Common Stock (Proposal 4), and the approval of an adjournment of the Annual Meeting, if necessary, to solicit additional proxies if there are not sufficient votes at the time of the Annual Meeting to approve Proposal 4 (Proposal 5) without instructions from the beneficial owner of those shares. On the other hand, absent instructions from the beneficial owner of such shares, a broker is not entitled to vote shares held for a beneficial owner on non-routine matters, such as the election of directors (Proposal 1), the approval on an advisory (non-binding) basis of the compensation of our named executive officers (Proposal 3), and the stockholder proposal on simple majority vote (Proposal 6). Those items for which your broker cannot vote result in broker non-votes if you do not provide your broker with voting instructions on such items. Broker non-votes count for purposes of determining whether a quorum is present.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Where can I find the voting results of the 2024 Annual Meeting of Stockholders?</w:t>
      </w:r>
    </w:p>
    <w:p>
      <w:pPr>
        <w:spacing w:after="0" w:line="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plan to announce preliminary voting results at the Annual Meeting and we will report the final results in a Current Report on Form 8-K, which we intend to file with the SEC after the Annual Meeting.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Proposals to be Voted 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PROPOSAL 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44"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At the Annual Meeting, two (2) Class III Directors are to be elected to hold office until the Annual Meeting of Stockholders to be held in 2027 and until such director’s successor is elected and qualified.</w:t>
      </w:r>
    </w:p>
    <w:p>
      <w:pPr>
        <w:spacing w:after="0" w:line="12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currently have eight (8) directors on our Board, including two (2) current Class III Directors. Our current Class III Directors are Paul R. Biondi, who has served on our Board since March 2020, and Kurt C. Graves, who has served on our Board since November 2015. The Board has nominated each of Paul R. Biondi and Kurt C. Graves for election as Class III Directors at the Annual Meeting.</w:t>
      </w:r>
    </w:p>
    <w:p>
      <w:pPr>
        <w:spacing w:after="0" w:line="145"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145"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p>
    <w:p>
      <w:pPr>
        <w:spacing w:after="0" w:line="145" w:lineRule="exact"/>
        <w:rPr>
          <w:sz w:val="20"/>
          <w:szCs w:val="20"/>
          <w:color w:val="auto"/>
        </w:rPr>
      </w:pPr>
    </w:p>
    <w:p>
      <w:pPr>
        <w:ind w:left="880" w:right="480" w:hanging="246"/>
        <w:spacing w:after="0" w:line="250" w:lineRule="auto"/>
        <w:tabs>
          <w:tab w:leader="none" w:pos="8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Class I Directors are Dennis A. Ausiello, M.D., Willard H. Dere, M.D., and Eric D. Shaff, and their term will expire at the 2025 Annual Meeting of Stockholders;</w:t>
      </w:r>
    </w:p>
    <w:p>
      <w:pPr>
        <w:ind w:left="880" w:right="80" w:hanging="246"/>
        <w:spacing w:after="0"/>
        <w:tabs>
          <w:tab w:leader="none" w:pos="8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Class II Directors are Stephen A. Berenson, Richard N. Kender, and Claire M. Fraser, Ph.D., and their term will expire at the 2026 Annual Meeting of Stockholders; and</w:t>
      </w:r>
    </w:p>
    <w:p>
      <w:pPr>
        <w:ind w:left="880" w:right="380" w:hanging="246"/>
        <w:spacing w:after="0" w:line="262" w:lineRule="auto"/>
        <w:tabs>
          <w:tab w:leader="none" w:pos="8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Class III Directors are Paul R. Biondi and Kurt C. Graves, and their term will expire at the Annual Meeting, and if elected, their subsequent term will expire at the 2027 Annual Meeting of Stockholders.</w:t>
      </w:r>
    </w:p>
    <w:p>
      <w:pPr>
        <w:spacing w:after="0" w:line="14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 There are no family relationships among any of our executive officers or directors.</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53"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The Board of Directors unanimously recommends a vote “FOR” the election of the below Class III Director nominees.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4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780" w:type="dxa"/>
            <w:vAlign w:val="bottom"/>
            <w:shd w:val="clear" w:color="auto" w:fill="E5E5E5"/>
          </w:tcPr>
          <w:p>
            <w:pPr>
              <w:jc w:val="center"/>
              <w:ind w:left="55"/>
              <w:spacing w:after="0"/>
              <w:rPr>
                <w:sz w:val="20"/>
                <w:szCs w:val="20"/>
                <w:color w:val="auto"/>
              </w:rPr>
            </w:pPr>
            <w:r>
              <w:rPr>
                <w:rFonts w:ascii="Arial" w:cs="Arial" w:eastAsia="Arial" w:hAnsi="Arial"/>
                <w:sz w:val="13"/>
                <w:szCs w:val="13"/>
                <w:b w:val="1"/>
                <w:bCs w:val="1"/>
                <w:color w:val="auto"/>
              </w:rPr>
              <w:t>Served as a</w:t>
            </w:r>
          </w:p>
        </w:tc>
        <w:tc>
          <w:tcPr>
            <w:tcW w:w="2300" w:type="dxa"/>
            <w:vAlign w:val="bottom"/>
            <w:shd w:val="clear" w:color="auto" w:fill="E5E5E5"/>
          </w:tcPr>
          <w:p>
            <w:pPr>
              <w:spacing w:after="0"/>
              <w:rPr>
                <w:sz w:val="14"/>
                <w:szCs w:val="14"/>
                <w:color w:val="auto"/>
              </w:rPr>
            </w:pPr>
          </w:p>
        </w:tc>
        <w:tc>
          <w:tcPr>
            <w:tcW w:w="3800" w:type="dxa"/>
            <w:vAlign w:val="bottom"/>
            <w:shd w:val="clear" w:color="auto" w:fill="E5E5E5"/>
          </w:tcPr>
          <w:p>
            <w:pPr>
              <w:spacing w:after="0"/>
              <w:rPr>
                <w:sz w:val="14"/>
                <w:szCs w:val="14"/>
                <w:color w:val="auto"/>
              </w:rPr>
            </w:pPr>
          </w:p>
        </w:tc>
      </w:tr>
      <w:tr>
        <w:trPr>
          <w:trHeight w:val="183"/>
        </w:trPr>
        <w:tc>
          <w:tcPr>
            <w:tcW w:w="120" w:type="dxa"/>
            <w:vAlign w:val="bottom"/>
            <w:tcBorders>
              <w:bottom w:val="single" w:sz="8" w:color="auto"/>
            </w:tcBorders>
            <w:shd w:val="clear" w:color="auto" w:fill="E5E5E5"/>
          </w:tcPr>
          <w:p>
            <w:pPr>
              <w:spacing w:after="0"/>
              <w:rPr>
                <w:sz w:val="15"/>
                <w:szCs w:val="15"/>
                <w:color w:val="auto"/>
              </w:rPr>
            </w:pPr>
          </w:p>
        </w:tc>
        <w:tc>
          <w:tcPr>
            <w:tcW w:w="214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shd w:val="clear" w:color="auto" w:fill="E5E5E5"/>
          </w:tcPr>
          <w:p>
            <w:pPr>
              <w:jc w:val="center"/>
              <w:ind w:right="75"/>
              <w:spacing w:after="0"/>
              <w:rPr>
                <w:sz w:val="20"/>
                <w:szCs w:val="20"/>
                <w:color w:val="auto"/>
              </w:rPr>
            </w:pPr>
            <w:r>
              <w:rPr>
                <w:rFonts w:ascii="Arial" w:cs="Arial" w:eastAsia="Arial" w:hAnsi="Arial"/>
                <w:sz w:val="13"/>
                <w:szCs w:val="13"/>
                <w:b w:val="1"/>
                <w:bCs w:val="1"/>
                <w:color w:val="auto"/>
                <w:w w:val="97"/>
              </w:rPr>
              <w:t>Age</w:t>
            </w:r>
          </w:p>
        </w:tc>
        <w:tc>
          <w:tcPr>
            <w:tcW w:w="1780" w:type="dxa"/>
            <w:vAlign w:val="bottom"/>
            <w:tcBorders>
              <w:bottom w:val="single" w:sz="8" w:color="auto"/>
            </w:tcBorders>
            <w:shd w:val="clear" w:color="auto" w:fill="E5E5E5"/>
          </w:tcPr>
          <w:p>
            <w:pPr>
              <w:jc w:val="center"/>
              <w:ind w:left="55"/>
              <w:spacing w:after="0"/>
              <w:rPr>
                <w:sz w:val="20"/>
                <w:szCs w:val="20"/>
                <w:color w:val="auto"/>
              </w:rPr>
            </w:pPr>
            <w:r>
              <w:rPr>
                <w:rFonts w:ascii="Arial" w:cs="Arial" w:eastAsia="Arial" w:hAnsi="Arial"/>
                <w:sz w:val="13"/>
                <w:szCs w:val="13"/>
                <w:b w:val="1"/>
                <w:bCs w:val="1"/>
                <w:color w:val="auto"/>
              </w:rPr>
              <w:t>Director Since</w:t>
            </w:r>
          </w:p>
        </w:tc>
        <w:tc>
          <w:tcPr>
            <w:tcW w:w="23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3"/>
                <w:szCs w:val="13"/>
                <w:b w:val="1"/>
                <w:bCs w:val="1"/>
                <w:color w:val="auto"/>
              </w:rPr>
              <w:t>Position with Seres</w:t>
            </w:r>
          </w:p>
        </w:tc>
        <w:tc>
          <w:tcPr>
            <w:tcW w:w="38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3"/>
                <w:szCs w:val="13"/>
                <w:b w:val="1"/>
                <w:bCs w:val="1"/>
                <w:color w:val="auto"/>
              </w:rPr>
              <w:t>Class and Year Term Ending</w:t>
            </w:r>
          </w:p>
        </w:tc>
      </w:tr>
      <w:tr>
        <w:trPr>
          <w:trHeight w:val="147"/>
        </w:trPr>
        <w:tc>
          <w:tcPr>
            <w:tcW w:w="120" w:type="dxa"/>
            <w:vAlign w:val="bottom"/>
          </w:tcPr>
          <w:p>
            <w:pPr>
              <w:spacing w:after="0"/>
              <w:rPr>
                <w:sz w:val="12"/>
                <w:szCs w:val="12"/>
                <w:color w:val="auto"/>
              </w:rPr>
            </w:pPr>
          </w:p>
        </w:tc>
        <w:tc>
          <w:tcPr>
            <w:tcW w:w="1100" w:type="dxa"/>
            <w:vAlign w:val="bottom"/>
            <w:tcBorders>
              <w:bottom w:val="single" w:sz="8" w:color="auto"/>
            </w:tcBorders>
          </w:tcPr>
          <w:p>
            <w:pPr>
              <w:spacing w:after="0" w:line="137" w:lineRule="exact"/>
              <w:rPr>
                <w:sz w:val="20"/>
                <w:szCs w:val="20"/>
                <w:color w:val="auto"/>
              </w:rPr>
            </w:pPr>
            <w:r>
              <w:rPr>
                <w:rFonts w:ascii="Arial" w:cs="Arial" w:eastAsia="Arial" w:hAnsi="Arial"/>
                <w:sz w:val="13"/>
                <w:szCs w:val="13"/>
                <w:i w:val="1"/>
                <w:iCs w:val="1"/>
                <w:color w:val="auto"/>
              </w:rPr>
              <w:t>Director Nominees</w:t>
            </w:r>
          </w:p>
        </w:tc>
        <w:tc>
          <w:tcPr>
            <w:tcW w:w="104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4"/>
        </w:trPr>
        <w:tc>
          <w:tcPr>
            <w:tcW w:w="120" w:type="dxa"/>
            <w:vAlign w:val="bottom"/>
            <w:shd w:val="clear" w:color="auto" w:fill="E5E5E5"/>
          </w:tcPr>
          <w:p>
            <w:pPr>
              <w:spacing w:after="0"/>
              <w:rPr>
                <w:sz w:val="13"/>
                <w:szCs w:val="13"/>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Paul R. Biondi</w:t>
            </w:r>
          </w:p>
        </w:tc>
        <w:tc>
          <w:tcPr>
            <w:tcW w:w="1100" w:type="dxa"/>
            <w:vAlign w:val="bottom"/>
            <w:shd w:val="clear" w:color="auto" w:fill="E5E5E5"/>
          </w:tcPr>
          <w:p>
            <w:pPr>
              <w:jc w:val="center"/>
              <w:ind w:right="95"/>
              <w:spacing w:after="0"/>
              <w:rPr>
                <w:sz w:val="20"/>
                <w:szCs w:val="20"/>
                <w:color w:val="auto"/>
              </w:rPr>
            </w:pPr>
            <w:r>
              <w:rPr>
                <w:rFonts w:ascii="Arial" w:cs="Arial" w:eastAsia="Arial" w:hAnsi="Arial"/>
                <w:sz w:val="13"/>
                <w:szCs w:val="13"/>
                <w:color w:val="auto"/>
                <w:w w:val="96"/>
              </w:rPr>
              <w:t>54</w:t>
            </w:r>
          </w:p>
        </w:tc>
        <w:tc>
          <w:tcPr>
            <w:tcW w:w="1780" w:type="dxa"/>
            <w:vAlign w:val="bottom"/>
            <w:shd w:val="clear" w:color="auto" w:fill="E5E5E5"/>
          </w:tcPr>
          <w:p>
            <w:pPr>
              <w:jc w:val="center"/>
              <w:ind w:left="55"/>
              <w:spacing w:after="0"/>
              <w:rPr>
                <w:sz w:val="20"/>
                <w:szCs w:val="20"/>
                <w:color w:val="auto"/>
              </w:rPr>
            </w:pPr>
            <w:r>
              <w:rPr>
                <w:rFonts w:ascii="Arial" w:cs="Arial" w:eastAsia="Arial" w:hAnsi="Arial"/>
                <w:sz w:val="13"/>
                <w:szCs w:val="13"/>
                <w:color w:val="auto"/>
              </w:rPr>
              <w:t>2020</w:t>
            </w: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w:t>
            </w:r>
          </w:p>
        </w:tc>
        <w:tc>
          <w:tcPr>
            <w:tcW w:w="3800" w:type="dxa"/>
            <w:vAlign w:val="bottom"/>
            <w:shd w:val="clear" w:color="auto" w:fill="E5E5E5"/>
          </w:tcPr>
          <w:p>
            <w:pPr>
              <w:ind w:left="360"/>
              <w:spacing w:after="0"/>
              <w:rPr>
                <w:sz w:val="20"/>
                <w:szCs w:val="20"/>
                <w:color w:val="auto"/>
              </w:rPr>
            </w:pPr>
            <w:r>
              <w:rPr>
                <w:rFonts w:ascii="Arial" w:cs="Arial" w:eastAsia="Arial" w:hAnsi="Arial"/>
                <w:sz w:val="13"/>
                <w:szCs w:val="13"/>
                <w:color w:val="auto"/>
              </w:rPr>
              <w:t>Class III (Subsequent Term Ending 2027 if elected at the</w:t>
            </w:r>
          </w:p>
        </w:tc>
      </w:tr>
      <w:tr>
        <w:trPr>
          <w:trHeight w:val="170"/>
        </w:trPr>
        <w:tc>
          <w:tcPr>
            <w:tcW w:w="1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4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3800" w:type="dxa"/>
            <w:vAlign w:val="bottom"/>
            <w:shd w:val="clear" w:color="auto" w:fill="E5E5E5"/>
          </w:tcPr>
          <w:p>
            <w:pPr>
              <w:ind w:left="360"/>
              <w:spacing w:after="0"/>
              <w:rPr>
                <w:sz w:val="20"/>
                <w:szCs w:val="20"/>
                <w:color w:val="auto"/>
              </w:rPr>
            </w:pPr>
            <w:r>
              <w:rPr>
                <w:rFonts w:ascii="Arial" w:cs="Arial" w:eastAsia="Arial" w:hAnsi="Arial"/>
                <w:sz w:val="13"/>
                <w:szCs w:val="13"/>
                <w:color w:val="auto"/>
              </w:rPr>
              <w:t>Annual Meeting)</w:t>
            </w:r>
          </w:p>
        </w:tc>
      </w:tr>
      <w:tr>
        <w:trPr>
          <w:trHeight w:val="144"/>
        </w:trPr>
        <w:tc>
          <w:tcPr>
            <w:tcW w:w="120" w:type="dxa"/>
            <w:vAlign w:val="bottom"/>
          </w:tcPr>
          <w:p>
            <w:pPr>
              <w:spacing w:after="0"/>
              <w:rPr>
                <w:sz w:val="12"/>
                <w:szCs w:val="12"/>
                <w:color w:val="auto"/>
              </w:rPr>
            </w:pPr>
          </w:p>
        </w:tc>
        <w:tc>
          <w:tcPr>
            <w:tcW w:w="2140" w:type="dxa"/>
            <w:vAlign w:val="bottom"/>
            <w:gridSpan w:val="3"/>
          </w:tcPr>
          <w:p>
            <w:pPr>
              <w:spacing w:after="0" w:line="144" w:lineRule="exact"/>
              <w:rPr>
                <w:sz w:val="20"/>
                <w:szCs w:val="20"/>
                <w:color w:val="auto"/>
              </w:rPr>
            </w:pPr>
            <w:r>
              <w:rPr>
                <w:rFonts w:ascii="Arial" w:cs="Arial" w:eastAsia="Arial" w:hAnsi="Arial"/>
                <w:sz w:val="13"/>
                <w:szCs w:val="13"/>
                <w:color w:val="auto"/>
              </w:rPr>
              <w:t>Kurt C. Graves</w:t>
            </w:r>
          </w:p>
        </w:tc>
        <w:tc>
          <w:tcPr>
            <w:tcW w:w="1100" w:type="dxa"/>
            <w:vAlign w:val="bottom"/>
          </w:tcPr>
          <w:p>
            <w:pPr>
              <w:jc w:val="center"/>
              <w:ind w:right="95"/>
              <w:spacing w:after="0" w:line="144" w:lineRule="exact"/>
              <w:rPr>
                <w:sz w:val="20"/>
                <w:szCs w:val="20"/>
                <w:color w:val="auto"/>
              </w:rPr>
            </w:pPr>
            <w:r>
              <w:rPr>
                <w:rFonts w:ascii="Arial" w:cs="Arial" w:eastAsia="Arial" w:hAnsi="Arial"/>
                <w:sz w:val="13"/>
                <w:szCs w:val="13"/>
                <w:color w:val="auto"/>
                <w:w w:val="96"/>
              </w:rPr>
              <w:t>56</w:t>
            </w:r>
          </w:p>
        </w:tc>
        <w:tc>
          <w:tcPr>
            <w:tcW w:w="1780" w:type="dxa"/>
            <w:vAlign w:val="bottom"/>
          </w:tcPr>
          <w:p>
            <w:pPr>
              <w:jc w:val="center"/>
              <w:ind w:left="55"/>
              <w:spacing w:after="0" w:line="144" w:lineRule="exact"/>
              <w:rPr>
                <w:sz w:val="20"/>
                <w:szCs w:val="20"/>
                <w:color w:val="auto"/>
              </w:rPr>
            </w:pPr>
            <w:r>
              <w:rPr>
                <w:rFonts w:ascii="Arial" w:cs="Arial" w:eastAsia="Arial" w:hAnsi="Arial"/>
                <w:sz w:val="13"/>
                <w:szCs w:val="13"/>
                <w:color w:val="auto"/>
              </w:rPr>
              <w:t>2015</w:t>
            </w:r>
          </w:p>
        </w:tc>
        <w:tc>
          <w:tcPr>
            <w:tcW w:w="2300" w:type="dxa"/>
            <w:vAlign w:val="bottom"/>
          </w:tcPr>
          <w:p>
            <w:pPr>
              <w:ind w:left="400"/>
              <w:spacing w:after="0" w:line="144" w:lineRule="exact"/>
              <w:rPr>
                <w:sz w:val="20"/>
                <w:szCs w:val="20"/>
                <w:color w:val="auto"/>
              </w:rPr>
            </w:pPr>
            <w:r>
              <w:rPr>
                <w:rFonts w:ascii="Arial" w:cs="Arial" w:eastAsia="Arial" w:hAnsi="Arial"/>
                <w:sz w:val="13"/>
                <w:szCs w:val="13"/>
                <w:color w:val="auto"/>
              </w:rPr>
              <w:t>Director</w:t>
            </w:r>
          </w:p>
        </w:tc>
        <w:tc>
          <w:tcPr>
            <w:tcW w:w="3800" w:type="dxa"/>
            <w:vAlign w:val="bottom"/>
          </w:tcPr>
          <w:p>
            <w:pPr>
              <w:ind w:left="360"/>
              <w:spacing w:after="0" w:line="144" w:lineRule="exact"/>
              <w:rPr>
                <w:sz w:val="20"/>
                <w:szCs w:val="20"/>
                <w:color w:val="auto"/>
              </w:rPr>
            </w:pPr>
            <w:r>
              <w:rPr>
                <w:rFonts w:ascii="Arial" w:cs="Arial" w:eastAsia="Arial" w:hAnsi="Arial"/>
                <w:sz w:val="13"/>
                <w:szCs w:val="13"/>
                <w:color w:val="auto"/>
              </w:rPr>
              <w:t>Class III (Subsequent Term Ending 2027 if elected at the</w:t>
            </w:r>
          </w:p>
        </w:tc>
      </w:tr>
      <w:tr>
        <w:trPr>
          <w:trHeight w:val="170"/>
        </w:trPr>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00" w:type="dxa"/>
            <w:vAlign w:val="bottom"/>
          </w:tcPr>
          <w:p>
            <w:pPr>
              <w:ind w:left="360"/>
              <w:spacing w:after="0"/>
              <w:rPr>
                <w:sz w:val="20"/>
                <w:szCs w:val="20"/>
                <w:color w:val="auto"/>
              </w:rPr>
            </w:pPr>
            <w:r>
              <w:rPr>
                <w:rFonts w:ascii="Arial" w:cs="Arial" w:eastAsia="Arial" w:hAnsi="Arial"/>
                <w:sz w:val="13"/>
                <w:szCs w:val="13"/>
                <w:color w:val="auto"/>
              </w:rPr>
              <w:t>Annual Meeting)</w:t>
            </w:r>
          </w:p>
        </w:tc>
      </w:tr>
      <w:tr>
        <w:trPr>
          <w:trHeight w:val="163"/>
        </w:trPr>
        <w:tc>
          <w:tcPr>
            <w:tcW w:w="120" w:type="dxa"/>
            <w:vAlign w:val="bottom"/>
            <w:tcBorders>
              <w:bottom w:val="single" w:sz="8" w:color="E5E5E5"/>
            </w:tcBorders>
            <w:shd w:val="clear" w:color="auto" w:fill="E5E5E5"/>
          </w:tcPr>
          <w:p>
            <w:pPr>
              <w:spacing w:after="0"/>
              <w:rPr>
                <w:sz w:val="14"/>
                <w:szCs w:val="14"/>
                <w:color w:val="auto"/>
              </w:rPr>
            </w:pPr>
          </w:p>
        </w:tc>
        <w:tc>
          <w:tcPr>
            <w:tcW w:w="1200" w:type="dxa"/>
            <w:vAlign w:val="bottom"/>
            <w:tcBorders>
              <w:bottom w:val="single" w:sz="8" w:color="auto"/>
            </w:tcBorders>
            <w:gridSpan w:val="2"/>
            <w:shd w:val="clear" w:color="auto" w:fill="E5E5E5"/>
          </w:tcPr>
          <w:p>
            <w:pPr>
              <w:spacing w:after="0" w:line="144" w:lineRule="exact"/>
              <w:rPr>
                <w:sz w:val="20"/>
                <w:szCs w:val="20"/>
                <w:color w:val="auto"/>
              </w:rPr>
            </w:pPr>
            <w:r>
              <w:rPr>
                <w:rFonts w:ascii="Arial" w:cs="Arial" w:eastAsia="Arial" w:hAnsi="Arial"/>
                <w:sz w:val="13"/>
                <w:szCs w:val="13"/>
                <w:i w:val="1"/>
                <w:iCs w:val="1"/>
                <w:color w:val="auto"/>
              </w:rPr>
              <w:t>Continuing Directors</w:t>
            </w:r>
          </w:p>
        </w:tc>
        <w:tc>
          <w:tcPr>
            <w:tcW w:w="940" w:type="dxa"/>
            <w:vAlign w:val="bottom"/>
            <w:tcBorders>
              <w:bottom w:val="single" w:sz="8" w:color="E5E5E5"/>
            </w:tcBorders>
            <w:shd w:val="clear" w:color="auto" w:fill="E5E5E5"/>
          </w:tcPr>
          <w:p>
            <w:pPr>
              <w:spacing w:after="0"/>
              <w:rPr>
                <w:sz w:val="14"/>
                <w:szCs w:val="14"/>
                <w:color w:val="auto"/>
              </w:rPr>
            </w:pPr>
          </w:p>
        </w:tc>
        <w:tc>
          <w:tcPr>
            <w:tcW w:w="1100" w:type="dxa"/>
            <w:vAlign w:val="bottom"/>
            <w:tcBorders>
              <w:bottom w:val="single" w:sz="8" w:color="E5E5E5"/>
            </w:tcBorders>
            <w:shd w:val="clear" w:color="auto" w:fill="E5E5E5"/>
          </w:tcPr>
          <w:p>
            <w:pPr>
              <w:spacing w:after="0"/>
              <w:rPr>
                <w:sz w:val="14"/>
                <w:szCs w:val="14"/>
                <w:color w:val="auto"/>
              </w:rPr>
            </w:pPr>
          </w:p>
        </w:tc>
        <w:tc>
          <w:tcPr>
            <w:tcW w:w="1780" w:type="dxa"/>
            <w:vAlign w:val="bottom"/>
            <w:tcBorders>
              <w:bottom w:val="single" w:sz="8" w:color="E5E5E5"/>
            </w:tcBorders>
            <w:shd w:val="clear" w:color="auto" w:fill="E5E5E5"/>
          </w:tcPr>
          <w:p>
            <w:pPr>
              <w:spacing w:after="0"/>
              <w:rPr>
                <w:sz w:val="14"/>
                <w:szCs w:val="14"/>
                <w:color w:val="auto"/>
              </w:rPr>
            </w:pPr>
          </w:p>
        </w:tc>
        <w:tc>
          <w:tcPr>
            <w:tcW w:w="2300" w:type="dxa"/>
            <w:vAlign w:val="bottom"/>
            <w:tcBorders>
              <w:bottom w:val="single" w:sz="8" w:color="E5E5E5"/>
            </w:tcBorders>
            <w:shd w:val="clear" w:color="auto" w:fill="E5E5E5"/>
          </w:tcPr>
          <w:p>
            <w:pPr>
              <w:spacing w:after="0"/>
              <w:rPr>
                <w:sz w:val="14"/>
                <w:szCs w:val="14"/>
                <w:color w:val="auto"/>
              </w:rPr>
            </w:pPr>
          </w:p>
        </w:tc>
        <w:tc>
          <w:tcPr>
            <w:tcW w:w="3800" w:type="dxa"/>
            <w:vAlign w:val="bottom"/>
            <w:tcBorders>
              <w:bottom w:val="single" w:sz="8" w:color="E5E5E5"/>
            </w:tcBorders>
            <w:shd w:val="clear" w:color="auto" w:fill="E5E5E5"/>
          </w:tcPr>
          <w:p>
            <w:pPr>
              <w:spacing w:after="0"/>
              <w:rPr>
                <w:sz w:val="14"/>
                <w:szCs w:val="14"/>
                <w:color w:val="auto"/>
              </w:rPr>
            </w:pPr>
          </w:p>
        </w:tc>
      </w:tr>
      <w:tr>
        <w:trPr>
          <w:trHeight w:val="170"/>
        </w:trPr>
        <w:tc>
          <w:tcPr>
            <w:tcW w:w="1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Dennis A. Ausiello, M.D.</w:t>
            </w:r>
          </w:p>
        </w:tc>
        <w:tc>
          <w:tcPr>
            <w:tcW w:w="1100" w:type="dxa"/>
            <w:vAlign w:val="bottom"/>
          </w:tcPr>
          <w:p>
            <w:pPr>
              <w:jc w:val="center"/>
              <w:ind w:right="95"/>
              <w:spacing w:after="0"/>
              <w:rPr>
                <w:sz w:val="20"/>
                <w:szCs w:val="20"/>
                <w:color w:val="auto"/>
              </w:rPr>
            </w:pPr>
            <w:r>
              <w:rPr>
                <w:rFonts w:ascii="Arial" w:cs="Arial" w:eastAsia="Arial" w:hAnsi="Arial"/>
                <w:sz w:val="13"/>
                <w:szCs w:val="13"/>
                <w:color w:val="auto"/>
                <w:w w:val="96"/>
              </w:rPr>
              <w:t>78</w:t>
            </w:r>
          </w:p>
        </w:tc>
        <w:tc>
          <w:tcPr>
            <w:tcW w:w="1780" w:type="dxa"/>
            <w:vAlign w:val="bottom"/>
          </w:tcPr>
          <w:p>
            <w:pPr>
              <w:jc w:val="center"/>
              <w:ind w:left="55"/>
              <w:spacing w:after="0"/>
              <w:rPr>
                <w:sz w:val="20"/>
                <w:szCs w:val="20"/>
                <w:color w:val="auto"/>
              </w:rPr>
            </w:pPr>
            <w:r>
              <w:rPr>
                <w:rFonts w:ascii="Arial" w:cs="Arial" w:eastAsia="Arial" w:hAnsi="Arial"/>
                <w:sz w:val="13"/>
                <w:szCs w:val="13"/>
                <w:color w:val="auto"/>
              </w:rPr>
              <w:t>2015</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800" w:type="dxa"/>
            <w:vAlign w:val="bottom"/>
          </w:tcPr>
          <w:p>
            <w:pPr>
              <w:ind w:left="360"/>
              <w:spacing w:after="0"/>
              <w:rPr>
                <w:sz w:val="20"/>
                <w:szCs w:val="20"/>
                <w:color w:val="auto"/>
              </w:rPr>
            </w:pPr>
            <w:r>
              <w:rPr>
                <w:rFonts w:ascii="Arial" w:cs="Arial" w:eastAsia="Arial" w:hAnsi="Arial"/>
                <w:sz w:val="13"/>
                <w:szCs w:val="13"/>
                <w:color w:val="auto"/>
              </w:rPr>
              <w:t>Class I (Term Ending 2025)</w:t>
            </w:r>
          </w:p>
        </w:tc>
      </w:tr>
      <w:tr>
        <w:trPr>
          <w:trHeight w:val="144"/>
        </w:trPr>
        <w:tc>
          <w:tcPr>
            <w:tcW w:w="12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line="144" w:lineRule="exact"/>
              <w:rPr>
                <w:sz w:val="20"/>
                <w:szCs w:val="20"/>
                <w:color w:val="auto"/>
              </w:rPr>
            </w:pPr>
            <w:r>
              <w:rPr>
                <w:rFonts w:ascii="Arial" w:cs="Arial" w:eastAsia="Arial" w:hAnsi="Arial"/>
                <w:sz w:val="13"/>
                <w:szCs w:val="13"/>
                <w:color w:val="auto"/>
              </w:rPr>
              <w:t>Stephen A. Berenson</w:t>
            </w:r>
          </w:p>
        </w:tc>
        <w:tc>
          <w:tcPr>
            <w:tcW w:w="1100" w:type="dxa"/>
            <w:vAlign w:val="bottom"/>
            <w:shd w:val="clear" w:color="auto" w:fill="E5E5E5"/>
          </w:tcPr>
          <w:p>
            <w:pPr>
              <w:jc w:val="center"/>
              <w:ind w:right="95"/>
              <w:spacing w:after="0" w:line="144" w:lineRule="exact"/>
              <w:rPr>
                <w:sz w:val="20"/>
                <w:szCs w:val="20"/>
                <w:color w:val="auto"/>
              </w:rPr>
            </w:pPr>
            <w:r>
              <w:rPr>
                <w:rFonts w:ascii="Arial" w:cs="Arial" w:eastAsia="Arial" w:hAnsi="Arial"/>
                <w:sz w:val="13"/>
                <w:szCs w:val="13"/>
                <w:color w:val="auto"/>
                <w:w w:val="96"/>
              </w:rPr>
              <w:t>63</w:t>
            </w:r>
          </w:p>
        </w:tc>
        <w:tc>
          <w:tcPr>
            <w:tcW w:w="1780" w:type="dxa"/>
            <w:vAlign w:val="bottom"/>
            <w:shd w:val="clear" w:color="auto" w:fill="E5E5E5"/>
          </w:tcPr>
          <w:p>
            <w:pPr>
              <w:jc w:val="center"/>
              <w:ind w:left="55"/>
              <w:spacing w:after="0" w:line="144" w:lineRule="exact"/>
              <w:rPr>
                <w:sz w:val="20"/>
                <w:szCs w:val="20"/>
                <w:color w:val="auto"/>
              </w:rPr>
            </w:pPr>
            <w:r>
              <w:rPr>
                <w:rFonts w:ascii="Arial" w:cs="Arial" w:eastAsia="Arial" w:hAnsi="Arial"/>
                <w:sz w:val="13"/>
                <w:szCs w:val="13"/>
                <w:color w:val="auto"/>
              </w:rPr>
              <w:t>2019</w:t>
            </w:r>
          </w:p>
        </w:tc>
        <w:tc>
          <w:tcPr>
            <w:tcW w:w="2300" w:type="dxa"/>
            <w:vAlign w:val="bottom"/>
            <w:shd w:val="clear" w:color="auto" w:fill="E5E5E5"/>
          </w:tcPr>
          <w:p>
            <w:pPr>
              <w:ind w:left="400"/>
              <w:spacing w:after="0" w:line="144" w:lineRule="exact"/>
              <w:rPr>
                <w:sz w:val="20"/>
                <w:szCs w:val="20"/>
                <w:color w:val="auto"/>
              </w:rPr>
            </w:pPr>
            <w:r>
              <w:rPr>
                <w:rFonts w:ascii="Arial" w:cs="Arial" w:eastAsia="Arial" w:hAnsi="Arial"/>
                <w:sz w:val="13"/>
                <w:szCs w:val="13"/>
                <w:color w:val="auto"/>
              </w:rPr>
              <w:t>Chairman of the Board of</w:t>
            </w:r>
          </w:p>
        </w:tc>
        <w:tc>
          <w:tcPr>
            <w:tcW w:w="3800" w:type="dxa"/>
            <w:vAlign w:val="bottom"/>
            <w:shd w:val="clear" w:color="auto" w:fill="E5E5E5"/>
          </w:tcPr>
          <w:p>
            <w:pPr>
              <w:ind w:left="360"/>
              <w:spacing w:after="0" w:line="144" w:lineRule="exact"/>
              <w:rPr>
                <w:sz w:val="20"/>
                <w:szCs w:val="20"/>
                <w:color w:val="auto"/>
              </w:rPr>
            </w:pPr>
            <w:r>
              <w:rPr>
                <w:rFonts w:ascii="Arial" w:cs="Arial" w:eastAsia="Arial" w:hAnsi="Arial"/>
                <w:sz w:val="13"/>
                <w:szCs w:val="13"/>
                <w:color w:val="auto"/>
              </w:rPr>
              <w:t>Class II (Term Ending 2026)</w:t>
            </w:r>
          </w:p>
        </w:tc>
      </w:tr>
      <w:tr>
        <w:trPr>
          <w:trHeight w:val="183"/>
        </w:trPr>
        <w:tc>
          <w:tcPr>
            <w:tcW w:w="1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780" w:type="dxa"/>
            <w:vAlign w:val="bottom"/>
            <w:shd w:val="clear" w:color="auto" w:fill="E5E5E5"/>
          </w:tcPr>
          <w:p>
            <w:pPr>
              <w:spacing w:after="0"/>
              <w:rPr>
                <w:sz w:val="15"/>
                <w:szCs w:val="15"/>
                <w:color w:val="auto"/>
              </w:rPr>
            </w:pP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Directors</w:t>
            </w:r>
          </w:p>
        </w:tc>
        <w:tc>
          <w:tcPr>
            <w:tcW w:w="3800" w:type="dxa"/>
            <w:vAlign w:val="bottom"/>
            <w:shd w:val="clear" w:color="auto" w:fill="E5E5E5"/>
          </w:tcPr>
          <w:p>
            <w:pPr>
              <w:spacing w:after="0"/>
              <w:rPr>
                <w:sz w:val="15"/>
                <w:szCs w:val="15"/>
                <w:color w:val="auto"/>
              </w:rPr>
            </w:pPr>
          </w:p>
        </w:tc>
      </w:tr>
      <w:tr>
        <w:trPr>
          <w:trHeight w:val="170"/>
        </w:trPr>
        <w:tc>
          <w:tcPr>
            <w:tcW w:w="1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Willard H. Dere, M.D.</w:t>
            </w:r>
          </w:p>
        </w:tc>
        <w:tc>
          <w:tcPr>
            <w:tcW w:w="1100" w:type="dxa"/>
            <w:vAlign w:val="bottom"/>
          </w:tcPr>
          <w:p>
            <w:pPr>
              <w:jc w:val="center"/>
              <w:ind w:right="95"/>
              <w:spacing w:after="0"/>
              <w:rPr>
                <w:sz w:val="20"/>
                <w:szCs w:val="20"/>
                <w:color w:val="auto"/>
              </w:rPr>
            </w:pPr>
            <w:r>
              <w:rPr>
                <w:rFonts w:ascii="Arial" w:cs="Arial" w:eastAsia="Arial" w:hAnsi="Arial"/>
                <w:sz w:val="13"/>
                <w:szCs w:val="13"/>
                <w:color w:val="auto"/>
                <w:w w:val="96"/>
              </w:rPr>
              <w:t>70</w:t>
            </w:r>
          </w:p>
        </w:tc>
        <w:tc>
          <w:tcPr>
            <w:tcW w:w="1780" w:type="dxa"/>
            <w:vAlign w:val="bottom"/>
          </w:tcPr>
          <w:p>
            <w:pPr>
              <w:jc w:val="center"/>
              <w:ind w:left="55"/>
              <w:spacing w:after="0"/>
              <w:rPr>
                <w:sz w:val="20"/>
                <w:szCs w:val="20"/>
                <w:color w:val="auto"/>
              </w:rPr>
            </w:pPr>
            <w:r>
              <w:rPr>
                <w:rFonts w:ascii="Arial" w:cs="Arial" w:eastAsia="Arial" w:hAnsi="Arial"/>
                <w:sz w:val="13"/>
                <w:szCs w:val="13"/>
                <w:color w:val="auto"/>
              </w:rPr>
              <w:t>2017</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800" w:type="dxa"/>
            <w:vAlign w:val="bottom"/>
          </w:tcPr>
          <w:p>
            <w:pPr>
              <w:ind w:left="360"/>
              <w:spacing w:after="0"/>
              <w:rPr>
                <w:sz w:val="20"/>
                <w:szCs w:val="20"/>
                <w:color w:val="auto"/>
              </w:rPr>
            </w:pPr>
            <w:r>
              <w:rPr>
                <w:rFonts w:ascii="Arial" w:cs="Arial" w:eastAsia="Arial" w:hAnsi="Arial"/>
                <w:sz w:val="13"/>
                <w:szCs w:val="13"/>
                <w:color w:val="auto"/>
              </w:rPr>
              <w:t>Class I (Term Ending 2025)</w:t>
            </w:r>
          </w:p>
        </w:tc>
      </w:tr>
      <w:tr>
        <w:trPr>
          <w:trHeight w:val="170"/>
        </w:trPr>
        <w:tc>
          <w:tcPr>
            <w:tcW w:w="120" w:type="dxa"/>
            <w:vAlign w:val="bottom"/>
            <w:shd w:val="clear" w:color="auto" w:fill="E5E5E5"/>
          </w:tcPr>
          <w:p>
            <w:pPr>
              <w:spacing w:after="0"/>
              <w:rPr>
                <w:sz w:val="14"/>
                <w:szCs w:val="14"/>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Claire M. Fraser, Ph.D.</w:t>
            </w:r>
          </w:p>
        </w:tc>
        <w:tc>
          <w:tcPr>
            <w:tcW w:w="1100" w:type="dxa"/>
            <w:vAlign w:val="bottom"/>
            <w:shd w:val="clear" w:color="auto" w:fill="E5E5E5"/>
          </w:tcPr>
          <w:p>
            <w:pPr>
              <w:jc w:val="center"/>
              <w:ind w:right="95"/>
              <w:spacing w:after="0"/>
              <w:rPr>
                <w:sz w:val="20"/>
                <w:szCs w:val="20"/>
                <w:color w:val="auto"/>
              </w:rPr>
            </w:pPr>
            <w:r>
              <w:rPr>
                <w:rFonts w:ascii="Arial" w:cs="Arial" w:eastAsia="Arial" w:hAnsi="Arial"/>
                <w:sz w:val="13"/>
                <w:szCs w:val="13"/>
                <w:color w:val="auto"/>
                <w:w w:val="96"/>
              </w:rPr>
              <w:t>68</w:t>
            </w:r>
          </w:p>
        </w:tc>
        <w:tc>
          <w:tcPr>
            <w:tcW w:w="1780" w:type="dxa"/>
            <w:vAlign w:val="bottom"/>
            <w:shd w:val="clear" w:color="auto" w:fill="E5E5E5"/>
          </w:tcPr>
          <w:p>
            <w:pPr>
              <w:jc w:val="center"/>
              <w:ind w:left="55"/>
              <w:spacing w:after="0"/>
              <w:rPr>
                <w:sz w:val="20"/>
                <w:szCs w:val="20"/>
                <w:color w:val="auto"/>
              </w:rPr>
            </w:pPr>
            <w:r>
              <w:rPr>
                <w:rFonts w:ascii="Arial" w:cs="Arial" w:eastAsia="Arial" w:hAnsi="Arial"/>
                <w:sz w:val="13"/>
                <w:szCs w:val="13"/>
                <w:color w:val="auto"/>
              </w:rPr>
              <w:t>2023</w:t>
            </w:r>
          </w:p>
        </w:tc>
        <w:tc>
          <w:tcPr>
            <w:tcW w:w="2300" w:type="dxa"/>
            <w:vAlign w:val="bottom"/>
            <w:shd w:val="clear" w:color="auto" w:fill="E5E5E5"/>
          </w:tcPr>
          <w:p>
            <w:pPr>
              <w:ind w:left="400"/>
              <w:spacing w:after="0"/>
              <w:rPr>
                <w:sz w:val="20"/>
                <w:szCs w:val="20"/>
                <w:color w:val="auto"/>
              </w:rPr>
            </w:pPr>
            <w:r>
              <w:rPr>
                <w:rFonts w:ascii="Arial" w:cs="Arial" w:eastAsia="Arial" w:hAnsi="Arial"/>
                <w:sz w:val="13"/>
                <w:szCs w:val="13"/>
                <w:color w:val="auto"/>
              </w:rPr>
              <w:t>Director</w:t>
            </w:r>
          </w:p>
        </w:tc>
        <w:tc>
          <w:tcPr>
            <w:tcW w:w="3800" w:type="dxa"/>
            <w:vAlign w:val="bottom"/>
            <w:shd w:val="clear" w:color="auto" w:fill="E5E5E5"/>
          </w:tcPr>
          <w:p>
            <w:pPr>
              <w:ind w:left="360"/>
              <w:spacing w:after="0"/>
              <w:rPr>
                <w:sz w:val="20"/>
                <w:szCs w:val="20"/>
                <w:color w:val="auto"/>
              </w:rPr>
            </w:pPr>
            <w:r>
              <w:rPr>
                <w:rFonts w:ascii="Arial" w:cs="Arial" w:eastAsia="Arial" w:hAnsi="Arial"/>
                <w:sz w:val="13"/>
                <w:szCs w:val="13"/>
                <w:color w:val="auto"/>
              </w:rPr>
              <w:t>Class II (Term Ending 2026)</w:t>
            </w:r>
          </w:p>
        </w:tc>
      </w:tr>
      <w:tr>
        <w:trPr>
          <w:trHeight w:val="170"/>
        </w:trPr>
        <w:tc>
          <w:tcPr>
            <w:tcW w:w="1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Richard N. Kender</w:t>
            </w:r>
          </w:p>
        </w:tc>
        <w:tc>
          <w:tcPr>
            <w:tcW w:w="1100" w:type="dxa"/>
            <w:vAlign w:val="bottom"/>
          </w:tcPr>
          <w:p>
            <w:pPr>
              <w:jc w:val="center"/>
              <w:ind w:right="95"/>
              <w:spacing w:after="0"/>
              <w:rPr>
                <w:sz w:val="20"/>
                <w:szCs w:val="20"/>
                <w:color w:val="auto"/>
              </w:rPr>
            </w:pPr>
            <w:r>
              <w:rPr>
                <w:rFonts w:ascii="Arial" w:cs="Arial" w:eastAsia="Arial" w:hAnsi="Arial"/>
                <w:sz w:val="13"/>
                <w:szCs w:val="13"/>
                <w:color w:val="auto"/>
                <w:w w:val="96"/>
              </w:rPr>
              <w:t>68</w:t>
            </w:r>
          </w:p>
        </w:tc>
        <w:tc>
          <w:tcPr>
            <w:tcW w:w="1780" w:type="dxa"/>
            <w:vAlign w:val="bottom"/>
          </w:tcPr>
          <w:p>
            <w:pPr>
              <w:jc w:val="center"/>
              <w:ind w:left="55"/>
              <w:spacing w:after="0"/>
              <w:rPr>
                <w:sz w:val="20"/>
                <w:szCs w:val="20"/>
                <w:color w:val="auto"/>
              </w:rPr>
            </w:pPr>
            <w:r>
              <w:rPr>
                <w:rFonts w:ascii="Arial" w:cs="Arial" w:eastAsia="Arial" w:hAnsi="Arial"/>
                <w:sz w:val="13"/>
                <w:szCs w:val="13"/>
                <w:color w:val="auto"/>
              </w:rPr>
              <w:t>2014</w:t>
            </w:r>
          </w:p>
        </w:tc>
        <w:tc>
          <w:tcPr>
            <w:tcW w:w="23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800" w:type="dxa"/>
            <w:vAlign w:val="bottom"/>
          </w:tcPr>
          <w:p>
            <w:pPr>
              <w:ind w:left="360"/>
              <w:spacing w:after="0"/>
              <w:rPr>
                <w:sz w:val="20"/>
                <w:szCs w:val="20"/>
                <w:color w:val="auto"/>
              </w:rPr>
            </w:pPr>
            <w:r>
              <w:rPr>
                <w:rFonts w:ascii="Arial" w:cs="Arial" w:eastAsia="Arial" w:hAnsi="Arial"/>
                <w:sz w:val="13"/>
                <w:szCs w:val="13"/>
                <w:color w:val="auto"/>
              </w:rPr>
              <w:t>Class II (Term Ending 2026)</w:t>
            </w:r>
          </w:p>
        </w:tc>
      </w:tr>
      <w:tr>
        <w:trPr>
          <w:trHeight w:val="144"/>
        </w:trPr>
        <w:tc>
          <w:tcPr>
            <w:tcW w:w="12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line="144" w:lineRule="exact"/>
              <w:rPr>
                <w:sz w:val="20"/>
                <w:szCs w:val="20"/>
                <w:color w:val="auto"/>
              </w:rPr>
            </w:pPr>
            <w:r>
              <w:rPr>
                <w:rFonts w:ascii="Arial" w:cs="Arial" w:eastAsia="Arial" w:hAnsi="Arial"/>
                <w:sz w:val="13"/>
                <w:szCs w:val="13"/>
                <w:color w:val="auto"/>
              </w:rPr>
              <w:t>Eric D. Shaff</w:t>
            </w:r>
          </w:p>
        </w:tc>
        <w:tc>
          <w:tcPr>
            <w:tcW w:w="1100" w:type="dxa"/>
            <w:vAlign w:val="bottom"/>
            <w:shd w:val="clear" w:color="auto" w:fill="E5E5E5"/>
          </w:tcPr>
          <w:p>
            <w:pPr>
              <w:jc w:val="center"/>
              <w:ind w:right="95"/>
              <w:spacing w:after="0" w:line="144" w:lineRule="exact"/>
              <w:rPr>
                <w:sz w:val="20"/>
                <w:szCs w:val="20"/>
                <w:color w:val="auto"/>
              </w:rPr>
            </w:pPr>
            <w:r>
              <w:rPr>
                <w:rFonts w:ascii="Arial" w:cs="Arial" w:eastAsia="Arial" w:hAnsi="Arial"/>
                <w:sz w:val="13"/>
                <w:szCs w:val="13"/>
                <w:color w:val="auto"/>
                <w:w w:val="96"/>
              </w:rPr>
              <w:t>48</w:t>
            </w:r>
          </w:p>
        </w:tc>
        <w:tc>
          <w:tcPr>
            <w:tcW w:w="1780" w:type="dxa"/>
            <w:vAlign w:val="bottom"/>
            <w:shd w:val="clear" w:color="auto" w:fill="E5E5E5"/>
          </w:tcPr>
          <w:p>
            <w:pPr>
              <w:jc w:val="center"/>
              <w:ind w:left="55"/>
              <w:spacing w:after="0" w:line="144" w:lineRule="exact"/>
              <w:rPr>
                <w:sz w:val="20"/>
                <w:szCs w:val="20"/>
                <w:color w:val="auto"/>
              </w:rPr>
            </w:pPr>
            <w:r>
              <w:rPr>
                <w:rFonts w:ascii="Arial" w:cs="Arial" w:eastAsia="Arial" w:hAnsi="Arial"/>
                <w:sz w:val="13"/>
                <w:szCs w:val="13"/>
                <w:color w:val="auto"/>
              </w:rPr>
              <w:t>2019</w:t>
            </w:r>
          </w:p>
        </w:tc>
        <w:tc>
          <w:tcPr>
            <w:tcW w:w="2300" w:type="dxa"/>
            <w:vAlign w:val="bottom"/>
            <w:shd w:val="clear" w:color="auto" w:fill="E5E5E5"/>
          </w:tcPr>
          <w:p>
            <w:pPr>
              <w:ind w:left="400"/>
              <w:spacing w:after="0" w:line="144" w:lineRule="exact"/>
              <w:rPr>
                <w:sz w:val="20"/>
                <w:szCs w:val="20"/>
                <w:color w:val="auto"/>
              </w:rPr>
            </w:pPr>
            <w:r>
              <w:rPr>
                <w:rFonts w:ascii="Arial" w:cs="Arial" w:eastAsia="Arial" w:hAnsi="Arial"/>
                <w:sz w:val="13"/>
                <w:szCs w:val="13"/>
                <w:color w:val="auto"/>
              </w:rPr>
              <w:t>President, Chief Executive</w:t>
            </w:r>
          </w:p>
        </w:tc>
        <w:tc>
          <w:tcPr>
            <w:tcW w:w="3800" w:type="dxa"/>
            <w:vAlign w:val="bottom"/>
            <w:shd w:val="clear" w:color="auto" w:fill="E5E5E5"/>
          </w:tcPr>
          <w:p>
            <w:pPr>
              <w:ind w:left="360"/>
              <w:spacing w:after="0" w:line="144" w:lineRule="exact"/>
              <w:rPr>
                <w:sz w:val="20"/>
                <w:szCs w:val="20"/>
                <w:color w:val="auto"/>
              </w:rPr>
            </w:pPr>
            <w:r>
              <w:rPr>
                <w:rFonts w:ascii="Arial" w:cs="Arial" w:eastAsia="Arial" w:hAnsi="Arial"/>
                <w:sz w:val="13"/>
                <w:szCs w:val="13"/>
                <w:color w:val="auto"/>
              </w:rPr>
              <w:t>Class I (Term Ending 2025)</w:t>
            </w:r>
          </w:p>
        </w:tc>
      </w:tr>
      <w:tr>
        <w:trPr>
          <w:trHeight w:val="170"/>
        </w:trPr>
        <w:tc>
          <w:tcPr>
            <w:tcW w:w="1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94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2300" w:type="dxa"/>
            <w:vAlign w:val="bottom"/>
            <w:shd w:val="clear" w:color="auto" w:fill="E5E5E5"/>
          </w:tcPr>
          <w:p>
            <w:pPr>
              <w:ind w:left="440"/>
              <w:spacing w:after="0"/>
              <w:rPr>
                <w:sz w:val="20"/>
                <w:szCs w:val="20"/>
                <w:color w:val="auto"/>
              </w:rPr>
            </w:pPr>
            <w:r>
              <w:rPr>
                <w:rFonts w:ascii="Arial" w:cs="Arial" w:eastAsia="Arial" w:hAnsi="Arial"/>
                <w:sz w:val="13"/>
                <w:szCs w:val="13"/>
                <w:color w:val="auto"/>
              </w:rPr>
              <w:t>Officer and Director</w:t>
            </w:r>
          </w:p>
        </w:tc>
        <w:tc>
          <w:tcPr>
            <w:tcW w:w="3800" w:type="dxa"/>
            <w:vAlign w:val="bottom"/>
            <w:shd w:val="clear" w:color="auto" w:fill="E5E5E5"/>
          </w:tcPr>
          <w:p>
            <w:pPr>
              <w:spacing w:after="0"/>
              <w:rPr>
                <w:sz w:val="14"/>
                <w:szCs w:val="14"/>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occupations and business experience, for at least the past five years, of each Director (including the Class III Director nominees)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258445</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PAUL R. BIONDI</w:t>
      </w:r>
      <w:r>
        <w:rPr>
          <w:sz w:val="20"/>
          <w:szCs w:val="20"/>
          <w:color w:val="auto"/>
        </w:rPr>
        <w:tab/>
      </w:r>
      <w:r>
        <w:rPr>
          <w:rFonts w:ascii="Arial" w:cs="Arial" w:eastAsia="Arial" w:hAnsi="Arial"/>
          <w:sz w:val="17"/>
          <w:szCs w:val="17"/>
          <w:i w:val="1"/>
          <w:iCs w:val="1"/>
          <w:color w:val="auto"/>
        </w:rPr>
        <w:t>Age 54</w:t>
      </w:r>
    </w:p>
    <w:p>
      <w:pPr>
        <w:spacing w:after="0" w:line="8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Paul R. Biondi has served as a member of our Board of Directors since March 2020. Mr. Biondi is an Executive Partner and President of Pioneering Medicines at Flagship Pioneering, a life sciences innovation firm which conceives, creates, resources and develops first-in-category bioplatform companies,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-1141730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9"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KURT C. GRAVES</w:t>
      </w:r>
      <w:r>
        <w:rPr>
          <w:sz w:val="20"/>
          <w:szCs w:val="20"/>
          <w:color w:val="auto"/>
        </w:rPr>
        <w:tab/>
      </w:r>
      <w:r>
        <w:rPr>
          <w:rFonts w:ascii="Arial" w:cs="Arial" w:eastAsia="Arial" w:hAnsi="Arial"/>
          <w:sz w:val="17"/>
          <w:szCs w:val="17"/>
          <w:i w:val="1"/>
          <w:iCs w:val="1"/>
          <w:color w:val="auto"/>
        </w:rPr>
        <w:t>Age 56</w:t>
      </w:r>
    </w:p>
    <w:p>
      <w:pPr>
        <w:spacing w:after="0" w:line="8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Kurt C. Graves has served as a member of our Board of Directors since November 2015. Mr. Graves has served as the Chairman, President and Chief Executive Officer of i20 Therapeutics, Inc., a biotechnology company, since August 2023, and he previously served as the Executive Chairman of its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-1637665</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DENNIS A. AUSIELLO, M.D.</w:t>
      </w:r>
      <w:r>
        <w:rPr>
          <w:sz w:val="20"/>
          <w:szCs w:val="20"/>
          <w:color w:val="auto"/>
        </w:rPr>
        <w:tab/>
      </w:r>
      <w:r>
        <w:rPr>
          <w:rFonts w:ascii="Arial" w:cs="Arial" w:eastAsia="Arial" w:hAnsi="Arial"/>
          <w:sz w:val="17"/>
          <w:szCs w:val="17"/>
          <w:i w:val="1"/>
          <w:iCs w:val="1"/>
          <w:color w:val="auto"/>
        </w:rPr>
        <w:t>Age 78</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3" w:name="page14"/>
    <w:bookmarkEnd w:id="13"/>
    <w:p>
      <w:pPr>
        <w:spacing w:after="0" w:line="246" w:lineRule="auto"/>
        <w:rPr>
          <w:sz w:val="20"/>
          <w:szCs w:val="20"/>
          <w:color w:val="auto"/>
        </w:rPr>
      </w:pPr>
      <w:r>
        <w:rPr>
          <w:rFonts w:ascii="Arial" w:cs="Arial" w:eastAsia="Arial" w:hAnsi="Arial"/>
          <w:sz w:val="17"/>
          <w:szCs w:val="17"/>
          <w:color w:val="auto"/>
        </w:rPr>
        <w:t>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as Vice Chairman of the board of directors of Spexis AG, a clinical-stage biopharmaceutical company, since December 2021,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STEPHEN A. BERENSON</w:t>
      </w:r>
      <w:r>
        <w:rPr>
          <w:sz w:val="20"/>
          <w:szCs w:val="20"/>
          <w:color w:val="auto"/>
        </w:rPr>
        <w:tab/>
      </w:r>
      <w:r>
        <w:rPr>
          <w:rFonts w:ascii="Arial" w:cs="Arial" w:eastAsia="Arial" w:hAnsi="Arial"/>
          <w:sz w:val="17"/>
          <w:szCs w:val="17"/>
          <w:i w:val="1"/>
          <w:iCs w:val="1"/>
          <w:color w:val="auto"/>
        </w:rPr>
        <w:t>Age 63</w:t>
      </w:r>
    </w:p>
    <w:p>
      <w:pPr>
        <w:spacing w:after="0" w:line="8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Stephen A. Berenson has served as Chairman of our Board of Directors since December 2019 and as a member of our Board of Directors since August 2019. Mr. Berenson has been a Managing Partner at Flagship Pioneering, a life sciences innovation firm which conceives, creates, resources and develops first-in-category bioplatform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pharmaceutical company, since July 2021, and has served on the board of directors of Moderna, Inc., a pharmaceutical and biotechnology company, since October 2017.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-1264285</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122555</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WILLARD H. DERE, M.D.</w:t>
      </w:r>
      <w:r>
        <w:rPr>
          <w:sz w:val="20"/>
          <w:szCs w:val="20"/>
          <w:color w:val="auto"/>
        </w:rPr>
        <w:tab/>
      </w:r>
      <w:r>
        <w:rPr>
          <w:rFonts w:ascii="Arial" w:cs="Arial" w:eastAsia="Arial" w:hAnsi="Arial"/>
          <w:sz w:val="17"/>
          <w:szCs w:val="17"/>
          <w:i w:val="1"/>
          <w:iCs w:val="1"/>
          <w:color w:val="auto"/>
        </w:rPr>
        <w:t>Age 70</w:t>
      </w:r>
    </w:p>
    <w:p>
      <w:pPr>
        <w:spacing w:after="0" w:line="8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Willard H. Dere, M.D., has served as a member our Board of Directors since July 2017. Dr. Dere has been Professor Emeritus, Department of Internal Medicine, at the University of Utah School of Medicine since July 2022. Prior to retirement, and beginning in November 2014,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Mersana Therapeutics, Inc. since 2018, and Metagenomi, Inc. since August 2021,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-1384935</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250825</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CLAIRE M. FRASER, PH.D.</w:t>
      </w:r>
      <w:r>
        <w:rPr>
          <w:sz w:val="20"/>
          <w:szCs w:val="20"/>
          <w:color w:val="auto"/>
        </w:rPr>
        <w:tab/>
      </w:r>
      <w:r>
        <w:rPr>
          <w:rFonts w:ascii="Arial" w:cs="Arial" w:eastAsia="Arial" w:hAnsi="Arial"/>
          <w:sz w:val="17"/>
          <w:szCs w:val="17"/>
          <w:i w:val="1"/>
          <w:iCs w:val="1"/>
          <w:color w:val="auto"/>
        </w:rPr>
        <w:t>Age 68</w:t>
      </w:r>
    </w:p>
    <w:p>
      <w:pPr>
        <w:spacing w:after="0" w:line="8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Claire M. Fraser, Ph.D., has served as a member of our Board of Directors since January 2023. Since 2007, Dr. Fraser has been the director of the Institute for Genome Sciences and a Professor of Medicine and Microbiology and Immunology at the University of Maryland School of Medicine in Baltimore, Maryland. From 1998 to 2007, she served as president and director of The Institute for Genomic Research, a not-for-profit research organization engaged in human and microbial genomics studies. Dr. Fraser has served on the board of directors of Becton, Dickinson, and Company, a medical technology company, since 2006, and previously served as the Chair of the Board and a director of the American Association for the Advancement of Science. Dr. Fraser received her bachelor’s degree in Biology from Rensselaer Polytechnic Institute and her Ph.D. in Pharmacology from State University of New York-Buffalo. We believe Dr. Fraser is qualified to serve on our Board of Directors due to her extensive academic experience and her knowledge of the microbiome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-1014730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90"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RICHARD N. KENDER</w:t>
      </w:r>
      <w:r>
        <w:rPr>
          <w:sz w:val="20"/>
          <w:szCs w:val="20"/>
          <w:color w:val="auto"/>
        </w:rPr>
        <w:tab/>
      </w:r>
      <w:r>
        <w:rPr>
          <w:rFonts w:ascii="Arial" w:cs="Arial" w:eastAsia="Arial" w:hAnsi="Arial"/>
          <w:sz w:val="17"/>
          <w:szCs w:val="17"/>
          <w:i w:val="1"/>
          <w:iCs w:val="1"/>
          <w:color w:val="auto"/>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4" w:name="page15"/>
    <w:bookmarkEnd w:id="14"/>
    <w:p>
      <w:pPr>
        <w:ind w:right="160"/>
        <w:spacing w:after="0" w:line="246" w:lineRule="auto"/>
        <w:rPr>
          <w:sz w:val="20"/>
          <w:szCs w:val="20"/>
          <w:color w:val="auto"/>
        </w:rPr>
      </w:pPr>
      <w:r>
        <w:rPr>
          <w:rFonts w:ascii="Arial" w:cs="Arial" w:eastAsia="Arial" w:hAnsi="Arial"/>
          <w:sz w:val="17"/>
          <w:szCs w:val="17"/>
          <w:color w:val="auto"/>
        </w:rPr>
        <w:t>Richard N. Kender has served as a member of our Board of Directors since October 2014. From October 1978 to September 2013, Mr. Kender held positions in a variety of corporate areas at Merck &amp; Co., Inc., or Merck, a pharmaceutical company, most recently serving as Senior Vice President of Business Development and Corporate Licensing. Mr. Kender has served on the boards of directors of Poxel S.A., a clinical stage biopharmaceutical company, since March 2015 and Bicycle Therapeutics PLC since July 2019. He previously served on the boards of directors of INC Research Holdings, Inc. (now known as Syneos Health) between December 2014 and August 2017, Abide Therapeutics, Inc., a privately held company, between December 2015 and May 2019,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tabs>
          <w:tab w:leader="none" w:pos="10240" w:val="left"/>
        </w:tabs>
        <w:rPr>
          <w:sz w:val="20"/>
          <w:szCs w:val="20"/>
          <w:color w:val="auto"/>
        </w:rPr>
      </w:pPr>
      <w:r>
        <w:rPr>
          <w:rFonts w:ascii="Arial" w:cs="Arial" w:eastAsia="Arial" w:hAnsi="Arial"/>
          <w:sz w:val="17"/>
          <w:szCs w:val="17"/>
          <w:b w:val="1"/>
          <w:bCs w:val="1"/>
          <w:color w:val="auto"/>
        </w:rPr>
        <w:t>ERIC D. SHAFF</w:t>
      </w:r>
      <w:r>
        <w:rPr>
          <w:sz w:val="20"/>
          <w:szCs w:val="20"/>
          <w:color w:val="auto"/>
        </w:rPr>
        <w:tab/>
      </w:r>
      <w:r>
        <w:rPr>
          <w:rFonts w:ascii="Arial" w:cs="Arial" w:eastAsia="Arial" w:hAnsi="Arial"/>
          <w:sz w:val="17"/>
          <w:szCs w:val="17"/>
          <w:i w:val="1"/>
          <w:iCs w:val="1"/>
          <w:color w:val="auto"/>
        </w:rPr>
        <w:t>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5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Eric D. Shaff has served as our President and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3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Board Diversity Matrix (as of March 5,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46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7"/>
                <w:szCs w:val="17"/>
                <w:color w:val="auto"/>
              </w:rPr>
              <w:t>Board Size (Total Number of Directors): 8</w:t>
            </w:r>
          </w:p>
        </w:tc>
        <w:tc>
          <w:tcPr>
            <w:tcW w:w="1120" w:type="dxa"/>
            <w:vAlign w:val="bottom"/>
            <w:tcBorders>
              <w:top w:val="single" w:sz="8" w:color="auto"/>
            </w:tcBorders>
            <w:shd w:val="clear" w:color="auto" w:fill="E5E5E5"/>
          </w:tcPr>
          <w:p>
            <w:pPr>
              <w:spacing w:after="0"/>
              <w:rPr>
                <w:sz w:val="18"/>
                <w:szCs w:val="18"/>
                <w:color w:val="auto"/>
              </w:rPr>
            </w:pPr>
          </w:p>
        </w:tc>
        <w:tc>
          <w:tcPr>
            <w:tcW w:w="2140" w:type="dxa"/>
            <w:vAlign w:val="bottom"/>
            <w:tcBorders>
              <w:top w:val="single" w:sz="8" w:color="auto"/>
            </w:tcBorders>
            <w:shd w:val="clear" w:color="auto" w:fill="E5E5E5"/>
          </w:tcPr>
          <w:p>
            <w:pPr>
              <w:spacing w:after="0"/>
              <w:rPr>
                <w:sz w:val="18"/>
                <w:szCs w:val="18"/>
                <w:color w:val="auto"/>
              </w:rPr>
            </w:pPr>
          </w:p>
        </w:tc>
        <w:tc>
          <w:tcPr>
            <w:tcW w:w="3400" w:type="dxa"/>
            <w:vAlign w:val="bottom"/>
            <w:tcBorders>
              <w:top w:val="single" w:sz="8" w:color="auto"/>
            </w:tcBorders>
            <w:shd w:val="clear" w:color="auto" w:fill="E5E5E5"/>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20" w:type="dxa"/>
            <w:vAlign w:val="bottom"/>
          </w:tcPr>
          <w:p>
            <w:pPr>
              <w:ind w:left="140"/>
              <w:spacing w:after="0"/>
              <w:rPr>
                <w:sz w:val="20"/>
                <w:szCs w:val="20"/>
                <w:color w:val="auto"/>
              </w:rPr>
            </w:pPr>
            <w:r>
              <w:rPr>
                <w:rFonts w:ascii="Arial" w:cs="Arial" w:eastAsia="Arial" w:hAnsi="Arial"/>
                <w:sz w:val="17"/>
                <w:szCs w:val="17"/>
                <w:b w:val="1"/>
                <w:bCs w:val="1"/>
                <w:color w:val="auto"/>
              </w:rPr>
              <w:t>Female</w:t>
            </w:r>
          </w:p>
        </w:tc>
        <w:tc>
          <w:tcPr>
            <w:tcW w:w="2140" w:type="dxa"/>
            <w:vAlign w:val="bottom"/>
          </w:tcPr>
          <w:p>
            <w:pPr>
              <w:ind w:left="980"/>
              <w:spacing w:after="0"/>
              <w:rPr>
                <w:sz w:val="20"/>
                <w:szCs w:val="20"/>
                <w:color w:val="auto"/>
              </w:rPr>
            </w:pPr>
            <w:r>
              <w:rPr>
                <w:rFonts w:ascii="Arial" w:cs="Arial" w:eastAsia="Arial" w:hAnsi="Arial"/>
                <w:sz w:val="17"/>
                <w:szCs w:val="17"/>
                <w:b w:val="1"/>
                <w:bCs w:val="1"/>
                <w:color w:val="auto"/>
              </w:rPr>
              <w:t>Male</w:t>
            </w:r>
          </w:p>
        </w:tc>
        <w:tc>
          <w:tcPr>
            <w:tcW w:w="3400" w:type="dxa"/>
            <w:vAlign w:val="bottom"/>
          </w:tcPr>
          <w:p>
            <w:pPr>
              <w:ind w:left="780"/>
              <w:spacing w:after="0"/>
              <w:rPr>
                <w:sz w:val="20"/>
                <w:szCs w:val="20"/>
                <w:color w:val="auto"/>
              </w:rPr>
            </w:pPr>
            <w:r>
              <w:rPr>
                <w:rFonts w:ascii="Arial" w:cs="Arial" w:eastAsia="Arial" w:hAnsi="Arial"/>
                <w:sz w:val="17"/>
                <w:szCs w:val="17"/>
                <w:b w:val="1"/>
                <w:bCs w:val="1"/>
                <w:color w:val="auto"/>
              </w:rPr>
              <w:t>Non-Binary</w:t>
            </w: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shd w:val="clear" w:color="auto" w:fill="E5E5E5"/>
          </w:tcPr>
          <w:p>
            <w:pPr>
              <w:ind w:left="120"/>
              <w:spacing w:after="0"/>
              <w:rPr>
                <w:sz w:val="20"/>
                <w:szCs w:val="20"/>
                <w:color w:val="auto"/>
              </w:rPr>
            </w:pPr>
            <w:r>
              <w:rPr>
                <w:rFonts w:ascii="Arial" w:cs="Arial" w:eastAsia="Arial" w:hAnsi="Arial"/>
                <w:sz w:val="17"/>
                <w:szCs w:val="17"/>
                <w:b w:val="1"/>
                <w:bCs w:val="1"/>
                <w:color w:val="auto"/>
              </w:rPr>
              <w:t>Part I: Gender Identity</w:t>
            </w:r>
          </w:p>
        </w:tc>
        <w:tc>
          <w:tcPr>
            <w:tcW w:w="1120" w:type="dxa"/>
            <w:vAlign w:val="bottom"/>
            <w:shd w:val="clear" w:color="auto" w:fill="E5E5E5"/>
          </w:tcPr>
          <w:p>
            <w:pPr>
              <w:spacing w:after="0"/>
              <w:rPr>
                <w:sz w:val="19"/>
                <w:szCs w:val="19"/>
                <w:color w:val="auto"/>
              </w:rPr>
            </w:pPr>
          </w:p>
        </w:tc>
        <w:tc>
          <w:tcPr>
            <w:tcW w:w="2140" w:type="dxa"/>
            <w:vAlign w:val="bottom"/>
            <w:shd w:val="clear" w:color="auto" w:fill="E5E5E5"/>
          </w:tcPr>
          <w:p>
            <w:pPr>
              <w:spacing w:after="0"/>
              <w:rPr>
                <w:sz w:val="19"/>
                <w:szCs w:val="19"/>
                <w:color w:val="auto"/>
              </w:rPr>
            </w:pPr>
          </w:p>
        </w:tc>
        <w:tc>
          <w:tcPr>
            <w:tcW w:w="3400" w:type="dxa"/>
            <w:vAlign w:val="bottom"/>
            <w:shd w:val="clear" w:color="auto" w:fill="E5E5E5"/>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tcPr>
          <w:p>
            <w:pPr>
              <w:ind w:left="120"/>
              <w:spacing w:after="0"/>
              <w:rPr>
                <w:sz w:val="20"/>
                <w:szCs w:val="20"/>
                <w:color w:val="auto"/>
              </w:rPr>
            </w:pPr>
            <w:r>
              <w:rPr>
                <w:rFonts w:ascii="Arial" w:cs="Arial" w:eastAsia="Arial" w:hAnsi="Arial"/>
                <w:sz w:val="17"/>
                <w:szCs w:val="17"/>
                <w:color w:val="auto"/>
              </w:rPr>
              <w:t>Directors</w:t>
            </w:r>
          </w:p>
        </w:tc>
        <w:tc>
          <w:tcPr>
            <w:tcW w:w="1120" w:type="dxa"/>
            <w:vAlign w:val="bottom"/>
          </w:tcPr>
          <w:p>
            <w:pPr>
              <w:ind w:left="140"/>
              <w:spacing w:after="0"/>
              <w:rPr>
                <w:sz w:val="20"/>
                <w:szCs w:val="20"/>
                <w:color w:val="auto"/>
              </w:rPr>
            </w:pPr>
            <w:r>
              <w:rPr>
                <w:rFonts w:ascii="Arial" w:cs="Arial" w:eastAsia="Arial" w:hAnsi="Arial"/>
                <w:sz w:val="17"/>
                <w:szCs w:val="17"/>
                <w:color w:val="auto"/>
              </w:rPr>
              <w:t>1</w:t>
            </w:r>
          </w:p>
        </w:tc>
        <w:tc>
          <w:tcPr>
            <w:tcW w:w="2140" w:type="dxa"/>
            <w:vAlign w:val="bottom"/>
          </w:tcPr>
          <w:p>
            <w:pPr>
              <w:ind w:left="980"/>
              <w:spacing w:after="0"/>
              <w:rPr>
                <w:sz w:val="20"/>
                <w:szCs w:val="20"/>
                <w:color w:val="auto"/>
              </w:rPr>
            </w:pPr>
            <w:r>
              <w:rPr>
                <w:rFonts w:ascii="Arial" w:cs="Arial" w:eastAsia="Arial" w:hAnsi="Arial"/>
                <w:sz w:val="17"/>
                <w:szCs w:val="17"/>
                <w:color w:val="auto"/>
              </w:rPr>
              <w:t>7</w:t>
            </w:r>
          </w:p>
        </w:tc>
        <w:tc>
          <w:tcPr>
            <w:tcW w:w="3400" w:type="dxa"/>
            <w:vAlign w:val="bottom"/>
          </w:tcPr>
          <w:p>
            <w:pPr>
              <w:ind w:left="7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shd w:val="clear" w:color="auto" w:fill="E5E5E5"/>
          </w:tcPr>
          <w:p>
            <w:pPr>
              <w:ind w:left="120"/>
              <w:spacing w:after="0"/>
              <w:rPr>
                <w:sz w:val="20"/>
                <w:szCs w:val="20"/>
                <w:color w:val="auto"/>
              </w:rPr>
            </w:pPr>
            <w:r>
              <w:rPr>
                <w:rFonts w:ascii="Arial" w:cs="Arial" w:eastAsia="Arial" w:hAnsi="Arial"/>
                <w:sz w:val="17"/>
                <w:szCs w:val="17"/>
                <w:b w:val="1"/>
                <w:bCs w:val="1"/>
                <w:color w:val="auto"/>
              </w:rPr>
              <w:t>Part II: Demographic Background</w:t>
            </w:r>
          </w:p>
        </w:tc>
        <w:tc>
          <w:tcPr>
            <w:tcW w:w="1120" w:type="dxa"/>
            <w:vAlign w:val="bottom"/>
            <w:shd w:val="clear" w:color="auto" w:fill="E5E5E5"/>
          </w:tcPr>
          <w:p>
            <w:pPr>
              <w:spacing w:after="0"/>
              <w:rPr>
                <w:sz w:val="19"/>
                <w:szCs w:val="19"/>
                <w:color w:val="auto"/>
              </w:rPr>
            </w:pPr>
          </w:p>
        </w:tc>
        <w:tc>
          <w:tcPr>
            <w:tcW w:w="2140" w:type="dxa"/>
            <w:vAlign w:val="bottom"/>
            <w:shd w:val="clear" w:color="auto" w:fill="E5E5E5"/>
          </w:tcPr>
          <w:p>
            <w:pPr>
              <w:spacing w:after="0"/>
              <w:rPr>
                <w:sz w:val="19"/>
                <w:szCs w:val="19"/>
                <w:color w:val="auto"/>
              </w:rPr>
            </w:pPr>
          </w:p>
        </w:tc>
        <w:tc>
          <w:tcPr>
            <w:tcW w:w="3400" w:type="dxa"/>
            <w:vAlign w:val="bottom"/>
            <w:shd w:val="clear" w:color="auto" w:fill="E5E5E5"/>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tcPr>
          <w:p>
            <w:pPr>
              <w:ind w:left="120"/>
              <w:spacing w:after="0"/>
              <w:rPr>
                <w:sz w:val="20"/>
                <w:szCs w:val="20"/>
                <w:color w:val="auto"/>
              </w:rPr>
            </w:pPr>
            <w:r>
              <w:rPr>
                <w:rFonts w:ascii="Arial" w:cs="Arial" w:eastAsia="Arial" w:hAnsi="Arial"/>
                <w:sz w:val="17"/>
                <w:szCs w:val="17"/>
                <w:color w:val="auto"/>
              </w:rPr>
              <w:t>Asian</w:t>
            </w:r>
          </w:p>
        </w:tc>
        <w:tc>
          <w:tcPr>
            <w:tcW w:w="1120" w:type="dxa"/>
            <w:vAlign w:val="bottom"/>
          </w:tcPr>
          <w:p>
            <w:pPr>
              <w:ind w:left="140"/>
              <w:spacing w:after="0"/>
              <w:rPr>
                <w:sz w:val="20"/>
                <w:szCs w:val="20"/>
                <w:color w:val="auto"/>
              </w:rPr>
            </w:pPr>
            <w:r>
              <w:rPr>
                <w:rFonts w:ascii="Arial" w:cs="Arial" w:eastAsia="Arial" w:hAnsi="Arial"/>
                <w:sz w:val="17"/>
                <w:szCs w:val="17"/>
                <w:color w:val="auto"/>
              </w:rPr>
              <w:t>-</w:t>
            </w:r>
          </w:p>
        </w:tc>
        <w:tc>
          <w:tcPr>
            <w:tcW w:w="2140" w:type="dxa"/>
            <w:vAlign w:val="bottom"/>
          </w:tcPr>
          <w:p>
            <w:pPr>
              <w:ind w:left="980"/>
              <w:spacing w:after="0"/>
              <w:rPr>
                <w:sz w:val="20"/>
                <w:szCs w:val="20"/>
                <w:color w:val="auto"/>
              </w:rPr>
            </w:pPr>
            <w:r>
              <w:rPr>
                <w:rFonts w:ascii="Arial" w:cs="Arial" w:eastAsia="Arial" w:hAnsi="Arial"/>
                <w:sz w:val="17"/>
                <w:szCs w:val="17"/>
                <w:color w:val="auto"/>
              </w:rPr>
              <w:t>2</w:t>
            </w:r>
          </w:p>
        </w:tc>
        <w:tc>
          <w:tcPr>
            <w:tcW w:w="3400" w:type="dxa"/>
            <w:vAlign w:val="bottom"/>
          </w:tcPr>
          <w:p>
            <w:pPr>
              <w:ind w:left="7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White</w:t>
            </w:r>
          </w:p>
        </w:tc>
        <w:tc>
          <w:tcPr>
            <w:tcW w:w="1120" w:type="dxa"/>
            <w:vAlign w:val="bottom"/>
            <w:shd w:val="clear" w:color="auto" w:fill="E5E5E5"/>
          </w:tcPr>
          <w:p>
            <w:pPr>
              <w:ind w:left="140"/>
              <w:spacing w:after="0"/>
              <w:rPr>
                <w:sz w:val="20"/>
                <w:szCs w:val="20"/>
                <w:color w:val="auto"/>
              </w:rPr>
            </w:pPr>
            <w:r>
              <w:rPr>
                <w:rFonts w:ascii="Arial" w:cs="Arial" w:eastAsia="Arial" w:hAnsi="Arial"/>
                <w:sz w:val="17"/>
                <w:szCs w:val="17"/>
                <w:color w:val="auto"/>
              </w:rPr>
              <w:t>1</w:t>
            </w:r>
          </w:p>
        </w:tc>
        <w:tc>
          <w:tcPr>
            <w:tcW w:w="2140" w:type="dxa"/>
            <w:vAlign w:val="bottom"/>
            <w:shd w:val="clear" w:color="auto" w:fill="E5E5E5"/>
          </w:tcPr>
          <w:p>
            <w:pPr>
              <w:ind w:left="980"/>
              <w:spacing w:after="0"/>
              <w:rPr>
                <w:sz w:val="20"/>
                <w:szCs w:val="20"/>
                <w:color w:val="auto"/>
              </w:rPr>
            </w:pPr>
            <w:r>
              <w:rPr>
                <w:rFonts w:ascii="Arial" w:cs="Arial" w:eastAsia="Arial" w:hAnsi="Arial"/>
                <w:sz w:val="17"/>
                <w:szCs w:val="17"/>
                <w:color w:val="auto"/>
              </w:rPr>
              <w:t>6</w:t>
            </w:r>
          </w:p>
        </w:tc>
        <w:tc>
          <w:tcPr>
            <w:tcW w:w="3400" w:type="dxa"/>
            <w:vAlign w:val="bottom"/>
            <w:shd w:val="clear" w:color="auto" w:fill="E5E5E5"/>
          </w:tcPr>
          <w:p>
            <w:pPr>
              <w:ind w:left="7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34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Two or More Races or Ethnicities</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14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1</w:t>
            </w:r>
          </w:p>
        </w:tc>
        <w:tc>
          <w:tcPr>
            <w:tcW w:w="34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r>
      <w:tr>
        <w:trPr>
          <w:trHeight w:val="520"/>
        </w:trPr>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ind w:left="380"/>
              <w:spacing w:after="0"/>
              <w:rPr>
                <w:sz w:val="20"/>
                <w:szCs w:val="20"/>
                <w:color w:val="auto"/>
              </w:rPr>
            </w:pPr>
            <w:r>
              <w:rPr>
                <w:rFonts w:ascii="Arial" w:cs="Arial" w:eastAsia="Arial" w:hAnsi="Arial"/>
                <w:sz w:val="17"/>
                <w:szCs w:val="17"/>
                <w:color w:val="auto"/>
              </w:rPr>
              <w:t>10</w:t>
            </w:r>
          </w:p>
        </w:tc>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22"/>
        </w:trPr>
        <w:tc>
          <w:tcPr>
            <w:tcW w:w="5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PROPOSAL 2</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0"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Audit Committee of the Board of Directors (the “Audit Committee”) has appointed PricewaterhouseCoopers LLP as our independent registered public accounting firm for the fiscal year ending December 31, 2024.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15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PricewaterhouseCoopers LLP also served as our independent registered public accounting firm for the fiscal year ended December 31, 2023.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event that the appointment of PricewaterhouseCoopers LLP is not ratified by the stockholders, the Audit Committee will consider this fact when it appoints the independent auditors for the fiscal year ending December 31, 2025. Even if the appointment of PricewaterhouseCoopers LLP is ratified, the Audit Committee retains the discretion to appoint a different independent auditor at any time if it determines that such a change is in the interest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6" w:lineRule="exact"/>
        <w:rPr>
          <w:sz w:val="20"/>
          <w:szCs w:val="20"/>
          <w:color w:val="auto"/>
        </w:rPr>
      </w:pPr>
    </w:p>
    <w:p>
      <w:pPr>
        <w:ind w:left="520" w:right="100"/>
        <w:spacing w:after="0" w:line="295" w:lineRule="auto"/>
        <w:rPr>
          <w:sz w:val="20"/>
          <w:szCs w:val="20"/>
          <w:color w:val="auto"/>
        </w:rPr>
      </w:pPr>
      <w:r>
        <w:rPr>
          <w:rFonts w:ascii="Arial" w:cs="Arial" w:eastAsia="Arial" w:hAnsi="Arial"/>
          <w:sz w:val="17"/>
          <w:szCs w:val="17"/>
          <w:b w:val="1"/>
          <w:bCs w:val="1"/>
          <w:color w:val="auto"/>
        </w:rPr>
        <w:t>The Board of Directors unanimously recommends a vote “FOR” the Ratification of the Appointment of PricewaterhouseCoopers LLP as our Independent Registered Public Accounting Firm.</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PROPOSAL 3</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ask our stockholders to vote “FOR” the following resolution at the Annual Meeting:</w:t>
      </w:r>
    </w:p>
    <w:p>
      <w:pPr>
        <w:spacing w:after="0" w:line="197" w:lineRule="exact"/>
        <w:rPr>
          <w:sz w:val="20"/>
          <w:szCs w:val="20"/>
          <w:color w:val="auto"/>
        </w:rPr>
      </w:pPr>
    </w:p>
    <w:p>
      <w:pPr>
        <w:ind w:left="1160"/>
        <w:spacing w:after="0" w:line="256" w:lineRule="auto"/>
        <w:rPr>
          <w:sz w:val="20"/>
          <w:szCs w:val="20"/>
          <w:color w:val="auto"/>
        </w:rPr>
      </w:pPr>
      <w:r>
        <w:rPr>
          <w:rFonts w:ascii="Arial" w:cs="Arial" w:eastAsia="Arial" w:hAnsi="Arial"/>
          <w:sz w:val="17"/>
          <w:szCs w:val="17"/>
          <w:color w:val="auto"/>
        </w:rPr>
        <w:t>“RESOLVED, that the Company’s stockholders approve, by a non-binding advisory vote, the compensation of the named executive officers, as disclosed in the Company’s Proxy Statement for the 2024 Annual Meeting of Stockholders pursuant to the compensation disclosure rules of the Securities and Exchange Commission, including the compensation tables and narrative discussion.”</w:t>
      </w:r>
    </w:p>
    <w:p>
      <w:pPr>
        <w:spacing w:after="0" w:line="3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believe that our compensation programs and policies for the year ended December 31, 2023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155"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At our 2023 Annual Meeting of Stockholders, approximately 99.4% of the votes cast on the “say-on-pay” proposal were voted “FOR” the proposal. The Board of Directors values constructive dialogue on executive compensation and other significant governance topics with our stockholders and encourages all stockholders to vote their shares on this important matter.</w:t>
      </w:r>
    </w:p>
    <w:p>
      <w:pPr>
        <w:spacing w:after="0" w:line="157"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At our 2021 Annual Meeting of Stockholders held on June 16, 2021, our stockholders recommended, on an advisory basis, that the stockholder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Annual Meeting) is expected to occur at the 2025 Annual Meeting of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3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approval, on an advisory (non-binding) basis, of the compensation of our named executive officers will require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6" w:lineRule="exact"/>
        <w:rPr>
          <w:sz w:val="20"/>
          <w:szCs w:val="20"/>
          <w:color w:val="auto"/>
        </w:rPr>
      </w:pPr>
    </w:p>
    <w:p>
      <w:pPr>
        <w:ind w:left="520" w:right="780"/>
        <w:spacing w:after="0" w:line="295" w:lineRule="auto"/>
        <w:rPr>
          <w:sz w:val="20"/>
          <w:szCs w:val="20"/>
          <w:color w:val="auto"/>
        </w:rPr>
      </w:pPr>
      <w:r>
        <w:rPr>
          <w:rFonts w:ascii="Arial" w:cs="Arial" w:eastAsia="Arial" w:hAnsi="Arial"/>
          <w:sz w:val="17"/>
          <w:szCs w:val="17"/>
          <w:b w:val="1"/>
          <w:bCs w:val="1"/>
          <w:color w:val="auto"/>
        </w:rPr>
        <w:t>The Board of Directors unanimously recommends a vote “FOR” the approval, on an advisory (non-binding) basis, of the compensation of our named executive officers.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678815</wp:posOffset>
            </wp:positionV>
            <wp:extent cx="7136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PROPOSAL 4</w:t>
      </w:r>
    </w:p>
    <w:p>
      <w:pPr>
        <w:spacing w:after="0" w:line="17"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b w:val="1"/>
          <w:bCs w:val="1"/>
          <w:color w:val="auto"/>
        </w:rPr>
        <w:t>Approval of an Amendment to Our Restated Certificate of Incorporation to Increase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6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Restated Certificate of Incorporation, as amended (our “Restated Certificate of Incorporation”), currently authorizes the issuance of 240,000,000 shares of Common Stock, par value $0.001 per share. On February 22, 2024, our Board adopted a resolution to amend the Restated Certificate of Incorporation, subject to stockholder approval, by increasing the number of authorized shares of our Common Stock to 360,000,000 shares (the “Share Increase Amendment”). The additional 120,000,000 shares of Common Stock authorized for issuance pursuant to the proposed Share Increase Amendment would be part of the existing class of Common Stock and, if and when issued, would have the same rights and privileges as the shares of Common Stock presently issued and outstanding. The holders of Common Stock are not entitled to preemptive rights or cumulative voting.</w:t>
      </w:r>
    </w:p>
    <w:p>
      <w:pPr>
        <w:spacing w:after="0" w:line="162"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The Share Increase Amendment will not affect the number of authorized shares of preferred stock of the Company, par value $0.001 per share, which is 10,000,000 shares. Currently, there are no shares of preferred stock issued and outstanding.</w:t>
      </w:r>
    </w:p>
    <w:p>
      <w:pPr>
        <w:spacing w:after="0" w:line="128"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If our stockholders approve this proposal, then the first sentence of Article FOURTH of our Restated Certificate of Incorporation will be deleted and replaced in its entirety to read as follows:</w:t>
      </w:r>
    </w:p>
    <w:p>
      <w:pPr>
        <w:spacing w:after="0" w:line="128" w:lineRule="exact"/>
        <w:rPr>
          <w:sz w:val="20"/>
          <w:szCs w:val="20"/>
          <w:color w:val="auto"/>
        </w:rPr>
      </w:pPr>
    </w:p>
    <w:p>
      <w:pPr>
        <w:ind w:left="520"/>
        <w:spacing w:after="0" w:line="262" w:lineRule="auto"/>
        <w:rPr>
          <w:sz w:val="20"/>
          <w:szCs w:val="20"/>
          <w:color w:val="auto"/>
        </w:rPr>
      </w:pPr>
      <w:r>
        <w:rPr>
          <w:rFonts w:ascii="Arial" w:cs="Arial" w:eastAsia="Arial" w:hAnsi="Arial"/>
          <w:sz w:val="17"/>
          <w:szCs w:val="17"/>
          <w:color w:val="auto"/>
        </w:rPr>
        <w:t>“The total number of shares of all classes of stock that the Corporation shall have authority to issue is 370,000,000 shares, consisting of (a) 360,000,000 shares of Common Stock, $0.001 par value per share (“Common Stock”), and (b) 10,000,000 shares of Preferred Stock, $0.001 par value per share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Share Increase Amendment</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believes it is in the best interests of the Company and our stockholders to increase our authorized shares of Common Stock in order to have additional shares available for use as our Board deems appropriate or necessary. As such, the primary purpose of the Share Increase Amendment is to provide the Company with greater flexibility with respect to managing its Common Stock in connection with such corporate purposes as may, from time to time, be considered advisable by our Board.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capitalization. Our Board will determine whether, when and on what terms the issuance of shares of Common Stock may be warranted in connection with any of the foregoing purposes.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Approval of Proposed Amendment</w:t>
      </w:r>
    </w:p>
    <w:p>
      <w:pPr>
        <w:spacing w:after="0" w:line="19"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The following table illustrates the effect the proposed Share Increase Amendment would have on the number of shares of Common stock available for issuance, if approved by our stockholders:</w:t>
      </w:r>
    </w:p>
    <w:p>
      <w:pPr>
        <w:spacing w:after="0" w:line="15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7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120"/>
              <w:spacing w:after="0"/>
              <w:rPr>
                <w:sz w:val="20"/>
                <w:szCs w:val="20"/>
                <w:color w:val="auto"/>
              </w:rPr>
            </w:pPr>
            <w:r>
              <w:rPr>
                <w:rFonts w:ascii="Arial" w:cs="Arial" w:eastAsia="Arial" w:hAnsi="Arial"/>
                <w:sz w:val="13"/>
                <w:szCs w:val="13"/>
                <w:color w:val="auto"/>
              </w:rPr>
              <w:t>Upon Effectiveness of</w:t>
            </w:r>
          </w:p>
        </w:tc>
      </w:tr>
      <w:tr>
        <w:trPr>
          <w:trHeight w:val="189"/>
        </w:trPr>
        <w:tc>
          <w:tcPr>
            <w:tcW w:w="7120" w:type="dxa"/>
            <w:vAlign w:val="bottom"/>
          </w:tcPr>
          <w:p>
            <w:pPr>
              <w:spacing w:after="0"/>
              <w:rPr>
                <w:sz w:val="16"/>
                <w:szCs w:val="16"/>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As of March 1, 2024</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Amendment</w:t>
            </w:r>
          </w:p>
        </w:tc>
        <w:tc>
          <w:tcPr>
            <w:tcW w:w="100" w:type="dxa"/>
            <w:vAlign w:val="bottom"/>
          </w:tcPr>
          <w:p>
            <w:pPr>
              <w:spacing w:after="0"/>
              <w:rPr>
                <w:sz w:val="16"/>
                <w:szCs w:val="16"/>
                <w:color w:val="auto"/>
              </w:rPr>
            </w:pPr>
          </w:p>
        </w:tc>
      </w:tr>
      <w:tr>
        <w:trPr>
          <w:trHeight w:val="170"/>
        </w:trPr>
        <w:tc>
          <w:tcPr>
            <w:tcW w:w="7120" w:type="dxa"/>
            <w:vAlign w:val="bottom"/>
            <w:shd w:val="clear" w:color="auto" w:fill="D9D9D9"/>
          </w:tcPr>
          <w:p>
            <w:pPr>
              <w:ind w:left="20"/>
              <w:spacing w:after="0"/>
              <w:rPr>
                <w:sz w:val="20"/>
                <w:szCs w:val="20"/>
                <w:color w:val="auto"/>
              </w:rPr>
            </w:pPr>
            <w:r>
              <w:rPr>
                <w:rFonts w:ascii="Arial" w:cs="Arial" w:eastAsia="Arial" w:hAnsi="Arial"/>
                <w:sz w:val="13"/>
                <w:szCs w:val="13"/>
                <w:b w:val="1"/>
                <w:bCs w:val="1"/>
                <w:color w:val="auto"/>
              </w:rPr>
              <w:t>TOTAL AUTHORIZED SHARES OF COMMON STOCK</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240,000,000</w:t>
            </w: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360,000,000</w:t>
            </w:r>
          </w:p>
        </w:tc>
        <w:tc>
          <w:tcPr>
            <w:tcW w:w="100" w:type="dxa"/>
            <w:vAlign w:val="bottom"/>
            <w:shd w:val="clear" w:color="auto" w:fill="D9D9D9"/>
          </w:tcPr>
          <w:p>
            <w:pPr>
              <w:spacing w:after="0"/>
              <w:rPr>
                <w:sz w:val="14"/>
                <w:szCs w:val="14"/>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Outstanding shares of Common Stock</w:t>
            </w:r>
          </w:p>
        </w:tc>
        <w:tc>
          <w:tcPr>
            <w:tcW w:w="1360" w:type="dxa"/>
            <w:vAlign w:val="bottom"/>
          </w:tcPr>
          <w:p>
            <w:pPr>
              <w:jc w:val="right"/>
              <w:spacing w:after="0"/>
              <w:rPr>
                <w:sz w:val="20"/>
                <w:szCs w:val="20"/>
                <w:color w:val="auto"/>
              </w:rPr>
            </w:pPr>
            <w:r>
              <w:rPr>
                <w:rFonts w:ascii="Arial" w:cs="Arial" w:eastAsia="Arial" w:hAnsi="Arial"/>
                <w:sz w:val="13"/>
                <w:szCs w:val="13"/>
                <w:color w:val="auto"/>
              </w:rPr>
              <w:t>151,009,462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151,009,462</w:t>
            </w:r>
          </w:p>
        </w:tc>
        <w:tc>
          <w:tcPr>
            <w:tcW w:w="100" w:type="dxa"/>
            <w:vAlign w:val="bottom"/>
          </w:tcPr>
          <w:p>
            <w:pPr>
              <w:spacing w:after="0"/>
              <w:rPr>
                <w:sz w:val="14"/>
                <w:szCs w:val="14"/>
                <w:color w:val="auto"/>
              </w:rPr>
            </w:pPr>
          </w:p>
        </w:tc>
      </w:tr>
      <w:tr>
        <w:trPr>
          <w:trHeight w:val="170"/>
        </w:trPr>
        <w:tc>
          <w:tcPr>
            <w:tcW w:w="7120" w:type="dxa"/>
            <w:vAlign w:val="bottom"/>
            <w:shd w:val="clear" w:color="auto" w:fill="D9D9D9"/>
          </w:tcPr>
          <w:p>
            <w:pPr>
              <w:ind w:left="20"/>
              <w:spacing w:after="0"/>
              <w:rPr>
                <w:sz w:val="20"/>
                <w:szCs w:val="20"/>
                <w:color w:val="auto"/>
              </w:rPr>
            </w:pPr>
            <w:r>
              <w:rPr>
                <w:rFonts w:ascii="Arial" w:cs="Arial" w:eastAsia="Arial" w:hAnsi="Arial"/>
                <w:sz w:val="13"/>
                <w:szCs w:val="13"/>
                <w:color w:val="auto"/>
              </w:rPr>
              <w:t>Shares of Common Stock authorized for future issuance under the Company’s incentive plans</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3,458,907</w:t>
            </w: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3,458,907</w:t>
            </w:r>
          </w:p>
        </w:tc>
        <w:tc>
          <w:tcPr>
            <w:tcW w:w="100" w:type="dxa"/>
            <w:vAlign w:val="bottom"/>
            <w:shd w:val="clear" w:color="auto" w:fill="D9D9D9"/>
          </w:tcPr>
          <w:p>
            <w:pPr>
              <w:spacing w:after="0"/>
              <w:rPr>
                <w:sz w:val="14"/>
                <w:szCs w:val="14"/>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Shares of Common Stock authorized for future issuance under the Company’s employee stock purchase plan</w:t>
            </w:r>
          </w:p>
        </w:tc>
        <w:tc>
          <w:tcPr>
            <w:tcW w:w="1360" w:type="dxa"/>
            <w:vAlign w:val="bottom"/>
          </w:tcPr>
          <w:p>
            <w:pPr>
              <w:jc w:val="right"/>
              <w:spacing w:after="0"/>
              <w:rPr>
                <w:sz w:val="20"/>
                <w:szCs w:val="20"/>
                <w:color w:val="auto"/>
              </w:rPr>
            </w:pPr>
            <w:r>
              <w:rPr>
                <w:rFonts w:ascii="Arial" w:cs="Arial" w:eastAsia="Arial" w:hAnsi="Arial"/>
                <w:sz w:val="13"/>
                <w:szCs w:val="13"/>
                <w:color w:val="auto"/>
              </w:rPr>
              <w:t>2,666,512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2,666,512</w:t>
            </w:r>
          </w:p>
        </w:tc>
        <w:tc>
          <w:tcPr>
            <w:tcW w:w="100" w:type="dxa"/>
            <w:vAlign w:val="bottom"/>
          </w:tcPr>
          <w:p>
            <w:pPr>
              <w:spacing w:after="0"/>
              <w:rPr>
                <w:sz w:val="14"/>
                <w:szCs w:val="14"/>
                <w:color w:val="auto"/>
              </w:rPr>
            </w:pPr>
          </w:p>
        </w:tc>
      </w:tr>
      <w:tr>
        <w:trPr>
          <w:trHeight w:val="170"/>
        </w:trPr>
        <w:tc>
          <w:tcPr>
            <w:tcW w:w="7120" w:type="dxa"/>
            <w:vAlign w:val="bottom"/>
            <w:shd w:val="clear" w:color="auto" w:fill="D9D9D9"/>
          </w:tcPr>
          <w:p>
            <w:pPr>
              <w:ind w:left="20"/>
              <w:spacing w:after="0"/>
              <w:rPr>
                <w:sz w:val="20"/>
                <w:szCs w:val="20"/>
                <w:color w:val="auto"/>
              </w:rPr>
            </w:pPr>
            <w:r>
              <w:rPr>
                <w:rFonts w:ascii="Arial" w:cs="Arial" w:eastAsia="Arial" w:hAnsi="Arial"/>
                <w:sz w:val="13"/>
                <w:szCs w:val="13"/>
                <w:color w:val="auto"/>
              </w:rPr>
              <w:t>Shares of Common Stock subject to outstanding equity awards under the Company’s incentive plans</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17,633,793</w:t>
            </w: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17,633,793</w:t>
            </w:r>
          </w:p>
        </w:tc>
        <w:tc>
          <w:tcPr>
            <w:tcW w:w="100" w:type="dxa"/>
            <w:vAlign w:val="bottom"/>
            <w:shd w:val="clear" w:color="auto" w:fill="D9D9D9"/>
          </w:tcPr>
          <w:p>
            <w:pPr>
              <w:spacing w:after="0"/>
              <w:rPr>
                <w:sz w:val="14"/>
                <w:szCs w:val="14"/>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Shares of Common Stock issuable upon exercise of outstanding warrants</w:t>
            </w:r>
          </w:p>
        </w:tc>
        <w:tc>
          <w:tcPr>
            <w:tcW w:w="1360" w:type="dxa"/>
            <w:vAlign w:val="bottom"/>
          </w:tcPr>
          <w:p>
            <w:pPr>
              <w:jc w:val="right"/>
              <w:spacing w:after="0"/>
              <w:rPr>
                <w:sz w:val="20"/>
                <w:szCs w:val="20"/>
                <w:color w:val="auto"/>
              </w:rPr>
            </w:pPr>
            <w:r>
              <w:rPr>
                <w:rFonts w:ascii="Arial" w:cs="Arial" w:eastAsia="Arial" w:hAnsi="Arial"/>
                <w:sz w:val="13"/>
                <w:szCs w:val="13"/>
                <w:color w:val="auto"/>
              </w:rPr>
              <w:t>1,177,433</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1,177,433</w:t>
            </w:r>
          </w:p>
        </w:tc>
        <w:tc>
          <w:tcPr>
            <w:tcW w:w="100" w:type="dxa"/>
            <w:vAlign w:val="bottom"/>
          </w:tcPr>
          <w:p>
            <w:pPr>
              <w:spacing w:after="0"/>
              <w:rPr>
                <w:sz w:val="14"/>
                <w:szCs w:val="14"/>
                <w:color w:val="auto"/>
              </w:rPr>
            </w:pPr>
          </w:p>
        </w:tc>
      </w:tr>
      <w:tr>
        <w:trPr>
          <w:trHeight w:val="170"/>
        </w:trPr>
        <w:tc>
          <w:tcPr>
            <w:tcW w:w="7120" w:type="dxa"/>
            <w:vAlign w:val="bottom"/>
            <w:shd w:val="clear" w:color="auto" w:fill="D9D9D9"/>
          </w:tcPr>
          <w:p>
            <w:pPr>
              <w:ind w:left="20"/>
              <w:spacing w:after="0"/>
              <w:rPr>
                <w:sz w:val="20"/>
                <w:szCs w:val="20"/>
                <w:color w:val="auto"/>
              </w:rPr>
            </w:pPr>
            <w:r>
              <w:rPr>
                <w:rFonts w:ascii="Arial" w:cs="Arial" w:eastAsia="Arial" w:hAnsi="Arial"/>
                <w:sz w:val="13"/>
                <w:szCs w:val="13"/>
                <w:color w:val="auto"/>
              </w:rPr>
              <w:t>Total outstanding shares of Common Stock and shares of Common Stock Reserved</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175,946,107</w:t>
            </w: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175,946,107</w:t>
            </w:r>
          </w:p>
        </w:tc>
        <w:tc>
          <w:tcPr>
            <w:tcW w:w="100" w:type="dxa"/>
            <w:vAlign w:val="bottom"/>
            <w:shd w:val="clear" w:color="auto" w:fill="D9D9D9"/>
          </w:tcPr>
          <w:p>
            <w:pPr>
              <w:spacing w:after="0"/>
              <w:rPr>
                <w:sz w:val="14"/>
                <w:szCs w:val="14"/>
                <w:color w:val="auto"/>
              </w:rPr>
            </w:pPr>
          </w:p>
        </w:tc>
      </w:tr>
      <w:tr>
        <w:trPr>
          <w:trHeight w:val="179"/>
        </w:trPr>
        <w:tc>
          <w:tcPr>
            <w:tcW w:w="7120" w:type="dxa"/>
            <w:vAlign w:val="bottom"/>
          </w:tcPr>
          <w:p>
            <w:pPr>
              <w:ind w:left="20"/>
              <w:spacing w:after="0"/>
              <w:rPr>
                <w:sz w:val="20"/>
                <w:szCs w:val="20"/>
                <w:color w:val="auto"/>
              </w:rPr>
            </w:pPr>
            <w:r>
              <w:rPr>
                <w:rFonts w:ascii="Arial" w:cs="Arial" w:eastAsia="Arial" w:hAnsi="Arial"/>
                <w:sz w:val="13"/>
                <w:szCs w:val="13"/>
                <w:color w:val="auto"/>
              </w:rPr>
              <w:t>Unreserved shares of Common Stock available for issuance(1)</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64,053,893</w:t>
            </w:r>
          </w:p>
        </w:tc>
        <w:tc>
          <w:tcPr>
            <w:tcW w:w="1540" w:type="dxa"/>
            <w:vAlign w:val="bottom"/>
            <w:gridSpan w:val="2"/>
          </w:tcPr>
          <w:p>
            <w:pPr>
              <w:jc w:val="right"/>
              <w:spacing w:after="0"/>
              <w:rPr>
                <w:sz w:val="20"/>
                <w:szCs w:val="20"/>
                <w:color w:val="auto"/>
              </w:rPr>
            </w:pPr>
            <w:r>
              <w:rPr>
                <w:rFonts w:ascii="Arial" w:cs="Arial" w:eastAsia="Arial" w:hAnsi="Arial"/>
                <w:sz w:val="13"/>
                <w:szCs w:val="13"/>
                <w:b w:val="1"/>
                <w:bCs w:val="1"/>
                <w:color w:val="auto"/>
              </w:rPr>
              <w:t>184,053,893</w:t>
            </w:r>
          </w:p>
        </w:tc>
        <w:tc>
          <w:tcPr>
            <w:tcW w:w="100" w:type="dxa"/>
            <w:vAlign w:val="bottom"/>
          </w:tcPr>
          <w:p>
            <w:pPr>
              <w:spacing w:after="0"/>
              <w:rPr>
                <w:sz w:val="15"/>
                <w:szCs w:val="15"/>
                <w:color w:val="auto"/>
              </w:rPr>
            </w:pPr>
          </w:p>
        </w:tc>
      </w:tr>
    </w:tbl>
    <w:p>
      <w:pPr>
        <w:spacing w:after="0" w:line="17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(1)</w:t>
        <w:tab/>
        <w:t>Includes shares of Common Stock, if any, that may be issued under the “at the market" equity offering program.</w:t>
      </w:r>
    </w:p>
    <w:p>
      <w:pPr>
        <w:spacing w:after="0" w:line="18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Other than shares that will be reserved for issuance under our existing incentive plans, employee stock purchase plan, and "at the market" equity offering program, we do not currently have any arrangements, agreements or understandings that would require the issuance of additional shares of Common Stock . Because our directors and executive officers have outstanding equity awards under our incentive plans, and may be granted additional equity awards under these plans, they may be deemed to have an indirect interest in the Share Increase Amendment because, absent the amendment, the Company may not have sufficient authorized shares to make future awards.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8" w:name="page19"/>
    <w:bookmarkEnd w:id="18"/>
    <w:p>
      <w:pPr>
        <w:ind w:right="480"/>
        <w:spacing w:after="0" w:line="251" w:lineRule="auto"/>
        <w:rPr>
          <w:sz w:val="20"/>
          <w:szCs w:val="20"/>
          <w:color w:val="auto"/>
        </w:rPr>
      </w:pPr>
      <w:r>
        <w:rPr>
          <w:rFonts w:ascii="Arial" w:cs="Arial" w:eastAsia="Arial" w:hAnsi="Arial"/>
          <w:sz w:val="17"/>
          <w:szCs w:val="17"/>
          <w:color w:val="auto"/>
        </w:rPr>
        <w:t>The Share Increase Amendment will not have any immediate effect on the rights of existing stockholders. However, our Board will have the authority to issue authorized Common Stock without requiring future stockholder approval of such issuances, except as may be required by applicable law or rules of the Nasdaq Stock Market. Future issuances of Common Stock or securities convertible into or exchangeable for Common Stock could have a dilutive effect on our earnings per share, book value per share and the voting power and interest of current stockholders.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If the Share Increase Amendment is approved by stockholders, all other sections of the Restated Certificate of Incorporation would be maintained in their current form. The Share Increase Amendment would become effective upon the filing of a Certificate of Amendment to our Restated Certificate of Incorporation with the Secretary of State of the State of Delaware, which the Company intends to do promptly after the Annual Meeting if this Proposal is approved by stockholders. In the event that the Share Increase Amendment is not approved by our stockholders at the Annual Meeting, the current Restated Certificate of Incorporation would remain in effect in its entirety. Our Board reserves the right, notwithstanding stockholder approval of the Share Increase Amendment and without further action by our stockholders, not to proceed with the Share Increase Amendment at any time before it becomes effective.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Anti-Takeover Effect</w:t>
      </w:r>
    </w:p>
    <w:p>
      <w:pPr>
        <w:spacing w:after="0" w:line="1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Our Board has not proposed the Share Increase Amendment with the intention of discouraging tender offers or takeover attempts of the Company. However, the availability of additional authorized shares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w:t>
      </w:r>
    </w:p>
    <w:p>
      <w:pPr>
        <w:spacing w:after="0" w:line="19" w:lineRule="exact"/>
        <w:rPr>
          <w:sz w:val="20"/>
          <w:szCs w:val="20"/>
          <w:color w:val="auto"/>
        </w:rPr>
      </w:pPr>
    </w:p>
    <w:p>
      <w:pPr>
        <w:ind w:right="1000"/>
        <w:spacing w:after="0" w:line="263" w:lineRule="auto"/>
        <w:rPr>
          <w:sz w:val="20"/>
          <w:szCs w:val="20"/>
          <w:color w:val="auto"/>
        </w:rPr>
      </w:pPr>
      <w:r>
        <w:rPr>
          <w:rFonts w:ascii="Arial" w:cs="Arial" w:eastAsia="Arial" w:hAnsi="Arial"/>
          <w:sz w:val="17"/>
          <w:szCs w:val="17"/>
          <w:color w:val="auto"/>
        </w:rPr>
        <w:t>Under Delaware law, stockholders are not entitled to appraisal rights with respect to the Share Increase Amendment, and we will not independently provide our stockholders with any such right.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approval of the Share Increase Amendment will require the affirmative vote of the holders of a majority of the stock of the Company entitled to vote at the Annual Meeting. Abstentions will have the same effect as votes against this Proposal. Because brokers have discretionary authority to vote on this Proposal, we do not expect any broker non-votes in connection with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9" w:lineRule="exact"/>
        <w:rPr>
          <w:sz w:val="20"/>
          <w:szCs w:val="20"/>
          <w:color w:val="auto"/>
        </w:rPr>
      </w:pPr>
    </w:p>
    <w:p>
      <w:pPr>
        <w:ind w:left="520" w:right="380"/>
        <w:spacing w:after="0" w:line="295" w:lineRule="auto"/>
        <w:rPr>
          <w:sz w:val="20"/>
          <w:szCs w:val="20"/>
          <w:color w:val="auto"/>
        </w:rPr>
      </w:pPr>
      <w:r>
        <w:rPr>
          <w:rFonts w:ascii="Arial" w:cs="Arial" w:eastAsia="Arial" w:hAnsi="Arial"/>
          <w:sz w:val="17"/>
          <w:szCs w:val="17"/>
          <w:b w:val="1"/>
          <w:bCs w:val="1"/>
          <w:color w:val="auto"/>
        </w:rPr>
        <w:t>The Board of Directors unanimously recommends a vote “FOR” the approval of an amendment to our Restated Certificate of Incorporation to increase the number of authorized shares of common stock.</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82" w:right="37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8255"/>
                    </a:xfrm>
                    <a:prstGeom prst="rect">
                      <a:avLst/>
                    </a:prstGeom>
                    <a:noFill/>
                  </pic:spPr>
                </pic:pic>
              </a:graphicData>
            </a:graphic>
          </wp:anchor>
        </w:drawing>
        <w:t>PROPOSAL 5</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of an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87"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Our stockholders are being asked to approve an adjournment of the Annual Meeting, if necessary, to solicit additional proxies if there are not sufficient votes at the time of the Annual Meeting to approve Proposal 4.</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approval of an adjournment of the Annual Meeting, if necessary, to solicit additional proxies if there are not sufficient votes at the time of the Annual Meeting to approve Proposal 4 will require the affirmative vote of the holders of a majority of voting power of the votes cast affirmatively or negatively. Abstentions will have no effect on this Proposal. Because brokers have discretionary authority to vote on this Proposal, we do not expect any broker non-votes in connection with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6" w:lineRule="exact"/>
        <w:rPr>
          <w:sz w:val="20"/>
          <w:szCs w:val="20"/>
          <w:color w:val="auto"/>
        </w:rPr>
      </w:pPr>
    </w:p>
    <w:p>
      <w:pPr>
        <w:ind w:left="520" w:right="180"/>
        <w:spacing w:after="0" w:line="295" w:lineRule="auto"/>
        <w:rPr>
          <w:sz w:val="20"/>
          <w:szCs w:val="20"/>
          <w:color w:val="auto"/>
        </w:rPr>
      </w:pPr>
      <w:r>
        <w:rPr>
          <w:rFonts w:ascii="Arial" w:cs="Arial" w:eastAsia="Arial" w:hAnsi="Arial"/>
          <w:sz w:val="17"/>
          <w:szCs w:val="17"/>
          <w:b w:val="1"/>
          <w:bCs w:val="1"/>
          <w:color w:val="auto"/>
        </w:rPr>
        <w:t>The Board of Directors unanimously recommends a vote “FOR” the approval of an adjournment of the Annual Meeting, if necessary, to solicit additional proxies if there are not sufficient votes at the time of the Annual Meeting to approve Proposal 4.</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313" w:right="37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PROPOSAL 6</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 on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Kenneth Steiner, whose listed address is 14 Stoner Avenue, 2M, Great Neck, New York 11021, has notified us of his intent to present the following proposal at the Annual Meeting. The stockholder proposal is required to be voted upon at our Annual Meeting only if properly presented by or on behalf of Mr. Steiner. Mr. Steiner has provided his proxy for John Chevedden to act on Mr. Steiner’s behalf with respect to the proposal. We are not responsible for the accuracy or content of the proposal or supporting statement, which are presented below as received from the stockholder proponent in accordance with SEC rules. We will promptly provide you with the number of voting securities held by Mr. Steiner, to our knowledge, upon receiving a written or oral request at c/o Secretary, Seres Therapeutics, Inc., 101 Cambridgepark Drive, Cambridge, MA 02140, or by phone at: (617) 945-9626.</w:t>
      </w:r>
    </w:p>
    <w:p>
      <w:pPr>
        <w:spacing w:after="0" w:line="167" w:lineRule="exact"/>
        <w:rPr>
          <w:sz w:val="20"/>
          <w:szCs w:val="20"/>
          <w:color w:val="auto"/>
        </w:rPr>
      </w:pPr>
    </w:p>
    <w:p>
      <w:pPr>
        <w:jc w:val="both"/>
        <w:ind w:right="560"/>
        <w:spacing w:after="0" w:line="262" w:lineRule="auto"/>
        <w:rPr>
          <w:sz w:val="20"/>
          <w:szCs w:val="20"/>
          <w:color w:val="auto"/>
        </w:rPr>
      </w:pPr>
      <w:r>
        <w:rPr>
          <w:rFonts w:ascii="Arial" w:cs="Arial" w:eastAsia="Arial" w:hAnsi="Arial"/>
          <w:sz w:val="17"/>
          <w:szCs w:val="17"/>
          <w:color w:val="auto"/>
        </w:rPr>
        <w:t>If properly presented at the Annual Meeting by or on behalf of the stockholder proponent, our Board of Directors opposes and unanimously recommends that you vote “AGAINST” the Stockholder Proposal for the reasons stated under “Statement in Opposition to the Stockholder Proposal.”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6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137160</wp:posOffset>
            </wp:positionV>
            <wp:extent cx="1753235" cy="349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323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35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Please vote yes:</w:t>
      </w:r>
    </w:p>
    <w:p>
      <w:pPr>
        <w:spacing w:after="0" w:line="195"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Simple Majority Vote – Proposal 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IN OPPOSITION TO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stockholder proposal broadly requests that every voting requirement in our Restated Certificate of Incorporation or Amended and Restated Bylaws that calls for a greater than simple majority vote, regardless of what the voting requirement is or what it addresses, be replaced by a blanket “majority of vote cast” standard or “a simple majority in compliance with applicable laws”. The Board has given careful consideration to the stockholder proposal and, for the following reasons, does not believe that this stockholder proposal would enhance the Company’s corporate governance or be in the best interests of the Company or its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Existing Supermajority Voting Thresholds Apply in Limited Circumstances</w:t>
      </w:r>
    </w:p>
    <w:p>
      <w:pPr>
        <w:spacing w:after="0" w:line="1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Apart from the election of directors, the Company’s current governance documents require the vote of a majority of the shares present and entitled to vote for all matters submitted for stockholder approval, except in certain limited circumstances, including approving the removal of directors or modifying the Amended and Restated Bylaws or certain sections of the Company’s Restated Certificate of Incorporation. Under the proposed standard, however, only a “majority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of the votes cast” or “a simple majority in compliance with applicable laws” would be required to approve such fundamental corporate actions.</w:t>
      </w:r>
    </w:p>
    <w:p>
      <w:pPr>
        <w:spacing w:after="0" w:line="19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Board believes that in certain limited circumstances, the higher voting requirements are appropriate and desirable, because certain fundamental matters should require the support of a broad consensus of the Company’s stockholders, rather than a simple majority of the votes present at a meeting. The Board believes that the limited supermajority requirements the Company has in place are appropriate to maintain the stability of our operations, while striking an appropriate balance that allows for fundamental changes where there is strong stockholder consensus. In this manner, supermajority thresholds also assist in maximizing long-term value to all stockholders and have the effect of deterring hostile takeovers of our Company that may not be in the best interests of the Company and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Existing Supermajority Voting Thresholds Benefit a Wide Base of Stockholders</w:t>
      </w:r>
    </w:p>
    <w:p>
      <w:pPr>
        <w:spacing w:after="0" w:line="1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stockholder proposal’s request to eliminate all supermajority provisions would leave our stockholders vulnerable to self-interested and potentially abusive actions proposed by small groups of stockholders who hold a large number of shares and who may seek to, and with a simple majority standard be more easily able to, advance their own interests over the interests of all of the Company’s other stockholders.</w:t>
      </w:r>
    </w:p>
    <w:p>
      <w:pPr>
        <w:spacing w:after="0" w:line="15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For example, if the stockholder proposal were implemented and a quorum of 50.1% of the Company’s outstanding shares was present at a stockholders meeting, certain fundamental matters, such as amending the Company’s Amended and Restated Bylaws, could be adopted by stockholders who hold 25.1% of the Company’s outstanding shares. As of February 1, 2024, based on publicly available information filed pursuant to Section 13 of the Exchange Act, four of the Company’s largest stockholders held an aggregate of approximately 40% of the Company’s outstanding shares. If this stockholder proposal were implemented, it would be possible for just two of our largest stockholders to, without any other stockholder support, approve a proposal amending our Amended and Restated Bylaws. As such, if this stockholder proposal is approved, a very small group of stockholders, who are not bound by a fiduciary duty to act in the best interests of the Company and its stockholders, would have outsized power to act in their own respective self-interests, potentially to the detriment of the Company and the Company’s other stockholders.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Current Governance Structure Promotes Effective Board Oversight</w:t>
      </w:r>
    </w:p>
    <w:p>
      <w:pPr>
        <w:spacing w:after="0" w:line="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stockholder proposal is both vague and overbroad in that it does not specify which provisions that the stockholder proponent is seeking to change. The Board and the Nominating and Corporate Governance Committee of the Board of Directors (the “Nominating and Corporate Governance Committee”) do not believe that indiscriminate elimination of all supermajority voting requirements and the imposition of a blanket “majority of votes cast” or “simple majority in compliance with applicable laws” standard, without regard for how such a voting requirement would apply to each provision it impacts, or how that, in turn, would impact the Company’s stockholders, would be in the best interests of our stockholders. Our Board is committed to effective corporate governance and has adopted a wide range of practices and procedures that promote effective Board oversight. For example:</w:t>
      </w:r>
    </w:p>
    <w:p>
      <w:pPr>
        <w:spacing w:after="0" w:line="176" w:lineRule="exact"/>
        <w:rPr>
          <w:sz w:val="20"/>
          <w:szCs w:val="20"/>
          <w:color w:val="auto"/>
        </w:rPr>
      </w:pPr>
    </w:p>
    <w:p>
      <w:pPr>
        <w:ind w:left="10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an independent Chairman of the Board;</w:t>
      </w:r>
    </w:p>
    <w:p>
      <w:pPr>
        <w:spacing w:after="0" w:line="29" w:lineRule="exact"/>
        <w:rPr>
          <w:rFonts w:ascii="Times New Roman" w:cs="Times New Roman" w:eastAsia="Times New Roman" w:hAnsi="Times New Roman"/>
          <w:sz w:val="17"/>
          <w:szCs w:val="17"/>
          <w:color w:val="auto"/>
        </w:rPr>
      </w:pPr>
    </w:p>
    <w:p>
      <w:pPr>
        <w:ind w:left="1020" w:right="26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Board is comprised of a substantial majority of independent directors (7 of 8 directors are independent), and all of the Board’s standing committees are comprised entirely of independent directors;</w:t>
      </w:r>
    </w:p>
    <w:p>
      <w:pPr>
        <w:ind w:left="1020" w:right="2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adopted anti-hedging and anti-pledging policies that align our directors’ and executive officers’ interests with those of our stockholders;</w:t>
      </w:r>
    </w:p>
    <w:p>
      <w:pPr>
        <w:ind w:left="1020" w:right="6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Nominating and Corporate Governance Committee oversees an annual evaluation process of the Board and its standing committees;</w:t>
      </w:r>
    </w:p>
    <w:p>
      <w:pPr>
        <w:ind w:left="10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all director nominees are evaluated in the same manner by the Nominating and Corporate Governance Committee, without regard to the source of the nominee recommendation;</w:t>
      </w:r>
    </w:p>
    <w:p>
      <w:pPr>
        <w:ind w:left="10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executive sessions of independent directors are held at every regular Board meeting and each standing committee meeting;</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disclose a clear mechanism that enables stockholders to communicate directly with the Board;</w:t>
      </w:r>
    </w:p>
    <w:p>
      <w:pPr>
        <w:spacing w:after="0" w:line="13" w:lineRule="exact"/>
        <w:rPr>
          <w:rFonts w:ascii="Times New Roman" w:cs="Times New Roman" w:eastAsia="Times New Roman" w:hAnsi="Times New Roman"/>
          <w:sz w:val="17"/>
          <w:szCs w:val="17"/>
          <w:color w:val="auto"/>
        </w:rPr>
      </w:pPr>
    </w:p>
    <w:p>
      <w:pPr>
        <w:ind w:left="1020" w:right="5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Nominating and Corporate Governance Committee and the Board engage in an ongoing review and refreshment of Board membership; and</w:t>
      </w:r>
    </w:p>
    <w:p>
      <w:pPr>
        <w:ind w:left="1020" w:hanging="507"/>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hold an annual say-on-pay vote.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Consistent with its current practice, the Board will continue to evaluate the future implementation of appropriate corporate governance changes.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However, the Board strongly urges an AGAINST vote on this stockholder proposal that risks:</w:t>
      </w:r>
    </w:p>
    <w:p>
      <w:pPr>
        <w:spacing w:after="0" w:line="197" w:lineRule="exact"/>
        <w:rPr>
          <w:sz w:val="20"/>
          <w:szCs w:val="20"/>
          <w:color w:val="auto"/>
        </w:rPr>
      </w:pPr>
    </w:p>
    <w:p>
      <w:pPr>
        <w:ind w:left="1020" w:right="200" w:hanging="507"/>
        <w:spacing w:after="0" w:line="250"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disrupting an appropriate balance between safeguarding the stability of our operations while allowing fundamental changes where there is wide stockholder consensus;</w:t>
      </w:r>
    </w:p>
    <w:p>
      <w:pPr>
        <w:ind w:left="1020" w:right="60" w:hanging="507"/>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a small minority of stockholders who hold a large amount of the Company’s outstanding shares and who have no fiduciary duty to the Company and its stockholders with the ability to, without wide stockholder consensus, act in their own respective self-interests, potentially to the detriment of the Company and the Company’s other stockholders; and</w:t>
      </w:r>
    </w:p>
    <w:p>
      <w:pPr>
        <w:spacing w:after="0" w:line="1" w:lineRule="exact"/>
        <w:rPr>
          <w:rFonts w:ascii="Times New Roman" w:cs="Times New Roman" w:eastAsia="Times New Roman" w:hAnsi="Times New Roman"/>
          <w:sz w:val="17"/>
          <w:szCs w:val="17"/>
          <w:color w:val="auto"/>
        </w:rPr>
      </w:pPr>
    </w:p>
    <w:p>
      <w:pPr>
        <w:ind w:left="1020" w:right="100" w:hanging="507"/>
        <w:spacing w:after="0" w:line="251"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indiscriminately eliminating all supermajority voting requirements in our Restated Certificate of Incorporation and Amended and Restated Bylaws, without regard for how such a voting requirement would apply to each provision it impacts, or how such a change would impact the Company’s stockholders.</w:t>
      </w:r>
    </w:p>
    <w:p>
      <w:pPr>
        <w:spacing w:after="0" w:line="155" w:lineRule="exact"/>
        <w:rPr>
          <w:sz w:val="20"/>
          <w:szCs w:val="20"/>
          <w:color w:val="auto"/>
        </w:rPr>
      </w:pPr>
    </w:p>
    <w:p>
      <w:pPr>
        <w:ind w:right="760"/>
        <w:spacing w:after="0" w:line="497" w:lineRule="auto"/>
        <w:rPr>
          <w:sz w:val="20"/>
          <w:szCs w:val="20"/>
          <w:color w:val="auto"/>
        </w:rPr>
      </w:pPr>
      <w:r>
        <w:rPr>
          <w:rFonts w:ascii="Arial" w:cs="Arial" w:eastAsia="Arial" w:hAnsi="Arial"/>
          <w:sz w:val="17"/>
          <w:szCs w:val="17"/>
          <w:color w:val="auto"/>
        </w:rPr>
        <w:t xml:space="preserve">For these reasons, the Board does not believe it is in the best interests of stockholders to implement the stockholder proposal’s request. </w:t>
      </w:r>
      <w:r>
        <w:rPr>
          <w:rFonts w:ascii="Arial" w:cs="Arial" w:eastAsia="Arial" w:hAnsi="Arial"/>
          <w:sz w:val="17"/>
          <w:szCs w:val="17"/>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36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7"/>
          <w:szCs w:val="17"/>
          <w:color w:val="auto"/>
        </w:rPr>
        <w:t>The approval of the stockholder proposal on simple majority vote will require the affirmative vote of the holders of a majority of voting power of the votes cast affirmatively or negatively. Abstentions and broker non-votes are not considered to be votes cast and, accordingly, will have no effect on the outcome of the vote on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unanimously recommends a vote “AGAINST” the stockholder proposal on simple majority vote.</w:t>
      </w:r>
    </w:p>
    <w:p>
      <w:pPr>
        <w:spacing w:after="0" w:line="10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2"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825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Audit Committee has reviewed the audited consolidated financial statements of the Company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155"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2023.</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Richard N. Kender (Chair)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Claire M. Fraser, Ph.D.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Willard H. Dere, M.D.</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180" w:right="4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825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color w:val="auto"/>
              </w:rPr>
              <w:t>Fee Category</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2023</w:t>
            </w:r>
          </w:p>
        </w:tc>
        <w:tc>
          <w:tcPr>
            <w:tcW w:w="7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tcBorders>
            <w:shd w:val="clear" w:color="auto" w:fill="E5E5E5"/>
          </w:tcPr>
          <w:p>
            <w:pPr>
              <w:jc w:val="right"/>
              <w:ind w:right="675"/>
              <w:spacing w:after="0"/>
              <w:rPr>
                <w:sz w:val="20"/>
                <w:szCs w:val="20"/>
                <w:color w:val="auto"/>
              </w:rPr>
            </w:pPr>
            <w:r>
              <w:rPr>
                <w:rFonts w:ascii="Arial" w:cs="Arial" w:eastAsia="Arial" w:hAnsi="Arial"/>
                <w:sz w:val="13"/>
                <w:szCs w:val="13"/>
                <w:color w:val="auto"/>
              </w:rPr>
              <w:t>2022</w:t>
            </w:r>
          </w:p>
        </w:tc>
      </w:tr>
      <w:tr>
        <w:trPr>
          <w:trHeight w:val="163"/>
        </w:trPr>
        <w:tc>
          <w:tcPr>
            <w:tcW w:w="7580" w:type="dxa"/>
            <w:vAlign w:val="bottom"/>
          </w:tcPr>
          <w:p>
            <w:pPr>
              <w:ind w:left="100"/>
              <w:spacing w:after="0"/>
              <w:rPr>
                <w:sz w:val="20"/>
                <w:szCs w:val="20"/>
                <w:color w:val="auto"/>
              </w:rPr>
            </w:pPr>
            <w:r>
              <w:rPr>
                <w:rFonts w:ascii="Arial" w:cs="Arial" w:eastAsia="Arial" w:hAnsi="Arial"/>
                <w:sz w:val="13"/>
                <w:szCs w:val="13"/>
                <w:color w:val="auto"/>
              </w:rPr>
              <w:t>Audit Fees</w:t>
            </w:r>
          </w:p>
        </w:tc>
        <w:tc>
          <w:tcPr>
            <w:tcW w:w="1120" w:type="dxa"/>
            <w:vAlign w:val="bottom"/>
          </w:tcPr>
          <w:p>
            <w:pPr>
              <w:jc w:val="right"/>
              <w:ind w:right="815"/>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5"/>
              <w:spacing w:after="0"/>
              <w:rPr>
                <w:sz w:val="20"/>
                <w:szCs w:val="20"/>
                <w:color w:val="auto"/>
              </w:rPr>
            </w:pPr>
            <w:r>
              <w:rPr>
                <w:rFonts w:ascii="Arial" w:cs="Arial" w:eastAsia="Arial" w:hAnsi="Arial"/>
                <w:sz w:val="13"/>
                <w:szCs w:val="13"/>
                <w:color w:val="auto"/>
              </w:rPr>
              <w:t>1,695,000</w:t>
            </w: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1,690,000</w:t>
            </w:r>
          </w:p>
        </w:tc>
      </w:tr>
      <w:tr>
        <w:trPr>
          <w:trHeight w:val="170"/>
        </w:trPr>
        <w:tc>
          <w:tcPr>
            <w:tcW w:w="758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Audit-Related Fees</w:t>
            </w:r>
          </w:p>
        </w:tc>
        <w:tc>
          <w:tcPr>
            <w:tcW w:w="1120" w:type="dxa"/>
            <w:vAlign w:val="bottom"/>
            <w:shd w:val="clear" w:color="auto" w:fill="D8D8D8"/>
          </w:tcPr>
          <w:p>
            <w:pPr>
              <w:jc w:val="right"/>
              <w:ind w:right="815"/>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95"/>
              <w:spacing w:after="0"/>
              <w:rPr>
                <w:sz w:val="20"/>
                <w:szCs w:val="20"/>
                <w:color w:val="auto"/>
              </w:rPr>
            </w:pPr>
            <w:r>
              <w:rPr>
                <w:rFonts w:ascii="Arial" w:cs="Arial" w:eastAsia="Arial" w:hAnsi="Arial"/>
                <w:sz w:val="13"/>
                <w:szCs w:val="13"/>
                <w:color w:val="auto"/>
              </w:rPr>
              <w:t>—</w:t>
            </w:r>
          </w:p>
        </w:tc>
        <w:tc>
          <w:tcPr>
            <w:tcW w:w="480" w:type="dxa"/>
            <w:vAlign w:val="bottom"/>
            <w:shd w:val="clear" w:color="auto" w:fill="D8D8D8"/>
          </w:tcPr>
          <w:p>
            <w:pPr>
              <w:jc w:val="right"/>
              <w:ind w:right="2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D8D8D8"/>
          </w:tcPr>
          <w:p>
            <w:pPr>
              <w:jc w:val="right"/>
              <w:ind w:right="55"/>
              <w:spacing w:after="0"/>
              <w:rPr>
                <w:sz w:val="20"/>
                <w:szCs w:val="20"/>
                <w:color w:val="auto"/>
              </w:rPr>
            </w:pPr>
            <w:r>
              <w:rPr>
                <w:rFonts w:ascii="Arial" w:cs="Arial" w:eastAsia="Arial" w:hAnsi="Arial"/>
                <w:sz w:val="13"/>
                <w:szCs w:val="13"/>
                <w:color w:val="auto"/>
              </w:rPr>
              <w:t>50,000</w:t>
            </w:r>
          </w:p>
        </w:tc>
      </w:tr>
      <w:tr>
        <w:trPr>
          <w:trHeight w:val="170"/>
        </w:trPr>
        <w:tc>
          <w:tcPr>
            <w:tcW w:w="7580" w:type="dxa"/>
            <w:vAlign w:val="bottom"/>
          </w:tcPr>
          <w:p>
            <w:pPr>
              <w:ind w:left="100"/>
              <w:spacing w:after="0"/>
              <w:rPr>
                <w:sz w:val="20"/>
                <w:szCs w:val="20"/>
                <w:color w:val="auto"/>
              </w:rPr>
            </w:pPr>
            <w:r>
              <w:rPr>
                <w:rFonts w:ascii="Arial" w:cs="Arial" w:eastAsia="Arial" w:hAnsi="Arial"/>
                <w:sz w:val="13"/>
                <w:szCs w:val="13"/>
                <w:color w:val="auto"/>
              </w:rPr>
              <w:t>Tax Fees</w:t>
            </w:r>
          </w:p>
        </w:tc>
        <w:tc>
          <w:tcPr>
            <w:tcW w:w="1120" w:type="dxa"/>
            <w:vAlign w:val="bottom"/>
          </w:tcPr>
          <w:p>
            <w:pPr>
              <w:jc w:val="right"/>
              <w:ind w:right="815"/>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w:t>
            </w:r>
          </w:p>
        </w:tc>
      </w:tr>
      <w:tr>
        <w:trPr>
          <w:trHeight w:val="170"/>
        </w:trPr>
        <w:tc>
          <w:tcPr>
            <w:tcW w:w="758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All Other Fees</w:t>
            </w:r>
          </w:p>
        </w:tc>
        <w:tc>
          <w:tcPr>
            <w:tcW w:w="1120" w:type="dxa"/>
            <w:vAlign w:val="bottom"/>
            <w:shd w:val="clear" w:color="auto" w:fill="D8D8D8"/>
          </w:tcPr>
          <w:p>
            <w:pPr>
              <w:jc w:val="right"/>
              <w:ind w:right="815"/>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95"/>
              <w:spacing w:after="0"/>
              <w:rPr>
                <w:sz w:val="20"/>
                <w:szCs w:val="20"/>
                <w:color w:val="auto"/>
              </w:rPr>
            </w:pPr>
            <w:r>
              <w:rPr>
                <w:rFonts w:ascii="Arial" w:cs="Arial" w:eastAsia="Arial" w:hAnsi="Arial"/>
                <w:sz w:val="13"/>
                <w:szCs w:val="13"/>
                <w:color w:val="auto"/>
              </w:rPr>
              <w:t>568,980</w:t>
            </w:r>
          </w:p>
        </w:tc>
        <w:tc>
          <w:tcPr>
            <w:tcW w:w="480" w:type="dxa"/>
            <w:vAlign w:val="bottom"/>
            <w:shd w:val="clear" w:color="auto" w:fill="D8D8D8"/>
          </w:tcPr>
          <w:p>
            <w:pPr>
              <w:jc w:val="right"/>
              <w:ind w:right="215"/>
              <w:spacing w:after="0"/>
              <w:rPr>
                <w:sz w:val="20"/>
                <w:szCs w:val="20"/>
                <w:color w:val="auto"/>
              </w:rPr>
            </w:pPr>
            <w:r>
              <w:rPr>
                <w:rFonts w:ascii="Arial" w:cs="Arial" w:eastAsia="Arial" w:hAnsi="Arial"/>
                <w:sz w:val="13"/>
                <w:szCs w:val="13"/>
                <w:color w:val="auto"/>
              </w:rPr>
              <w:t>$</w:t>
            </w:r>
          </w:p>
        </w:tc>
        <w:tc>
          <w:tcPr>
            <w:tcW w:w="1300" w:type="dxa"/>
            <w:vAlign w:val="bottom"/>
            <w:shd w:val="clear" w:color="auto" w:fill="D8D8D8"/>
          </w:tcPr>
          <w:p>
            <w:pPr>
              <w:jc w:val="right"/>
              <w:ind w:right="55"/>
              <w:spacing w:after="0"/>
              <w:rPr>
                <w:sz w:val="20"/>
                <w:szCs w:val="20"/>
                <w:color w:val="auto"/>
              </w:rPr>
            </w:pPr>
            <w:r>
              <w:rPr>
                <w:rFonts w:ascii="Arial" w:cs="Arial" w:eastAsia="Arial" w:hAnsi="Arial"/>
                <w:sz w:val="13"/>
                <w:szCs w:val="13"/>
                <w:color w:val="auto"/>
              </w:rPr>
              <w:t>4,409</w:t>
            </w:r>
          </w:p>
        </w:tc>
      </w:tr>
      <w:tr>
        <w:trPr>
          <w:trHeight w:val="170"/>
        </w:trPr>
        <w:tc>
          <w:tcPr>
            <w:tcW w:w="75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Total Fees</w:t>
            </w:r>
          </w:p>
        </w:tc>
        <w:tc>
          <w:tcPr>
            <w:tcW w:w="1120" w:type="dxa"/>
            <w:vAlign w:val="bottom"/>
            <w:tcBorders>
              <w:bottom w:val="single" w:sz="8" w:color="auto"/>
            </w:tcBorders>
          </w:tcPr>
          <w:p>
            <w:pPr>
              <w:jc w:val="right"/>
              <w:ind w:right="81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2,263,980</w:t>
            </w:r>
          </w:p>
        </w:tc>
        <w:tc>
          <w:tcPr>
            <w:tcW w:w="4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1,744,409</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Fees</w:t>
      </w:r>
    </w:p>
    <w:p>
      <w:pPr>
        <w:spacing w:after="0" w:line="30"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Audit fees in 2023 and 2022 consist of fees billed for the audit of our annual consolidated financial statements, the review of the interim consolidated financial statements, and related services that are normally provided in connection with registration statements, and services performed in connection with our at the market common stock offering and registered direct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Audit-Related Fees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Audit-related fees in 2022 consist of fees in connection with an audit of our grant from CARB-X. There were no such fees incurred in 2023.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Fees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such fees incurred in 2023 or 2022.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Fees</w:t>
      </w:r>
    </w:p>
    <w:p>
      <w:pPr>
        <w:spacing w:after="0" w:line="30"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All other fees in 2023 and 2022 represent non-audit fees in connection with access to the PricewaterhouseCoopers LLP on-line accounting research and disclosures database and other advisory and consulting services.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Pre-Approval Policy and Procedures</w:t>
      </w:r>
    </w:p>
    <w:p>
      <w:pPr>
        <w:spacing w:after="0" w:line="3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82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our current executive officers: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shd w:val="clear" w:color="auto" w:fill="E5E5E5"/>
          </w:tcPr>
          <w:p>
            <w:pPr>
              <w:jc w:val="center"/>
              <w:ind w:left="175"/>
              <w:spacing w:after="0"/>
              <w:rPr>
                <w:sz w:val="20"/>
                <w:szCs w:val="20"/>
                <w:color w:val="auto"/>
              </w:rPr>
            </w:pPr>
            <w:r>
              <w:rPr>
                <w:rFonts w:ascii="Arial" w:cs="Arial" w:eastAsia="Arial" w:hAnsi="Arial"/>
                <w:sz w:val="13"/>
                <w:szCs w:val="13"/>
                <w:b w:val="1"/>
                <w:bCs w:val="1"/>
                <w:color w:val="auto"/>
                <w:w w:val="97"/>
              </w:rPr>
              <w:t>Age</w:t>
            </w:r>
          </w:p>
        </w:tc>
        <w:tc>
          <w:tcPr>
            <w:tcW w:w="7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3"/>
                <w:szCs w:val="13"/>
                <w:b w:val="1"/>
                <w:bCs w:val="1"/>
                <w:color w:val="auto"/>
              </w:rPr>
              <w:t>Position</w:t>
            </w:r>
          </w:p>
        </w:tc>
      </w:tr>
      <w:tr>
        <w:trPr>
          <w:trHeight w:val="165"/>
        </w:trPr>
        <w:tc>
          <w:tcPr>
            <w:tcW w:w="2820" w:type="dxa"/>
            <w:vAlign w:val="bottom"/>
          </w:tcPr>
          <w:p>
            <w:pPr>
              <w:ind w:left="120"/>
              <w:spacing w:after="0"/>
              <w:rPr>
                <w:sz w:val="20"/>
                <w:szCs w:val="20"/>
                <w:color w:val="auto"/>
              </w:rPr>
            </w:pPr>
            <w:r>
              <w:rPr>
                <w:rFonts w:ascii="Arial" w:cs="Arial" w:eastAsia="Arial" w:hAnsi="Arial"/>
                <w:sz w:val="13"/>
                <w:szCs w:val="13"/>
                <w:color w:val="auto"/>
              </w:rPr>
              <w:t>Eric D. Shaff</w:t>
            </w:r>
            <w:r>
              <w:rPr>
                <w:rFonts w:ascii="Arial" w:cs="Arial" w:eastAsia="Arial" w:hAnsi="Arial"/>
                <w:sz w:val="6"/>
                <w:szCs w:val="6"/>
                <w:color w:val="auto"/>
              </w:rPr>
              <w:t>(1)(2)</w:t>
            </w:r>
          </w:p>
        </w:tc>
        <w:tc>
          <w:tcPr>
            <w:tcW w:w="1000" w:type="dxa"/>
            <w:vAlign w:val="bottom"/>
          </w:tcPr>
          <w:p>
            <w:pPr>
              <w:jc w:val="center"/>
              <w:ind w:left="155"/>
              <w:spacing w:after="0"/>
              <w:rPr>
                <w:sz w:val="20"/>
                <w:szCs w:val="20"/>
                <w:color w:val="auto"/>
              </w:rPr>
            </w:pPr>
            <w:r>
              <w:rPr>
                <w:rFonts w:ascii="Arial" w:cs="Arial" w:eastAsia="Arial" w:hAnsi="Arial"/>
                <w:sz w:val="13"/>
                <w:szCs w:val="13"/>
                <w:color w:val="auto"/>
                <w:w w:val="96"/>
              </w:rPr>
              <w:t>48</w:t>
            </w:r>
          </w:p>
        </w:tc>
        <w:tc>
          <w:tcPr>
            <w:tcW w:w="7420" w:type="dxa"/>
            <w:vAlign w:val="bottom"/>
          </w:tcPr>
          <w:p>
            <w:pPr>
              <w:ind w:left="260"/>
              <w:spacing w:after="0"/>
              <w:rPr>
                <w:sz w:val="20"/>
                <w:szCs w:val="20"/>
                <w:color w:val="auto"/>
              </w:rPr>
            </w:pPr>
            <w:r>
              <w:rPr>
                <w:rFonts w:ascii="Arial" w:cs="Arial" w:eastAsia="Arial" w:hAnsi="Arial"/>
                <w:sz w:val="13"/>
                <w:szCs w:val="13"/>
                <w:color w:val="auto"/>
              </w:rPr>
              <w:t>President and Chief Executive Officer</w:t>
            </w:r>
          </w:p>
        </w:tc>
      </w:tr>
      <w:tr>
        <w:trPr>
          <w:trHeight w:val="170"/>
        </w:trPr>
        <w:tc>
          <w:tcPr>
            <w:tcW w:w="2820" w:type="dxa"/>
            <w:vAlign w:val="bottom"/>
            <w:shd w:val="clear" w:color="auto" w:fill="E5E5E5"/>
          </w:tcPr>
          <w:p>
            <w:pPr>
              <w:ind w:left="120"/>
              <w:spacing w:after="0"/>
              <w:rPr>
                <w:sz w:val="20"/>
                <w:szCs w:val="20"/>
                <w:color w:val="auto"/>
              </w:rPr>
            </w:pPr>
            <w:r>
              <w:rPr>
                <w:rFonts w:ascii="Arial" w:cs="Arial" w:eastAsia="Arial" w:hAnsi="Arial"/>
                <w:sz w:val="13"/>
                <w:szCs w:val="13"/>
                <w:color w:val="auto"/>
              </w:rPr>
              <w:t>David Arkowitz</w:t>
            </w:r>
            <w:r>
              <w:rPr>
                <w:rFonts w:ascii="Arial" w:cs="Arial" w:eastAsia="Arial" w:hAnsi="Arial"/>
                <w:sz w:val="6"/>
                <w:szCs w:val="6"/>
                <w:color w:val="auto"/>
              </w:rPr>
              <w:t>(2)(3)</w:t>
            </w:r>
          </w:p>
        </w:tc>
        <w:tc>
          <w:tcPr>
            <w:tcW w:w="1000" w:type="dxa"/>
            <w:vAlign w:val="bottom"/>
            <w:shd w:val="clear" w:color="auto" w:fill="E5E5E5"/>
          </w:tcPr>
          <w:p>
            <w:pPr>
              <w:jc w:val="center"/>
              <w:ind w:left="155"/>
              <w:spacing w:after="0"/>
              <w:rPr>
                <w:sz w:val="20"/>
                <w:szCs w:val="20"/>
                <w:color w:val="auto"/>
              </w:rPr>
            </w:pPr>
            <w:r>
              <w:rPr>
                <w:rFonts w:ascii="Arial" w:cs="Arial" w:eastAsia="Arial" w:hAnsi="Arial"/>
                <w:sz w:val="13"/>
                <w:szCs w:val="13"/>
                <w:color w:val="auto"/>
                <w:w w:val="96"/>
              </w:rPr>
              <w:t>62</w:t>
            </w:r>
          </w:p>
        </w:tc>
        <w:tc>
          <w:tcPr>
            <w:tcW w:w="7420" w:type="dxa"/>
            <w:vAlign w:val="bottom"/>
            <w:shd w:val="clear" w:color="auto" w:fill="E5E5E5"/>
          </w:tcPr>
          <w:p>
            <w:pPr>
              <w:ind w:left="260"/>
              <w:spacing w:after="0"/>
              <w:rPr>
                <w:sz w:val="20"/>
                <w:szCs w:val="20"/>
                <w:color w:val="auto"/>
              </w:rPr>
            </w:pPr>
            <w:r>
              <w:rPr>
                <w:rFonts w:ascii="Arial" w:cs="Arial" w:eastAsia="Arial" w:hAnsi="Arial"/>
                <w:sz w:val="13"/>
                <w:szCs w:val="13"/>
                <w:color w:val="auto"/>
              </w:rPr>
              <w:t>Executive Vice President, Chief Financial Officer and Head of Business Development</w:t>
            </w:r>
          </w:p>
        </w:tc>
      </w:tr>
      <w:tr>
        <w:trPr>
          <w:trHeight w:val="170"/>
        </w:trPr>
        <w:tc>
          <w:tcPr>
            <w:tcW w:w="2820" w:type="dxa"/>
            <w:vAlign w:val="bottom"/>
          </w:tcPr>
          <w:p>
            <w:pPr>
              <w:ind w:left="12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6"/>
                <w:szCs w:val="6"/>
                <w:color w:val="auto"/>
              </w:rPr>
              <w:t>(4)</w:t>
            </w:r>
          </w:p>
        </w:tc>
        <w:tc>
          <w:tcPr>
            <w:tcW w:w="1000" w:type="dxa"/>
            <w:vAlign w:val="bottom"/>
          </w:tcPr>
          <w:p>
            <w:pPr>
              <w:jc w:val="center"/>
              <w:ind w:left="155"/>
              <w:spacing w:after="0"/>
              <w:rPr>
                <w:sz w:val="20"/>
                <w:szCs w:val="20"/>
                <w:color w:val="auto"/>
              </w:rPr>
            </w:pPr>
            <w:r>
              <w:rPr>
                <w:rFonts w:ascii="Arial" w:cs="Arial" w:eastAsia="Arial" w:hAnsi="Arial"/>
                <w:sz w:val="13"/>
                <w:szCs w:val="13"/>
                <w:color w:val="auto"/>
                <w:w w:val="96"/>
              </w:rPr>
              <w:t>69</w:t>
            </w:r>
          </w:p>
        </w:tc>
        <w:tc>
          <w:tcPr>
            <w:tcW w:w="7420" w:type="dxa"/>
            <w:vAlign w:val="bottom"/>
          </w:tcPr>
          <w:p>
            <w:pPr>
              <w:ind w:left="260"/>
              <w:spacing w:after="0"/>
              <w:rPr>
                <w:sz w:val="20"/>
                <w:szCs w:val="20"/>
                <w:color w:val="auto"/>
              </w:rPr>
            </w:pPr>
            <w:r>
              <w:rPr>
                <w:rFonts w:ascii="Arial" w:cs="Arial" w:eastAsia="Arial" w:hAnsi="Arial"/>
                <w:sz w:val="13"/>
                <w:szCs w:val="13"/>
                <w:color w:val="auto"/>
              </w:rPr>
              <w:t>Executive Vice President and Chief Legal Officer</w:t>
            </w:r>
          </w:p>
        </w:tc>
      </w:tr>
      <w:tr>
        <w:trPr>
          <w:trHeight w:val="170"/>
        </w:trPr>
        <w:tc>
          <w:tcPr>
            <w:tcW w:w="2820" w:type="dxa"/>
            <w:vAlign w:val="bottom"/>
            <w:shd w:val="clear" w:color="auto" w:fill="E5E5E5"/>
          </w:tcPr>
          <w:p>
            <w:pPr>
              <w:ind w:left="120"/>
              <w:spacing w:after="0"/>
              <w:rPr>
                <w:sz w:val="20"/>
                <w:szCs w:val="20"/>
                <w:color w:val="auto"/>
              </w:rPr>
            </w:pPr>
            <w:r>
              <w:rPr>
                <w:rFonts w:ascii="Arial" w:cs="Arial" w:eastAsia="Arial" w:hAnsi="Arial"/>
                <w:sz w:val="13"/>
                <w:szCs w:val="13"/>
                <w:color w:val="auto"/>
              </w:rPr>
              <w:t>David S. Ege, Ph.D.</w:t>
            </w:r>
            <w:r>
              <w:rPr>
                <w:rFonts w:ascii="Arial" w:cs="Arial" w:eastAsia="Arial" w:hAnsi="Arial"/>
                <w:sz w:val="6"/>
                <w:szCs w:val="6"/>
                <w:color w:val="auto"/>
              </w:rPr>
              <w:t>(5)</w:t>
            </w:r>
          </w:p>
        </w:tc>
        <w:tc>
          <w:tcPr>
            <w:tcW w:w="1000" w:type="dxa"/>
            <w:vAlign w:val="bottom"/>
            <w:shd w:val="clear" w:color="auto" w:fill="E5E5E5"/>
          </w:tcPr>
          <w:p>
            <w:pPr>
              <w:jc w:val="center"/>
              <w:ind w:left="155"/>
              <w:spacing w:after="0"/>
              <w:rPr>
                <w:sz w:val="20"/>
                <w:szCs w:val="20"/>
                <w:color w:val="auto"/>
              </w:rPr>
            </w:pPr>
            <w:r>
              <w:rPr>
                <w:rFonts w:ascii="Arial" w:cs="Arial" w:eastAsia="Arial" w:hAnsi="Arial"/>
                <w:sz w:val="13"/>
                <w:szCs w:val="13"/>
                <w:color w:val="auto"/>
                <w:w w:val="96"/>
              </w:rPr>
              <w:t>49</w:t>
            </w:r>
          </w:p>
        </w:tc>
        <w:tc>
          <w:tcPr>
            <w:tcW w:w="7420" w:type="dxa"/>
            <w:vAlign w:val="bottom"/>
            <w:shd w:val="clear" w:color="auto" w:fill="E5E5E5"/>
          </w:tcPr>
          <w:p>
            <w:pPr>
              <w:ind w:left="260"/>
              <w:spacing w:after="0"/>
              <w:rPr>
                <w:sz w:val="20"/>
                <w:szCs w:val="20"/>
                <w:color w:val="auto"/>
              </w:rPr>
            </w:pPr>
            <w:r>
              <w:rPr>
                <w:rFonts w:ascii="Arial" w:cs="Arial" w:eastAsia="Arial" w:hAnsi="Arial"/>
                <w:sz w:val="13"/>
                <w:szCs w:val="13"/>
                <w:color w:val="auto"/>
              </w:rPr>
              <w:t>Executive Vice President and Chief Technology Officer</w:t>
            </w:r>
          </w:p>
        </w:tc>
      </w:tr>
      <w:tr>
        <w:trPr>
          <w:trHeight w:val="170"/>
        </w:trPr>
        <w:tc>
          <w:tcPr>
            <w:tcW w:w="2820" w:type="dxa"/>
            <w:vAlign w:val="bottom"/>
          </w:tcPr>
          <w:p>
            <w:pPr>
              <w:ind w:left="120"/>
              <w:spacing w:after="0"/>
              <w:rPr>
                <w:sz w:val="20"/>
                <w:szCs w:val="20"/>
                <w:color w:val="auto"/>
              </w:rPr>
            </w:pPr>
            <w:r>
              <w:rPr>
                <w:rFonts w:ascii="Arial" w:cs="Arial" w:eastAsia="Arial" w:hAnsi="Arial"/>
                <w:sz w:val="13"/>
                <w:szCs w:val="13"/>
                <w:color w:val="auto"/>
              </w:rPr>
              <w:t>Matthew Henn, Ph.D.</w:t>
            </w:r>
            <w:r>
              <w:rPr>
                <w:rFonts w:ascii="Arial" w:cs="Arial" w:eastAsia="Arial" w:hAnsi="Arial"/>
                <w:sz w:val="6"/>
                <w:szCs w:val="6"/>
                <w:color w:val="auto"/>
              </w:rPr>
              <w:t>(6)</w:t>
            </w:r>
          </w:p>
        </w:tc>
        <w:tc>
          <w:tcPr>
            <w:tcW w:w="1000" w:type="dxa"/>
            <w:vAlign w:val="bottom"/>
          </w:tcPr>
          <w:p>
            <w:pPr>
              <w:jc w:val="center"/>
              <w:ind w:left="155"/>
              <w:spacing w:after="0"/>
              <w:rPr>
                <w:sz w:val="20"/>
                <w:szCs w:val="20"/>
                <w:color w:val="auto"/>
              </w:rPr>
            </w:pPr>
            <w:r>
              <w:rPr>
                <w:rFonts w:ascii="Arial" w:cs="Arial" w:eastAsia="Arial" w:hAnsi="Arial"/>
                <w:sz w:val="13"/>
                <w:szCs w:val="13"/>
                <w:color w:val="auto"/>
                <w:w w:val="96"/>
              </w:rPr>
              <w:t>49</w:t>
            </w:r>
          </w:p>
        </w:tc>
        <w:tc>
          <w:tcPr>
            <w:tcW w:w="7420" w:type="dxa"/>
            <w:vAlign w:val="bottom"/>
          </w:tcPr>
          <w:p>
            <w:pPr>
              <w:ind w:left="260"/>
              <w:spacing w:after="0"/>
              <w:rPr>
                <w:sz w:val="20"/>
                <w:szCs w:val="20"/>
                <w:color w:val="auto"/>
              </w:rPr>
            </w:pPr>
            <w:r>
              <w:rPr>
                <w:rFonts w:ascii="Arial" w:cs="Arial" w:eastAsia="Arial" w:hAnsi="Arial"/>
                <w:sz w:val="13"/>
                <w:szCs w:val="13"/>
                <w:color w:val="auto"/>
              </w:rPr>
              <w:t>Executive Vice President and Chief Scientific Officer</w:t>
            </w:r>
          </w:p>
        </w:tc>
      </w:tr>
      <w:tr>
        <w:trPr>
          <w:trHeight w:val="170"/>
        </w:trPr>
        <w:tc>
          <w:tcPr>
            <w:tcW w:w="2820" w:type="dxa"/>
            <w:vAlign w:val="bottom"/>
            <w:shd w:val="clear" w:color="auto" w:fill="E5E5E5"/>
          </w:tcPr>
          <w:p>
            <w:pPr>
              <w:ind w:left="120"/>
              <w:spacing w:after="0"/>
              <w:rPr>
                <w:sz w:val="20"/>
                <w:szCs w:val="20"/>
                <w:color w:val="auto"/>
              </w:rPr>
            </w:pPr>
            <w:r>
              <w:rPr>
                <w:rFonts w:ascii="Arial" w:cs="Arial" w:eastAsia="Arial" w:hAnsi="Arial"/>
                <w:sz w:val="13"/>
                <w:szCs w:val="13"/>
                <w:color w:val="auto"/>
              </w:rPr>
              <w:t>Lisa von Moltke, M.D.</w:t>
            </w:r>
            <w:r>
              <w:rPr>
                <w:rFonts w:ascii="Arial" w:cs="Arial" w:eastAsia="Arial" w:hAnsi="Arial"/>
                <w:sz w:val="6"/>
                <w:szCs w:val="6"/>
                <w:color w:val="auto"/>
              </w:rPr>
              <w:t>(7)</w:t>
            </w:r>
          </w:p>
        </w:tc>
        <w:tc>
          <w:tcPr>
            <w:tcW w:w="1000" w:type="dxa"/>
            <w:vAlign w:val="bottom"/>
            <w:shd w:val="clear" w:color="auto" w:fill="E5E5E5"/>
          </w:tcPr>
          <w:p>
            <w:pPr>
              <w:jc w:val="center"/>
              <w:ind w:left="155"/>
              <w:spacing w:after="0"/>
              <w:rPr>
                <w:sz w:val="20"/>
                <w:szCs w:val="20"/>
                <w:color w:val="auto"/>
              </w:rPr>
            </w:pPr>
            <w:r>
              <w:rPr>
                <w:rFonts w:ascii="Arial" w:cs="Arial" w:eastAsia="Arial" w:hAnsi="Arial"/>
                <w:sz w:val="13"/>
                <w:szCs w:val="13"/>
                <w:color w:val="auto"/>
                <w:w w:val="96"/>
              </w:rPr>
              <w:t>65</w:t>
            </w:r>
          </w:p>
        </w:tc>
        <w:tc>
          <w:tcPr>
            <w:tcW w:w="7420" w:type="dxa"/>
            <w:vAlign w:val="bottom"/>
            <w:shd w:val="clear" w:color="auto" w:fill="E5E5E5"/>
          </w:tcPr>
          <w:p>
            <w:pPr>
              <w:ind w:left="260"/>
              <w:spacing w:after="0"/>
              <w:rPr>
                <w:sz w:val="20"/>
                <w:szCs w:val="20"/>
                <w:color w:val="auto"/>
              </w:rPr>
            </w:pPr>
            <w:r>
              <w:rPr>
                <w:rFonts w:ascii="Arial" w:cs="Arial" w:eastAsia="Arial" w:hAnsi="Arial"/>
                <w:sz w:val="13"/>
                <w:szCs w:val="13"/>
                <w:color w:val="auto"/>
              </w:rPr>
              <w:t>Executive Vice President and Chief Medical Officer</w:t>
            </w:r>
          </w:p>
        </w:tc>
      </w:tr>
      <w:tr>
        <w:trPr>
          <w:trHeight w:val="170"/>
        </w:trPr>
        <w:tc>
          <w:tcPr>
            <w:tcW w:w="2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Teresa L. Young, Ph.D.</w:t>
            </w:r>
            <w:r>
              <w:rPr>
                <w:rFonts w:ascii="Arial" w:cs="Arial" w:eastAsia="Arial" w:hAnsi="Arial"/>
                <w:sz w:val="6"/>
                <w:szCs w:val="6"/>
                <w:color w:val="auto"/>
              </w:rPr>
              <w:t>(8)</w:t>
            </w:r>
          </w:p>
        </w:tc>
        <w:tc>
          <w:tcPr>
            <w:tcW w:w="1000" w:type="dxa"/>
            <w:vAlign w:val="bottom"/>
            <w:tcBorders>
              <w:bottom w:val="single" w:sz="8" w:color="auto"/>
            </w:tcBorders>
          </w:tcPr>
          <w:p>
            <w:pPr>
              <w:jc w:val="center"/>
              <w:ind w:left="155"/>
              <w:spacing w:after="0"/>
              <w:rPr>
                <w:sz w:val="20"/>
                <w:szCs w:val="20"/>
                <w:color w:val="auto"/>
              </w:rPr>
            </w:pPr>
            <w:r>
              <w:rPr>
                <w:rFonts w:ascii="Arial" w:cs="Arial" w:eastAsia="Arial" w:hAnsi="Arial"/>
                <w:sz w:val="13"/>
                <w:szCs w:val="13"/>
                <w:color w:val="auto"/>
                <w:w w:val="96"/>
              </w:rPr>
              <w:t>57</w:t>
            </w: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Executive Vice President, Chief Commercial and Strategy Officer</w:t>
            </w:r>
          </w:p>
        </w:tc>
      </w:tr>
    </w:tbl>
    <w:p>
      <w:pPr>
        <w:spacing w:after="0" w:line="66" w:lineRule="exact"/>
        <w:rPr>
          <w:sz w:val="20"/>
          <w:szCs w:val="20"/>
          <w:color w:val="auto"/>
        </w:rPr>
      </w:pPr>
    </w:p>
    <w:p>
      <w:pPr>
        <w:ind w:left="240" w:hanging="118"/>
        <w:spacing w:after="0"/>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See biography on page 10 of this proxy statement.</w:t>
      </w:r>
    </w:p>
    <w:p>
      <w:pPr>
        <w:spacing w:after="0" w:line="86" w:lineRule="exact"/>
        <w:rPr>
          <w:rFonts w:ascii="Arial" w:cs="Arial" w:eastAsia="Arial" w:hAnsi="Arial"/>
          <w:sz w:val="6"/>
          <w:szCs w:val="6"/>
          <w:color w:val="auto"/>
        </w:rPr>
      </w:pPr>
    </w:p>
    <w:p>
      <w:pPr>
        <w:ind w:left="240" w:right="100" w:hanging="118"/>
        <w:spacing w:after="0" w:line="243"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On February 26, 2024, we announced that David Arkowitz is retiring as our Executive Vice President, Chief Financial Officer, Head of Business Development, principal financial officer and principal accounting officer, effective as of March 15, 2024. Effective as of Mr. Arkowitz’s retirement, the Board has designated Eric Shaff to serve as our interim principal financial officer and interim principal accounting officer until the expected commencement of employment of Marella Thorell as our Executive Vice President and Chief Financial Officer, principal financial officer, and principal accounting officer on or about March 25, 2024.</w:t>
      </w:r>
    </w:p>
    <w:p>
      <w:pPr>
        <w:spacing w:after="0" w:line="61" w:lineRule="exact"/>
        <w:rPr>
          <w:rFonts w:ascii="Arial" w:cs="Arial" w:eastAsia="Arial" w:hAnsi="Arial"/>
          <w:sz w:val="6"/>
          <w:szCs w:val="6"/>
          <w:color w:val="auto"/>
        </w:rPr>
      </w:pPr>
    </w:p>
    <w:p>
      <w:pPr>
        <w:ind w:left="240" w:right="40" w:hanging="118"/>
        <w:spacing w:after="0" w:line="236"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David Arkowitz has served as our Executive Vice President, Chief Financial Officer and Head of Business Development since June 2021. Previously, he served as the Chief Financial Officer of Flexion Therapeutics, Inc., a biotechnology company,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 Mr. Arkowitz currently serves on the board of directors of Kineta, Inc., and has previously served on the boards of directors of F-star Therapeutics, Inc., Yumanity Therapeutics, Inc., Spring Bank Pharmaceuticals, Inc. and Proteostasis Therapeutics, Inc. He obtained his B.A. in mathematics at Brandeis University and his M.B.A. in finance at Columbia University Business School.</w:t>
      </w:r>
    </w:p>
    <w:p>
      <w:pPr>
        <w:spacing w:after="0" w:line="53" w:lineRule="exact"/>
        <w:rPr>
          <w:rFonts w:ascii="Arial" w:cs="Arial" w:eastAsia="Arial" w:hAnsi="Arial"/>
          <w:sz w:val="6"/>
          <w:szCs w:val="6"/>
          <w:color w:val="auto"/>
        </w:rPr>
      </w:pPr>
    </w:p>
    <w:p>
      <w:pPr>
        <w:ind w:left="240" w:right="60" w:hanging="118"/>
        <w:spacing w:after="0" w:line="237"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65" w:lineRule="exact"/>
        <w:rPr>
          <w:rFonts w:ascii="Arial" w:cs="Arial" w:eastAsia="Arial" w:hAnsi="Arial"/>
          <w:sz w:val="6"/>
          <w:szCs w:val="6"/>
          <w:color w:val="auto"/>
        </w:rPr>
      </w:pPr>
    </w:p>
    <w:p>
      <w:pPr>
        <w:ind w:left="240" w:right="20" w:hanging="118"/>
        <w:spacing w:after="0" w:line="238"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David S. Ege, Ph.D., has served as our Executive Vice President and Chief Technology Officer since October 2020. Previously, Dr. Ege served in a variety 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spacing w:after="0" w:line="65" w:lineRule="exact"/>
        <w:rPr>
          <w:rFonts w:ascii="Arial" w:cs="Arial" w:eastAsia="Arial" w:hAnsi="Arial"/>
          <w:sz w:val="6"/>
          <w:szCs w:val="6"/>
          <w:color w:val="auto"/>
        </w:rPr>
      </w:pPr>
    </w:p>
    <w:p>
      <w:pPr>
        <w:ind w:left="240" w:right="20" w:hanging="118"/>
        <w:spacing w:after="0" w:line="235"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Matthew Henn, Ph.D., has served as our Executive Vice President and Chief Scientific Officer since February 2019. He has been involved in the discovery and development of multiple microbiome therapeutics across infectious, inflammatory, and oncology indications, and has authored over 75 peer-reviewed publications. His research has focused on microbial populations and the functional role of microbes in both environmental and human disease applications, and the development of genomic and functional technologies to study these populations. Prior to participating in the launch of our company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 committee, Life Sciences Cares board of advisors, and the scientific advisory board of Growcentia, Inc., an agricultural microbiome company. Dr. Henn is formally trained in ecology and evolutionary biology and earned his Ph.D. in ecosystem sciences from the University of California at Berkeley, where he was a NASA Earth Systems Sciences Fellow, and trained as a NSF Postdoctoral Fellow in Microbiology at Duke University.</w:t>
      </w:r>
    </w:p>
    <w:p>
      <w:pPr>
        <w:spacing w:after="0" w:line="53" w:lineRule="exact"/>
        <w:rPr>
          <w:rFonts w:ascii="Arial" w:cs="Arial" w:eastAsia="Arial" w:hAnsi="Arial"/>
          <w:sz w:val="6"/>
          <w:szCs w:val="6"/>
          <w:color w:val="auto"/>
        </w:rPr>
      </w:pPr>
    </w:p>
    <w:p>
      <w:pPr>
        <w:ind w:left="240" w:right="100" w:hanging="118"/>
        <w:spacing w:after="0" w:line="236"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Lisa von Moltke, M.D., has served as our Executive Vice President and Chief Medical Officer since March 2020. Previously, Dr. von Moltke worked for 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66" w:lineRule="exact"/>
        <w:rPr>
          <w:rFonts w:ascii="Arial" w:cs="Arial" w:eastAsia="Arial" w:hAnsi="Arial"/>
          <w:sz w:val="6"/>
          <w:szCs w:val="6"/>
          <w:color w:val="auto"/>
        </w:rPr>
      </w:pPr>
    </w:p>
    <w:p>
      <w:pPr>
        <w:ind w:left="240" w:hanging="118"/>
        <w:spacing w:after="0" w:line="237" w:lineRule="auto"/>
        <w:tabs>
          <w:tab w:leader="none" w:pos="240" w:val="left"/>
        </w:tabs>
        <w:numPr>
          <w:ilvl w:val="0"/>
          <w:numId w:val="13"/>
        </w:numPr>
        <w:rPr>
          <w:rFonts w:ascii="Arial" w:cs="Arial" w:eastAsia="Arial" w:hAnsi="Arial"/>
          <w:sz w:val="6"/>
          <w:szCs w:val="6"/>
          <w:color w:val="auto"/>
        </w:rPr>
      </w:pPr>
      <w:r>
        <w:rPr>
          <w:rFonts w:ascii="Arial" w:cs="Arial" w:eastAsia="Arial" w:hAnsi="Arial"/>
          <w:sz w:val="13"/>
          <w:szCs w:val="13"/>
          <w:color w:val="auto"/>
        </w:rPr>
        <w:t>Teresa L. Young, Ph.D., has served as our Executive Vice President, Chief Commercial and Strategy Officer since June 2020. Previously, Dr. Young 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825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of Directors has adopted Corporate Governance Guidelines, an Insider Trading Compliance Policy, a Code of Business Conduct and Ethics, a Clawback Policy (as defined below) and charters for the Nominating and Corporate Governance Committee, the Audit Committee, the Compensation and Talent Committee of the Board of Directors (the “Compensation and Talent Committee”), and the Science and Clinical Development Committee of the Board of Directors (the "Science and Clinical Development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and News” page of our website located at www.serestherapeutics.com, or by writing to our Secretary at our offices at 101 Cambridgepark Drive, Cambridge, MA 02140.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Board of Directors currently consists of eight members: Eric D. Shaff, Dennis A. Ausiello, M.D., Stephen A. Berenson, Paul R. Biondi, Willard H. Dere, M.D., Claire M. Fraser, Ph.D., Richard N. Kender, and Kurt C. Graves.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All of our current directors, other than Eric D. Shaff, qualify as “independent” in accordance with the listing requirements of The Nasdaq Global Select Market (“Nasdaq”). Grégory Behar and Meryl S. Zausner qualified as independent during the period they served on the Board of Directors until their departures on October 2, 2023 and June 22, 2023, respectively.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 Mr. Behar, during the period that he served, his relationship to, and our transactions with, Nestlé S.A. and its affiliates. Mr. Shaff is not independent because he is the President and Chief Executive Officer of our Company. There are no family relationships among any of our directors or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0" w:right="359" w:bottom="1440" w:gutter="0" w:footer="0" w:header="0"/>
        </w:sectPr>
      </w:pPr>
    </w:p>
    <w:bookmarkStart w:id="27" w:name="page28"/>
    <w:bookmarkEnd w:id="27"/>
    <w:p>
      <w:pPr>
        <w:spacing w:after="0" w:line="244" w:lineRule="auto"/>
        <w:rPr>
          <w:sz w:val="20"/>
          <w:szCs w:val="20"/>
          <w:color w:val="auto"/>
        </w:rPr>
      </w:pPr>
      <w:r>
        <w:rPr>
          <w:rFonts w:ascii="Arial" w:cs="Arial" w:eastAsia="Arial" w:hAnsi="Arial"/>
          <w:sz w:val="17"/>
          <w:szCs w:val="17"/>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6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101 Cambridgepark Drive, Cambridge, MA 02140.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4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an individual director or to the Board should address such communications to such director or to the Board of Directors in writing: c/o Secretary, Seres Therapeutics, Inc., 101 Cambridgepark Drive, Cambridge, MA 02140.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We believe that this governance structure best reinforces the independence of the Board from management. In addition, we believe the Chairman is well-positioned to act as a bridge between management and the Board, facilitating the regular flow of information. Among other duties, the Chairman of the Board may represent the Board in communications with stockholders and other stakeholders and provide input on the structure and composition of the Board. Accordingly, we believe our current leadership structure is the optimal structure for us at this time.</w:t>
      </w:r>
    </w:p>
    <w:p>
      <w:pPr>
        <w:spacing w:after="0" w:line="16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However, our Board of Directors will continue to periodically review our leadership structure and may make such changes in the future as it deems appropriate. During its routine review of the Board’s leadership structure, the Board and the Company regularly consider the circumstances under which the roles of Chairman and Chief Executive Officer could most effectively serve the Company’s and its stockholders’ interests if combined. From time to time, the Company proactively engages with stockholders throughout the year to learn their perspectives on significant issues, and intends to continue to</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28" w:name="page29"/>
    <w:bookmarkEnd w:id="28"/>
    <w:p>
      <w:pPr>
        <w:ind w:right="40"/>
        <w:spacing w:after="0" w:line="249" w:lineRule="auto"/>
        <w:rPr>
          <w:sz w:val="20"/>
          <w:szCs w:val="20"/>
          <w:color w:val="auto"/>
        </w:rPr>
      </w:pPr>
      <w:r>
        <w:rPr>
          <w:rFonts w:ascii="Arial" w:cs="Arial" w:eastAsia="Arial" w:hAnsi="Arial"/>
          <w:sz w:val="17"/>
          <w:szCs w:val="17"/>
          <w:color w:val="auto"/>
        </w:rPr>
        <w:t>do so, including with respect to gathering stockholder perspectives on Board leadership structure. If, in the future, the Chairman of the Board is a member of management or does not otherwise qualify as independent, our Corporate Governance Guidelines provide for the appointment by the independent directors of a Lead Director. If appointed,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p>
    <w:p>
      <w:pPr>
        <w:spacing w:after="0" w:line="157" w:lineRule="exact"/>
        <w:rPr>
          <w:sz w:val="20"/>
          <w:szCs w:val="20"/>
          <w:color w:val="auto"/>
        </w:rPr>
      </w:pPr>
    </w:p>
    <w:p>
      <w:pPr>
        <w:spacing w:after="0" w:line="200" w:lineRule="exact"/>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Management’s involvement in day-to-day risk management enables the Company’s disclosure committee, which consists of members of management, to oversee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risk management processes. Additionally,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In addition, our Audit Committee has the responsibility to consider the adequacy and effectiveness of our information security policies and practices, including those concerning data privacy and cybersecurity. The Audit Committee receives quarterly reports from our Chief Information Officer, or CIO, on our cybersecurity risks, and our CIO updates the Audit Committee, as necessary, regarding any material cybersecurity incidents, as well as any incidents with lesser impact potential.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our environmental, social and corporate governance (“ESG”) strategy and the Corporate Governance Guidelines. Our Compensation and Talent Committee assesses and monitors whether any of our compensation policies and programs has the potential to encourage excessive risk-taking. The allocation of risk oversight among the Board and its committees is consistent with the Board’s leadership structure.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CORPORATE GOVERNANCE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are committed to policies and practices focused on ESG matters, which are shaped by our core values and aim to make a positive impact in the communities where we work and live. We have a history and culture of community service and continue to be involved in, and supportive of, Life Science Cares and Special Olympics Massachusetts. We are also proud to continue a student education outreach program, Seres Scholars, which is a partnership with the Cambridge Rindge &amp; Latin School to promote equity in education by providing career mentorship, guidance, and opportunities for underserved students from our community. The program values and celebrates diversity, equity, inclusion, and belonging ("DEIB") by seeking to include students from all backgrounds, and awards high school seniors with a Seres scholarship after a year and a half of participation. Additionally, we encourage employee volunteerism in all Seres locations by planning activities through our Seres Community Ambassadors program and offering eight hours of paid volunteer time annually for employees to support charitable organizations.</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also believe that our long-term success and ability to deliver innovative, safe, and effective medicines to patients requires an inclusive workforce. We value diversity at all levels of the organization and continue to focus on extending our DEIB initiatives across our entire workforce. We have a dedicated DEIB workstream to identify ways to attract, develop, and retain talent from all backgrounds, increase awareness within our company of unconscious biases, and help foster a stronger sense of belonging for all employees. In addition, we strive to engender an open culture of mutual respect, and one that values employees’ health and well-being. We support employee development in a variety of ways including leadership training to build people manager capabilities, ongoing performance and development conversations, and tuition reimbursement. Our management conducts annual employee engagement surveys and reports to our board of directors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86" w:right="379" w:bottom="1440" w:gutter="0" w:footer="0" w:header="0"/>
        </w:sectPr>
      </w:pPr>
    </w:p>
    <w:bookmarkStart w:id="29" w:name="page30"/>
    <w:bookmarkEnd w:id="29"/>
    <w:p>
      <w:pPr>
        <w:ind w:right="240"/>
        <w:spacing w:after="0" w:line="283" w:lineRule="auto"/>
        <w:rPr>
          <w:sz w:val="20"/>
          <w:szCs w:val="20"/>
          <w:color w:val="auto"/>
        </w:rPr>
      </w:pPr>
      <w:r>
        <w:rPr>
          <w:rFonts w:ascii="Arial" w:cs="Arial" w:eastAsia="Arial" w:hAnsi="Arial"/>
          <w:sz w:val="17"/>
          <w:szCs w:val="17"/>
          <w:color w:val="auto"/>
        </w:rPr>
        <w:t>on human capital management topics, including as relevant: corporate culture, DEIB, employee development and retention, and compensation and benefits.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jc w:val="both"/>
        <w:ind w:right="220"/>
        <w:spacing w:after="0" w:line="255" w:lineRule="auto"/>
        <w:rPr>
          <w:sz w:val="20"/>
          <w:szCs w:val="20"/>
          <w:color w:val="auto"/>
        </w:rPr>
      </w:pPr>
      <w:r>
        <w:rPr>
          <w:rFonts w:ascii="Arial" w:cs="Arial" w:eastAsia="Arial" w:hAnsi="Arial"/>
          <w:sz w:val="17"/>
          <w:szCs w:val="17"/>
          <w:color w:val="auto"/>
        </w:rPr>
        <w:t>Our Corporate Governance Guidelines require the Nominating and Corporate Governance Committee to oversee an annual assessment of the Board and its committees. Our outside counsel, Latham &amp; Watkins, LLP (“Latham”), distributed board evaluations to our Board and each Board member returned an evaluation anonymously. Latham tabulated the results and presented them to the Nominating and Corporate Governance Committee for review and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jc w:val="both"/>
        <w:ind w:right="240"/>
        <w:spacing w:after="0" w:line="255" w:lineRule="auto"/>
        <w:rPr>
          <w:sz w:val="20"/>
          <w:szCs w:val="20"/>
          <w:color w:val="auto"/>
        </w:rPr>
      </w:pPr>
      <w:r>
        <w:rPr>
          <w:rFonts w:ascii="Arial" w:cs="Arial" w:eastAsia="Arial" w:hAnsi="Arial"/>
          <w:sz w:val="17"/>
          <w:szCs w:val="17"/>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Board of Directors has adopted a Policy for Recovery of Erroneously Awarded Compensation (the "Clawback Policy"), in accordance with the Nasdaq listing standards and Rule 10D-1 under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The Clawback Policy is overseen and administered by the Compensation and Talent Committee. The full text of the Clawback Policy was included as Exhibit 97.1 to our Annual Report on Form 10-K for the fiscal year ended December 31, 2023, filed with the SEC on March 5, 2024.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There were four meetings of the Board of Directors during the fiscal year ended December 31, 2023. During the fiscal year ended December 31, 2023, each director attended at least 75% of the aggregate of all meetings of the Board of Directors and meetings of the committees on which the Director served during the period in which he or she served as a director.</w:t>
      </w:r>
    </w:p>
    <w:p>
      <w:pPr>
        <w:spacing w:after="0" w:line="145"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Currently, we do not maintain a formal policy regarding director attendance at the Annual Meeting; however, it is expected that directors will attend absent compelling circumstances. All of our then-incumbent directors attended our annual meeting of stockholders held in 2023.</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Our Board has established four standing committees—Audit, Compensation and Talent, Nominating and Corporate Governance, and Science and Clinical Development—each of which operates under a written charter that has been approved by our Board and is available on our website at www.serestherapeutics.com. All of the members of each of the Board’s four standing committees are independent as defined under the Nasdaq rules. Our Board of Directors has determined that Richard N. Kender, Willard H. Dere, M.D., and Claire M. Fraser, Ph.D.,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each of the Board committees and committee Chairs are set forth in the following chart.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80" w:type="dxa"/>
            <w:vAlign w:val="bottom"/>
            <w:shd w:val="clear" w:color="auto" w:fill="E5E5E5"/>
          </w:tcPr>
          <w:p>
            <w:pPr>
              <w:spacing w:after="0"/>
              <w:rPr>
                <w:sz w:val="13"/>
                <w:szCs w:val="13"/>
                <w:color w:val="auto"/>
              </w:rPr>
            </w:pPr>
          </w:p>
        </w:tc>
        <w:tc>
          <w:tcPr>
            <w:tcW w:w="1580" w:type="dxa"/>
            <w:vAlign w:val="bottom"/>
            <w:shd w:val="clear" w:color="auto" w:fill="E5E5E5"/>
          </w:tcPr>
          <w:p>
            <w:pPr>
              <w:spacing w:after="0"/>
              <w:rPr>
                <w:sz w:val="13"/>
                <w:szCs w:val="13"/>
                <w:color w:val="auto"/>
              </w:rPr>
            </w:pPr>
          </w:p>
        </w:tc>
        <w:tc>
          <w:tcPr>
            <w:tcW w:w="2140" w:type="dxa"/>
            <w:vAlign w:val="bottom"/>
            <w:shd w:val="clear" w:color="auto" w:fill="E5E5E5"/>
          </w:tcPr>
          <w:p>
            <w:pPr>
              <w:ind w:left="540"/>
              <w:spacing w:after="0"/>
              <w:rPr>
                <w:sz w:val="20"/>
                <w:szCs w:val="20"/>
                <w:color w:val="auto"/>
              </w:rPr>
            </w:pPr>
            <w:r>
              <w:rPr>
                <w:rFonts w:ascii="Arial" w:cs="Arial" w:eastAsia="Arial" w:hAnsi="Arial"/>
                <w:sz w:val="13"/>
                <w:szCs w:val="13"/>
                <w:b w:val="1"/>
                <w:bCs w:val="1"/>
                <w:color w:val="auto"/>
              </w:rPr>
              <w:t>Compensation and</w:t>
            </w:r>
          </w:p>
        </w:tc>
        <w:tc>
          <w:tcPr>
            <w:tcW w:w="2100" w:type="dxa"/>
            <w:vAlign w:val="bottom"/>
            <w:shd w:val="clear" w:color="auto" w:fill="E5E5E5"/>
          </w:tcPr>
          <w:p>
            <w:pPr>
              <w:jc w:val="center"/>
              <w:ind w:left="275"/>
              <w:spacing w:after="0"/>
              <w:rPr>
                <w:sz w:val="20"/>
                <w:szCs w:val="20"/>
                <w:color w:val="auto"/>
              </w:rPr>
            </w:pPr>
            <w:r>
              <w:rPr>
                <w:rFonts w:ascii="Arial" w:cs="Arial" w:eastAsia="Arial" w:hAnsi="Arial"/>
                <w:sz w:val="13"/>
                <w:szCs w:val="13"/>
                <w:b w:val="1"/>
                <w:bCs w:val="1"/>
                <w:color w:val="auto"/>
              </w:rPr>
              <w:t>Nominating and</w:t>
            </w:r>
          </w:p>
        </w:tc>
        <w:tc>
          <w:tcPr>
            <w:tcW w:w="2440" w:type="dxa"/>
            <w:vAlign w:val="bottom"/>
            <w:shd w:val="clear" w:color="auto" w:fill="E5E5E5"/>
          </w:tcPr>
          <w:p>
            <w:pPr>
              <w:jc w:val="center"/>
              <w:ind w:left="95"/>
              <w:spacing w:after="0"/>
              <w:rPr>
                <w:sz w:val="20"/>
                <w:szCs w:val="20"/>
                <w:color w:val="auto"/>
              </w:rPr>
            </w:pPr>
            <w:r>
              <w:rPr>
                <w:rFonts w:ascii="Arial" w:cs="Arial" w:eastAsia="Arial" w:hAnsi="Arial"/>
                <w:sz w:val="13"/>
                <w:szCs w:val="13"/>
                <w:b w:val="1"/>
                <w:bCs w:val="1"/>
                <w:color w:val="auto"/>
              </w:rPr>
              <w:t>Science and Clinical Development</w:t>
            </w:r>
          </w:p>
        </w:tc>
      </w:tr>
      <w:tr>
        <w:trPr>
          <w:trHeight w:val="181"/>
        </w:trPr>
        <w:tc>
          <w:tcPr>
            <w:tcW w:w="29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Name</w:t>
            </w:r>
          </w:p>
        </w:tc>
        <w:tc>
          <w:tcPr>
            <w:tcW w:w="158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3"/>
                <w:szCs w:val="13"/>
                <w:b w:val="1"/>
                <w:bCs w:val="1"/>
                <w:color w:val="auto"/>
              </w:rPr>
              <w:t>Audit</w:t>
            </w:r>
          </w:p>
        </w:tc>
        <w:tc>
          <w:tcPr>
            <w:tcW w:w="2140" w:type="dxa"/>
            <w:vAlign w:val="bottom"/>
            <w:tcBorders>
              <w:bottom w:val="single" w:sz="8" w:color="auto"/>
            </w:tcBorders>
            <w:shd w:val="clear" w:color="auto" w:fill="E5E5E5"/>
          </w:tcPr>
          <w:p>
            <w:pPr>
              <w:jc w:val="center"/>
              <w:ind w:left="275"/>
              <w:spacing w:after="0"/>
              <w:rPr>
                <w:sz w:val="20"/>
                <w:szCs w:val="20"/>
                <w:color w:val="auto"/>
              </w:rPr>
            </w:pPr>
            <w:r>
              <w:rPr>
                <w:rFonts w:ascii="Arial" w:cs="Arial" w:eastAsia="Arial" w:hAnsi="Arial"/>
                <w:sz w:val="13"/>
                <w:szCs w:val="13"/>
                <w:b w:val="1"/>
                <w:bCs w:val="1"/>
                <w:color w:val="auto"/>
                <w:w w:val="93"/>
              </w:rPr>
              <w:t>Talent</w:t>
            </w:r>
          </w:p>
        </w:tc>
        <w:tc>
          <w:tcPr>
            <w:tcW w:w="2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3"/>
                <w:szCs w:val="13"/>
                <w:b w:val="1"/>
                <w:bCs w:val="1"/>
                <w:color w:val="auto"/>
              </w:rPr>
              <w:t>Corporate Governance</w:t>
            </w:r>
          </w:p>
        </w:tc>
        <w:tc>
          <w:tcPr>
            <w:tcW w:w="2440" w:type="dxa"/>
            <w:vAlign w:val="bottom"/>
            <w:tcBorders>
              <w:bottom w:val="single" w:sz="8" w:color="auto"/>
            </w:tcBorders>
            <w:shd w:val="clear" w:color="auto" w:fill="E5E5E5"/>
          </w:tcPr>
          <w:p>
            <w:pPr>
              <w:jc w:val="center"/>
              <w:ind w:left="135"/>
              <w:spacing w:after="0"/>
              <w:rPr>
                <w:sz w:val="20"/>
                <w:szCs w:val="20"/>
                <w:color w:val="auto"/>
              </w:rPr>
            </w:pPr>
            <w:r>
              <w:rPr>
                <w:rFonts w:ascii="Arial" w:cs="Arial" w:eastAsia="Arial" w:hAnsi="Arial"/>
                <w:sz w:val="13"/>
                <w:szCs w:val="13"/>
                <w:b w:val="1"/>
                <w:bCs w:val="1"/>
                <w:color w:val="auto"/>
              </w:rPr>
              <w:t>Committee</w:t>
            </w:r>
          </w:p>
        </w:tc>
      </w:tr>
      <w:tr>
        <w:trPr>
          <w:trHeight w:val="199"/>
        </w:trPr>
        <w:tc>
          <w:tcPr>
            <w:tcW w:w="2980" w:type="dxa"/>
            <w:vAlign w:val="bottom"/>
          </w:tcPr>
          <w:p>
            <w:pPr>
              <w:ind w:left="120"/>
              <w:spacing w:after="0"/>
              <w:rPr>
                <w:sz w:val="20"/>
                <w:szCs w:val="20"/>
                <w:color w:val="auto"/>
              </w:rPr>
            </w:pPr>
            <w:r>
              <w:rPr>
                <w:rFonts w:ascii="Arial" w:cs="Arial" w:eastAsia="Arial" w:hAnsi="Arial"/>
                <w:sz w:val="13"/>
                <w:szCs w:val="13"/>
                <w:color w:val="auto"/>
              </w:rPr>
              <w:t>Dennis A. Ausiello, M.D.</w:t>
            </w:r>
          </w:p>
        </w:tc>
        <w:tc>
          <w:tcPr>
            <w:tcW w:w="1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00" w:type="dxa"/>
            <w:vAlign w:val="bottom"/>
          </w:tcPr>
          <w:p>
            <w:pPr>
              <w:jc w:val="center"/>
              <w:ind w:left="275"/>
              <w:spacing w:after="0"/>
              <w:rPr>
                <w:sz w:val="20"/>
                <w:szCs w:val="20"/>
                <w:color w:val="auto"/>
              </w:rPr>
            </w:pPr>
            <w:r>
              <w:rPr>
                <w:rFonts w:ascii="Arial" w:cs="Arial" w:eastAsia="Arial" w:hAnsi="Arial"/>
                <w:sz w:val="13"/>
                <w:szCs w:val="13"/>
                <w:color w:val="auto"/>
                <w:w w:val="91"/>
              </w:rPr>
              <w:t>X</w:t>
            </w:r>
          </w:p>
        </w:tc>
        <w:tc>
          <w:tcPr>
            <w:tcW w:w="2440" w:type="dxa"/>
            <w:vAlign w:val="bottom"/>
          </w:tcPr>
          <w:p>
            <w:pPr>
              <w:jc w:val="center"/>
              <w:ind w:left="135"/>
              <w:spacing w:after="0"/>
              <w:rPr>
                <w:sz w:val="20"/>
                <w:szCs w:val="20"/>
                <w:color w:val="auto"/>
              </w:rPr>
            </w:pPr>
            <w:r>
              <w:rPr>
                <w:rFonts w:ascii="Arial" w:cs="Arial" w:eastAsia="Arial" w:hAnsi="Arial"/>
                <w:sz w:val="13"/>
                <w:szCs w:val="13"/>
                <w:color w:val="auto"/>
              </w:rPr>
              <w:t>Chair</w:t>
            </w:r>
          </w:p>
        </w:tc>
      </w:tr>
      <w:tr>
        <w:trPr>
          <w:trHeight w:val="215"/>
        </w:trPr>
        <w:tc>
          <w:tcPr>
            <w:tcW w:w="2980" w:type="dxa"/>
            <w:vAlign w:val="bottom"/>
            <w:shd w:val="clear" w:color="auto" w:fill="D8D8D8"/>
          </w:tcPr>
          <w:p>
            <w:pPr>
              <w:ind w:left="120"/>
              <w:spacing w:after="0"/>
              <w:rPr>
                <w:sz w:val="20"/>
                <w:szCs w:val="20"/>
                <w:color w:val="auto"/>
              </w:rPr>
            </w:pPr>
            <w:r>
              <w:rPr>
                <w:rFonts w:ascii="Arial" w:cs="Arial" w:eastAsia="Arial" w:hAnsi="Arial"/>
                <w:sz w:val="13"/>
                <w:szCs w:val="13"/>
                <w:color w:val="auto"/>
              </w:rPr>
              <w:t>Stephen A. Berenson</w:t>
            </w:r>
          </w:p>
        </w:tc>
        <w:tc>
          <w:tcPr>
            <w:tcW w:w="1580" w:type="dxa"/>
            <w:vAlign w:val="bottom"/>
            <w:shd w:val="clear" w:color="auto" w:fill="D8D8D8"/>
          </w:tcPr>
          <w:p>
            <w:pPr>
              <w:spacing w:after="0"/>
              <w:rPr>
                <w:sz w:val="18"/>
                <w:szCs w:val="18"/>
                <w:color w:val="auto"/>
              </w:rPr>
            </w:pPr>
          </w:p>
        </w:tc>
        <w:tc>
          <w:tcPr>
            <w:tcW w:w="2140" w:type="dxa"/>
            <w:vAlign w:val="bottom"/>
            <w:shd w:val="clear" w:color="auto" w:fill="D8D8D8"/>
          </w:tcPr>
          <w:p>
            <w:pPr>
              <w:spacing w:after="0"/>
              <w:rPr>
                <w:sz w:val="18"/>
                <w:szCs w:val="18"/>
                <w:color w:val="auto"/>
              </w:rPr>
            </w:pPr>
          </w:p>
        </w:tc>
        <w:tc>
          <w:tcPr>
            <w:tcW w:w="2100" w:type="dxa"/>
            <w:vAlign w:val="bottom"/>
            <w:shd w:val="clear" w:color="auto" w:fill="D8D8D8"/>
          </w:tcPr>
          <w:p>
            <w:pPr>
              <w:jc w:val="center"/>
              <w:ind w:left="275"/>
              <w:spacing w:after="0"/>
              <w:rPr>
                <w:sz w:val="20"/>
                <w:szCs w:val="20"/>
                <w:color w:val="auto"/>
              </w:rPr>
            </w:pPr>
            <w:r>
              <w:rPr>
                <w:rFonts w:ascii="Arial" w:cs="Arial" w:eastAsia="Arial" w:hAnsi="Arial"/>
                <w:sz w:val="13"/>
                <w:szCs w:val="13"/>
                <w:color w:val="auto"/>
              </w:rPr>
              <w:t>Chair</w:t>
            </w:r>
          </w:p>
        </w:tc>
        <w:tc>
          <w:tcPr>
            <w:tcW w:w="2440" w:type="dxa"/>
            <w:vAlign w:val="bottom"/>
            <w:shd w:val="clear" w:color="auto" w:fill="D8D8D8"/>
          </w:tcPr>
          <w:p>
            <w:pPr>
              <w:spacing w:after="0"/>
              <w:rPr>
                <w:sz w:val="18"/>
                <w:szCs w:val="18"/>
                <w:color w:val="auto"/>
              </w:rPr>
            </w:pPr>
          </w:p>
        </w:tc>
      </w:tr>
      <w:tr>
        <w:trPr>
          <w:trHeight w:val="204"/>
        </w:trPr>
        <w:tc>
          <w:tcPr>
            <w:tcW w:w="2980" w:type="dxa"/>
            <w:vAlign w:val="bottom"/>
          </w:tcPr>
          <w:p>
            <w:pPr>
              <w:ind w:left="120"/>
              <w:spacing w:after="0"/>
              <w:rPr>
                <w:sz w:val="20"/>
                <w:szCs w:val="20"/>
                <w:color w:val="auto"/>
              </w:rPr>
            </w:pPr>
            <w:r>
              <w:rPr>
                <w:rFonts w:ascii="Arial" w:cs="Arial" w:eastAsia="Arial" w:hAnsi="Arial"/>
                <w:sz w:val="13"/>
                <w:szCs w:val="13"/>
                <w:color w:val="auto"/>
              </w:rPr>
              <w:t>Paul R. Biondi</w:t>
            </w:r>
          </w:p>
        </w:tc>
        <w:tc>
          <w:tcPr>
            <w:tcW w:w="1580" w:type="dxa"/>
            <w:vAlign w:val="bottom"/>
          </w:tcPr>
          <w:p>
            <w:pPr>
              <w:spacing w:after="0"/>
              <w:rPr>
                <w:sz w:val="17"/>
                <w:szCs w:val="17"/>
                <w:color w:val="auto"/>
              </w:rPr>
            </w:pPr>
          </w:p>
        </w:tc>
        <w:tc>
          <w:tcPr>
            <w:tcW w:w="2140" w:type="dxa"/>
            <w:vAlign w:val="bottom"/>
          </w:tcPr>
          <w:p>
            <w:pPr>
              <w:jc w:val="center"/>
              <w:ind w:left="275"/>
              <w:spacing w:after="0"/>
              <w:rPr>
                <w:sz w:val="20"/>
                <w:szCs w:val="20"/>
                <w:color w:val="auto"/>
              </w:rPr>
            </w:pPr>
            <w:r>
              <w:rPr>
                <w:rFonts w:ascii="Arial" w:cs="Arial" w:eastAsia="Arial" w:hAnsi="Arial"/>
                <w:sz w:val="13"/>
                <w:szCs w:val="13"/>
                <w:color w:val="auto"/>
                <w:w w:val="91"/>
              </w:rPr>
              <w:t>X</w:t>
            </w:r>
          </w:p>
        </w:tc>
        <w:tc>
          <w:tcPr>
            <w:tcW w:w="2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5"/>
        </w:trPr>
        <w:tc>
          <w:tcPr>
            <w:tcW w:w="2980" w:type="dxa"/>
            <w:vAlign w:val="bottom"/>
            <w:shd w:val="clear" w:color="auto" w:fill="E5E5E5"/>
          </w:tcPr>
          <w:p>
            <w:pPr>
              <w:ind w:left="120"/>
              <w:spacing w:after="0"/>
              <w:rPr>
                <w:sz w:val="20"/>
                <w:szCs w:val="20"/>
                <w:color w:val="auto"/>
              </w:rPr>
            </w:pPr>
            <w:r>
              <w:rPr>
                <w:rFonts w:ascii="Arial" w:cs="Arial" w:eastAsia="Arial" w:hAnsi="Arial"/>
                <w:sz w:val="13"/>
                <w:szCs w:val="13"/>
                <w:color w:val="auto"/>
              </w:rPr>
              <w:t>Willard H. Dere, M.D.</w:t>
            </w:r>
          </w:p>
        </w:tc>
        <w:tc>
          <w:tcPr>
            <w:tcW w:w="1580" w:type="dxa"/>
            <w:vAlign w:val="bottom"/>
            <w:shd w:val="clear" w:color="auto" w:fill="E5E5E5"/>
          </w:tcPr>
          <w:p>
            <w:pPr>
              <w:jc w:val="center"/>
              <w:ind w:left="135"/>
              <w:spacing w:after="0"/>
              <w:rPr>
                <w:sz w:val="20"/>
                <w:szCs w:val="20"/>
                <w:color w:val="auto"/>
              </w:rPr>
            </w:pPr>
            <w:r>
              <w:rPr>
                <w:rFonts w:ascii="Arial" w:cs="Arial" w:eastAsia="Arial" w:hAnsi="Arial"/>
                <w:sz w:val="13"/>
                <w:szCs w:val="13"/>
                <w:color w:val="auto"/>
              </w:rPr>
              <w:t>X</w:t>
            </w:r>
          </w:p>
        </w:tc>
        <w:tc>
          <w:tcPr>
            <w:tcW w:w="2140" w:type="dxa"/>
            <w:vAlign w:val="bottom"/>
            <w:shd w:val="clear" w:color="auto" w:fill="E5E5E5"/>
          </w:tcPr>
          <w:p>
            <w:pPr>
              <w:spacing w:after="0"/>
              <w:rPr>
                <w:sz w:val="18"/>
                <w:szCs w:val="18"/>
                <w:color w:val="auto"/>
              </w:rPr>
            </w:pPr>
          </w:p>
        </w:tc>
        <w:tc>
          <w:tcPr>
            <w:tcW w:w="2100" w:type="dxa"/>
            <w:vAlign w:val="bottom"/>
            <w:shd w:val="clear" w:color="auto" w:fill="E5E5E5"/>
          </w:tcPr>
          <w:p>
            <w:pPr>
              <w:spacing w:after="0"/>
              <w:rPr>
                <w:sz w:val="18"/>
                <w:szCs w:val="18"/>
                <w:color w:val="auto"/>
              </w:rPr>
            </w:pPr>
          </w:p>
        </w:tc>
        <w:tc>
          <w:tcPr>
            <w:tcW w:w="2440" w:type="dxa"/>
            <w:vAlign w:val="bottom"/>
            <w:shd w:val="clear" w:color="auto" w:fill="E5E5E5"/>
          </w:tcPr>
          <w:p>
            <w:pPr>
              <w:jc w:val="center"/>
              <w:ind w:left="135"/>
              <w:spacing w:after="0"/>
              <w:rPr>
                <w:sz w:val="20"/>
                <w:szCs w:val="20"/>
                <w:color w:val="auto"/>
              </w:rPr>
            </w:pPr>
            <w:r>
              <w:rPr>
                <w:rFonts w:ascii="Arial" w:cs="Arial" w:eastAsia="Arial" w:hAnsi="Arial"/>
                <w:sz w:val="13"/>
                <w:szCs w:val="13"/>
                <w:color w:val="auto"/>
                <w:w w:val="91"/>
              </w:rPr>
              <w:t>X</w:t>
            </w:r>
          </w:p>
        </w:tc>
      </w:tr>
      <w:tr>
        <w:trPr>
          <w:trHeight w:val="204"/>
        </w:trPr>
        <w:tc>
          <w:tcPr>
            <w:tcW w:w="2980" w:type="dxa"/>
            <w:vAlign w:val="bottom"/>
          </w:tcPr>
          <w:p>
            <w:pPr>
              <w:ind w:left="120"/>
              <w:spacing w:after="0"/>
              <w:rPr>
                <w:sz w:val="20"/>
                <w:szCs w:val="20"/>
                <w:color w:val="auto"/>
              </w:rPr>
            </w:pPr>
            <w:r>
              <w:rPr>
                <w:rFonts w:ascii="Arial" w:cs="Arial" w:eastAsia="Arial" w:hAnsi="Arial"/>
                <w:sz w:val="13"/>
                <w:szCs w:val="13"/>
                <w:color w:val="auto"/>
              </w:rPr>
              <w:t>Claire M. Fraser, Ph.D.</w:t>
            </w:r>
          </w:p>
        </w:tc>
        <w:tc>
          <w:tcPr>
            <w:tcW w:w="1580" w:type="dxa"/>
            <w:vAlign w:val="bottom"/>
          </w:tcPr>
          <w:p>
            <w:pPr>
              <w:jc w:val="center"/>
              <w:ind w:left="135"/>
              <w:spacing w:after="0"/>
              <w:rPr>
                <w:sz w:val="20"/>
                <w:szCs w:val="20"/>
                <w:color w:val="auto"/>
              </w:rPr>
            </w:pPr>
            <w:r>
              <w:rPr>
                <w:rFonts w:ascii="Arial" w:cs="Arial" w:eastAsia="Arial" w:hAnsi="Arial"/>
                <w:sz w:val="13"/>
                <w:szCs w:val="13"/>
                <w:color w:val="auto"/>
              </w:rPr>
              <w:t>X</w:t>
            </w:r>
          </w:p>
        </w:tc>
        <w:tc>
          <w:tcPr>
            <w:tcW w:w="2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40" w:type="dxa"/>
            <w:vAlign w:val="bottom"/>
          </w:tcPr>
          <w:p>
            <w:pPr>
              <w:jc w:val="center"/>
              <w:ind w:left="135"/>
              <w:spacing w:after="0"/>
              <w:rPr>
                <w:sz w:val="20"/>
                <w:szCs w:val="20"/>
                <w:color w:val="auto"/>
              </w:rPr>
            </w:pPr>
            <w:r>
              <w:rPr>
                <w:rFonts w:ascii="Arial" w:cs="Arial" w:eastAsia="Arial" w:hAnsi="Arial"/>
                <w:sz w:val="13"/>
                <w:szCs w:val="13"/>
                <w:color w:val="auto"/>
                <w:w w:val="91"/>
              </w:rPr>
              <w:t>X</w:t>
            </w:r>
          </w:p>
        </w:tc>
      </w:tr>
      <w:tr>
        <w:trPr>
          <w:trHeight w:val="215"/>
        </w:trPr>
        <w:tc>
          <w:tcPr>
            <w:tcW w:w="2980" w:type="dxa"/>
            <w:vAlign w:val="bottom"/>
            <w:shd w:val="clear" w:color="auto" w:fill="E5E5E5"/>
          </w:tcPr>
          <w:p>
            <w:pPr>
              <w:ind w:left="120"/>
              <w:spacing w:after="0"/>
              <w:rPr>
                <w:sz w:val="20"/>
                <w:szCs w:val="20"/>
                <w:color w:val="auto"/>
              </w:rPr>
            </w:pPr>
            <w:r>
              <w:rPr>
                <w:rFonts w:ascii="Arial" w:cs="Arial" w:eastAsia="Arial" w:hAnsi="Arial"/>
                <w:sz w:val="13"/>
                <w:szCs w:val="13"/>
                <w:color w:val="auto"/>
              </w:rPr>
              <w:t>Kurt C. Graves</w:t>
            </w:r>
          </w:p>
        </w:tc>
        <w:tc>
          <w:tcPr>
            <w:tcW w:w="1580" w:type="dxa"/>
            <w:vAlign w:val="bottom"/>
            <w:shd w:val="clear" w:color="auto" w:fill="E5E5E5"/>
          </w:tcPr>
          <w:p>
            <w:pPr>
              <w:spacing w:after="0"/>
              <w:rPr>
                <w:sz w:val="18"/>
                <w:szCs w:val="18"/>
                <w:color w:val="auto"/>
              </w:rPr>
            </w:pPr>
          </w:p>
        </w:tc>
        <w:tc>
          <w:tcPr>
            <w:tcW w:w="2140" w:type="dxa"/>
            <w:vAlign w:val="bottom"/>
            <w:shd w:val="clear" w:color="auto" w:fill="E5E5E5"/>
          </w:tcPr>
          <w:p>
            <w:pPr>
              <w:jc w:val="center"/>
              <w:ind w:left="275"/>
              <w:spacing w:after="0"/>
              <w:rPr>
                <w:sz w:val="20"/>
                <w:szCs w:val="20"/>
                <w:color w:val="auto"/>
              </w:rPr>
            </w:pPr>
            <w:r>
              <w:rPr>
                <w:rFonts w:ascii="Arial" w:cs="Arial" w:eastAsia="Arial" w:hAnsi="Arial"/>
                <w:sz w:val="13"/>
                <w:szCs w:val="13"/>
                <w:color w:val="auto"/>
              </w:rPr>
              <w:t>Chair</w:t>
            </w:r>
          </w:p>
        </w:tc>
        <w:tc>
          <w:tcPr>
            <w:tcW w:w="2100" w:type="dxa"/>
            <w:vAlign w:val="bottom"/>
            <w:shd w:val="clear" w:color="auto" w:fill="E5E5E5"/>
          </w:tcPr>
          <w:p>
            <w:pPr>
              <w:spacing w:after="0"/>
              <w:rPr>
                <w:sz w:val="18"/>
                <w:szCs w:val="18"/>
                <w:color w:val="auto"/>
              </w:rPr>
            </w:pPr>
          </w:p>
        </w:tc>
        <w:tc>
          <w:tcPr>
            <w:tcW w:w="2440" w:type="dxa"/>
            <w:vAlign w:val="bottom"/>
            <w:shd w:val="clear" w:color="auto" w:fill="E5E5E5"/>
          </w:tcPr>
          <w:p>
            <w:pPr>
              <w:spacing w:after="0"/>
              <w:rPr>
                <w:sz w:val="18"/>
                <w:szCs w:val="18"/>
                <w:color w:val="auto"/>
              </w:rPr>
            </w:pPr>
          </w:p>
        </w:tc>
      </w:tr>
      <w:tr>
        <w:trPr>
          <w:trHeight w:val="199"/>
        </w:trPr>
        <w:tc>
          <w:tcPr>
            <w:tcW w:w="2980" w:type="dxa"/>
            <w:vAlign w:val="bottom"/>
          </w:tcPr>
          <w:p>
            <w:pPr>
              <w:ind w:left="120"/>
              <w:spacing w:after="0"/>
              <w:rPr>
                <w:sz w:val="20"/>
                <w:szCs w:val="20"/>
                <w:color w:val="auto"/>
              </w:rPr>
            </w:pPr>
            <w:r>
              <w:rPr>
                <w:rFonts w:ascii="Arial" w:cs="Arial" w:eastAsia="Arial" w:hAnsi="Arial"/>
                <w:sz w:val="13"/>
                <w:szCs w:val="13"/>
                <w:color w:val="auto"/>
              </w:rPr>
              <w:t>Richard N. Kender</w:t>
            </w:r>
          </w:p>
        </w:tc>
        <w:tc>
          <w:tcPr>
            <w:tcW w:w="1580" w:type="dxa"/>
            <w:vAlign w:val="bottom"/>
          </w:tcPr>
          <w:p>
            <w:pPr>
              <w:jc w:val="center"/>
              <w:ind w:left="135"/>
              <w:spacing w:after="0"/>
              <w:rPr>
                <w:sz w:val="20"/>
                <w:szCs w:val="20"/>
                <w:color w:val="auto"/>
              </w:rPr>
            </w:pPr>
            <w:r>
              <w:rPr>
                <w:rFonts w:ascii="Arial" w:cs="Arial" w:eastAsia="Arial" w:hAnsi="Arial"/>
                <w:sz w:val="13"/>
                <w:szCs w:val="13"/>
                <w:color w:val="auto"/>
                <w:w w:val="96"/>
              </w:rPr>
              <w:t>Chair</w:t>
            </w:r>
          </w:p>
        </w:tc>
        <w:tc>
          <w:tcPr>
            <w:tcW w:w="2140" w:type="dxa"/>
            <w:vAlign w:val="bottom"/>
          </w:tcPr>
          <w:p>
            <w:pPr>
              <w:jc w:val="center"/>
              <w:ind w:left="275"/>
              <w:spacing w:after="0"/>
              <w:rPr>
                <w:sz w:val="20"/>
                <w:szCs w:val="20"/>
                <w:color w:val="auto"/>
              </w:rPr>
            </w:pPr>
            <w:r>
              <w:rPr>
                <w:rFonts w:ascii="Arial" w:cs="Arial" w:eastAsia="Arial" w:hAnsi="Arial"/>
                <w:sz w:val="13"/>
                <w:szCs w:val="13"/>
                <w:color w:val="auto"/>
                <w:w w:val="91"/>
              </w:rPr>
              <w:t>X</w:t>
            </w:r>
          </w:p>
        </w:tc>
        <w:tc>
          <w:tcPr>
            <w:tcW w:w="210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Committee’s responsibilities include:</w:t>
      </w:r>
    </w:p>
    <w:p>
      <w:pPr>
        <w:spacing w:after="0" w:line="197" w:lineRule="exact"/>
        <w:rPr>
          <w:sz w:val="20"/>
          <w:szCs w:val="20"/>
          <w:color w:val="auto"/>
        </w:rPr>
      </w:pP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9" w:lineRule="exact"/>
        <w:rPr>
          <w:rFonts w:ascii="Times New Roman" w:cs="Times New Roman" w:eastAsia="Times New Roman" w:hAnsi="Times New Roman"/>
          <w:sz w:val="17"/>
          <w:szCs w:val="17"/>
          <w:color w:val="auto"/>
        </w:rPr>
      </w:pPr>
    </w:p>
    <w:p>
      <w:pPr>
        <w:ind w:left="1020" w:right="10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the work of our independent registered public accounting firm, including through the receipt and consideration of reports from such firm;</w:t>
      </w:r>
    </w:p>
    <w:p>
      <w:pPr>
        <w:ind w:left="1020" w:right="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w:t>
      </w: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discussing our risk management policies;</w:t>
      </w:r>
    </w:p>
    <w:p>
      <w:pPr>
        <w:spacing w:after="0" w:line="13" w:lineRule="exact"/>
        <w:rPr>
          <w:rFonts w:ascii="Times New Roman" w:cs="Times New Roman" w:eastAsia="Times New Roman" w:hAnsi="Times New Roman"/>
          <w:sz w:val="17"/>
          <w:szCs w:val="17"/>
          <w:color w:val="auto"/>
        </w:rPr>
      </w:pPr>
    </w:p>
    <w:p>
      <w:pPr>
        <w:ind w:left="1020" w:right="46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policies regarding hiring employees from the independent registered public accounting firm and procedures for the receipt and retention of accounting related complaints and concerns;</w:t>
      </w: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meeting independently with our internal auditing staff, if any, independent registered public accounting firm and management;</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or ratifying any related person transactions; and</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preparing the Audit Committee report required by the SEC rules (which is included on page 19 of this proxy statement).</w:t>
      </w:r>
    </w:p>
    <w:p>
      <w:pPr>
        <w:spacing w:after="0" w:line="20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members of the Audit Committee are Dr. Dere, Dr. Fraser, and Mr. Kender. Mr. Kender serves as the Chairperson of the committee. Ms. Zausner served as a member of the Audit Committee until June 2023. The members of our Audit Committee meet the requirements for financial literacy under the applicable rules of Nasdaq. Our Board of Directors has determined that each of Dr. Dere, Dr. Fraser, and Mr. Kender is an “audit committee financial expert” as defined by Item 407(d)(5)(ii) of Regulation S-K.</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met five times in 2023.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the following principal duties:</w:t>
      </w:r>
    </w:p>
    <w:p>
      <w:pPr>
        <w:spacing w:after="0" w:line="145" w:lineRule="exact"/>
        <w:rPr>
          <w:sz w:val="20"/>
          <w:szCs w:val="20"/>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annually reviewing and recommending corporate goals and objectives relevant to the compensation for our Chief Executive Officer;</w:t>
      </w:r>
    </w:p>
    <w:p>
      <w:pPr>
        <w:spacing w:after="0" w:line="29"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recommending our Chief Executive Officer’s compensation to the Board for approval;</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approving, or making recommendations to the Board with respect to, the compensation of our other executive officers;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an evaluation of our senior executives;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the development of our senior executives;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our diversity and inclusion policies and practices;</w:t>
      </w:r>
    </w:p>
    <w:p>
      <w:pPr>
        <w:spacing w:after="0" w:line="13" w:lineRule="exact"/>
        <w:rPr>
          <w:rFonts w:ascii="Times New Roman" w:cs="Times New Roman" w:eastAsia="Times New Roman" w:hAnsi="Times New Roman"/>
          <w:sz w:val="17"/>
          <w:szCs w:val="17"/>
          <w:color w:val="auto"/>
        </w:rPr>
      </w:pPr>
    </w:p>
    <w:p>
      <w:pPr>
        <w:ind w:left="1020" w:right="24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periodically reviewing our succession plans for senior executives, other that the Chief Executive Officer, whose succession plan is reviewed by our Nominating &amp; Corporate Governance Committee;</w:t>
      </w: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and administering our cash and equity incentive plans;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and discussing annually with management our “Compensation Discussion and Analysis,” if required; and</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preparing the annual Compensation and Talent Committee report, if required by SEC rules.</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Compensation Setting Process.”</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Compensation and Talent Committee may delegate its authority under its charter to one or more subcommittees as it deems appropriate from time to time as further described in its charter. The Compensation and Talent Committee may also delegate to an officer the authority to grant equity awards to certain employees, as further described in its charter and subject to the terms of our equity plans.</w:t>
      </w:r>
    </w:p>
    <w:p>
      <w:pPr>
        <w:spacing w:after="0" w:line="1"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The members of our Compensation and Talent Committee are Messrs. Biondi, Graves and Kender. Ms. Zausner served as a member of the Compensation and Talent Committee until June 2023. Mr. Graves serves as the Chairperson of the Compensation and Talent Committee.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and Talent Committee met five times in 2023.</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Our Nominating and Corporate Governance Committee’s responsibilities include:</w:t>
      </w:r>
    </w:p>
    <w:p>
      <w:pPr>
        <w:spacing w:after="0" w:line="197" w:lineRule="exact"/>
        <w:rPr>
          <w:sz w:val="20"/>
          <w:szCs w:val="20"/>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identifying individuals qualified to become board members;</w:t>
      </w:r>
    </w:p>
    <w:p>
      <w:pPr>
        <w:spacing w:after="0" w:line="29"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recommending to the Board of Directors the persons to be nominated for election as directors and to each board committee;</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the Board’s leadership structure;</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and recommending to the Board of Directors succession plans for our Chief Executive Officer;</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developing and recommending to the Board of Directors corporate governance principles;</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our strategy, initiatives, policies and risks concerning ESG matters; and</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an annual evaluation of the Board of Directors.</w:t>
      </w:r>
    </w:p>
    <w:p>
      <w:pPr>
        <w:spacing w:after="0" w:line="193"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The members of our Nominating and Corporate Governance Committee are Dr. Ausiello and Mr. Berenson. Mr. Behar served as a member of the Nominating and Corporate Governance Committee until October 2023. Mr. Berenson serves as the Chairperson of the Nominating and Corporate Governance Committee.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and Corporate Governance Committee met three times in 2023.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SCIENCE AND CLINICAL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Our Science and Clinical Development Committee’s responsibilities include:</w:t>
      </w:r>
    </w:p>
    <w:p>
      <w:pPr>
        <w:spacing w:after="0" w:line="197" w:lineRule="exact"/>
        <w:rPr>
          <w:sz w:val="20"/>
          <w:szCs w:val="20"/>
          <w:color w:val="auto"/>
        </w:rPr>
      </w:pPr>
    </w:p>
    <w:p>
      <w:pPr>
        <w:ind w:left="1020" w:right="100" w:hanging="507"/>
        <w:spacing w:after="0" w:line="250"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reviewing the Company's current and planned research and development strategy, programs and initiatives and advising the Board of Directors and the Company's management regarding these matters;</w:t>
      </w:r>
    </w:p>
    <w:p>
      <w:pPr>
        <w:ind w:left="1020" w:hanging="507"/>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overseeing the Company's current and planned clinical development strategy and programs and advising the Board of Directors and the Company's management regarding these matters; and</w:t>
      </w:r>
    </w:p>
    <w:p>
      <w:pPr>
        <w:ind w:left="1020" w:right="660" w:hanging="507"/>
        <w:spacing w:after="0" w:line="262"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strategic advice to the Company's management and the Board of Directors regarding clinical development-related regulatory discussions with applicable agencies.</w:t>
      </w:r>
    </w:p>
    <w:p>
      <w:pPr>
        <w:spacing w:after="0" w:line="145"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members of our Science and Clinical Development Committee are Drs. Ausiello, Dere and Fraser. Dr. Ausiello serves as the Chairperson of the Science and Clinical Development Committee.</w:t>
      </w:r>
    </w:p>
    <w:p>
      <w:pPr>
        <w:spacing w:after="0" w:line="128" w:lineRule="exact"/>
        <w:rPr>
          <w:sz w:val="20"/>
          <w:szCs w:val="20"/>
          <w:color w:val="auto"/>
        </w:rPr>
      </w:pPr>
    </w:p>
    <w:p>
      <w:pPr>
        <w:jc w:val="right"/>
        <w:ind w:right="5480"/>
        <w:spacing w:after="0" w:line="411" w:lineRule="auto"/>
        <w:rPr>
          <w:sz w:val="20"/>
          <w:szCs w:val="20"/>
          <w:color w:val="auto"/>
        </w:rPr>
      </w:pPr>
      <w:r>
        <w:rPr>
          <w:rFonts w:ascii="Arial" w:cs="Arial" w:eastAsia="Arial" w:hAnsi="Arial"/>
          <w:sz w:val="17"/>
          <w:szCs w:val="17"/>
          <w:color w:val="auto"/>
        </w:rPr>
        <w:t>The Science and Clinical Development Committee met two times in 2023.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353695</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765" cy="8255"/>
                    </a:xfrm>
                    <a:prstGeom prst="rect">
                      <a:avLst/>
                    </a:prstGeom>
                    <a:noFill/>
                  </pic:spPr>
                </pic:pic>
              </a:graphicData>
            </a:graphic>
          </wp:anchor>
        </w:drawing>
        <w:t>Executive Compensation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6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As a smaller reporting company, we are eligible to follow the reduced disclosure obligations regarding executive compensation that apply to smaller reporting companies. However, in this section, we have voluntarily elected to include executive compensation disclosure under certain sections of Item 402 of Regulation S-K that are not required of a smaller reporting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the Compensation Discussion and Analysis (“CD&amp;A”) set forth below, we provide an overview and analysis of the compensation awarded to or earned by our named executive officers (“NEOs”) identified in the Summary Compensation Table below during fiscal 2023, including the elements of our compensation program for NEOs, material compensation decisions made under that program for fiscal 2023 and the material factors considered in making those decisions. For the year ended December 31, 2023, our NEOs, which consisted of our principal executive officer and our two most other highly compensated executive officers for fiscal year 2023, were:</w:t>
      </w:r>
    </w:p>
    <w:p>
      <w:pPr>
        <w:spacing w:after="0" w:line="155" w:lineRule="exact"/>
        <w:rPr>
          <w:sz w:val="20"/>
          <w:szCs w:val="20"/>
          <w:color w:val="auto"/>
        </w:rPr>
      </w:pPr>
    </w:p>
    <w:p>
      <w:pPr>
        <w:ind w:left="1020" w:hanging="507"/>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Eric D. Shaff, our President and Chief Executive Officer;</w:t>
      </w:r>
    </w:p>
    <w:p>
      <w:pPr>
        <w:spacing w:after="0" w:line="29"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Teresa L. Young, Ph.D., our Executive Vice President, Chief Commercial and Strategy Officer; and</w:t>
      </w:r>
    </w:p>
    <w:p>
      <w:pPr>
        <w:spacing w:after="0" w:line="13"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Lisa von Moltke, M.D., our Executive Vice President and Chief Medical Officer.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Advisory Vote on Executive Compensation</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At our 2023 Annual Meeting of Stockholders, our stockholders voted in a non-binding, advisory vote to approve the compensation of our NEOs. The Compensation and Talent Committee reviewed the result of this vote, and, in light of the approval by a substantial majority of our stockholders of the compensation programs described in our 2023 proxy statement (representing approximately 99.4% of the votes cast), did not implement any significant changes to our executive compensation program as a result of the vote.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Highlights:</w:t>
      </w:r>
    </w:p>
    <w:p>
      <w:pPr>
        <w:spacing w:after="0" w:line="17" w:lineRule="exact"/>
        <w:rPr>
          <w:sz w:val="20"/>
          <w:szCs w:val="20"/>
          <w:color w:val="auto"/>
        </w:rPr>
      </w:pPr>
    </w:p>
    <w:p>
      <w:pPr>
        <w:ind w:left="1020" w:right="180" w:hanging="507"/>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Base Salaries: We made modest adjustments to base salaries in 2023 based on our review of our position to market against our peer group, and considering the roles and responsibilities of our NEOs. Adjustments made directly align our NEO salaries with our compensation philosophy.</w:t>
      </w:r>
    </w:p>
    <w:p>
      <w:pPr>
        <w:spacing w:after="0" w:line="1" w:lineRule="exact"/>
        <w:rPr>
          <w:rFonts w:ascii="Times New Roman" w:cs="Times New Roman" w:eastAsia="Times New Roman" w:hAnsi="Times New Roman"/>
          <w:sz w:val="17"/>
          <w:szCs w:val="17"/>
          <w:color w:val="auto"/>
        </w:rPr>
      </w:pPr>
    </w:p>
    <w:p>
      <w:pPr>
        <w:ind w:left="1020" w:right="140" w:hanging="507"/>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Annual Bonus: Our annual bonus program continues to align our NEOs with our overall corporate strategy. Based on the Compensation and Talent Committee’s assessment of our overall performance, the corporate objective portion of the 2023 target bonus levels funded at 80% for Mr. Shaff and 90% for Drs. Young and von Moltke. Our CEO’s bonus is based solely on Company performance. Bonuses for our NEOs, other than our CEO, factor in both Company and individual performance. Consistent with our pay for performance philosophy, the individual bonus achievement was 120% for Dr. Young and 130% for Dr. von Moltke.</w:t>
      </w:r>
    </w:p>
    <w:p>
      <w:pPr>
        <w:spacing w:after="0" w:line="3" w:lineRule="exact"/>
        <w:rPr>
          <w:rFonts w:ascii="Times New Roman" w:cs="Times New Roman" w:eastAsia="Times New Roman" w:hAnsi="Times New Roman"/>
          <w:sz w:val="17"/>
          <w:szCs w:val="17"/>
          <w:color w:val="auto"/>
        </w:rPr>
      </w:pPr>
    </w:p>
    <w:p>
      <w:pPr>
        <w:ind w:left="1020" w:right="280" w:hanging="507"/>
        <w:spacing w:after="0" w:line="262"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Annual Equity Awards: In 2023, our NEOs received long-term incentive awards in the form of restricted stock units, performance-based restricted stock units, and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executive compensation program has been designed to motivate, reward, attract and retain high caliber management deemed essential to ensure our success. The program seeks to align executive compensation with our short- and long-term objectives, business strategy and financial performance.</w:t>
      </w:r>
    </w:p>
    <w:p>
      <w:pPr>
        <w:spacing w:after="0" w:line="15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We intend that the total compensation of our NEOs reflect a “pay for performance” compensation philosophy. As detailed in the next section, we generally target total compensation relative to the 50th percentile of our peer group, but the Compensation and Talent Committee retains discretion to adjust compensation reflecting individual factors or performance. Our executive compensation program consists of three primary components: base salary, annual performance-based cash incentive awards and periodic equity-based incentives, which, in 2023, consisted of grants of stock options, restricted stock units, and performance-based restricted stock units.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Compensation Setting Process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Compensation and Talent Committee and Executive Officers</w:t>
      </w:r>
    </w:p>
    <w:p>
      <w:pPr>
        <w:spacing w:after="0" w:line="1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Compensation and Talent Committee evaluates and recommends the compensation for our President and Chief Executive Officer to the Board and makes compensation decisions regarding all of our other NEOs. Our President and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the compensation for our President and Chief Executive Officer, which is made by the Board.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engages compensation consultants to assess and make recommendations with respect to the amount and types of compensation to provide our executives and directors. Aon plc, or Aon, advised our Compensation and Talent Committee through September 2022, and Alpine Rewards, LLC, or Alpine, has advised our Compensation and Talent Committee since October 2022. When making executive compensation decisions in 2023, our Compensation and Talent Committee considered advice and data provided by Aon and Alpine. Aon provided the Compensation and Talent Committee with 2023 peer group information, and Alpine reviewed this data with the Compensation and Talent Committee when the Compensation and Talent Committee determined whether our executive compensation is competitive, commensurate with the executive officers’ responsibilities and consistent with market trends in executive compensation practices for comparable companies. Our Compensation and Talent Committee also met with Alpine to discuss compensation of our executive officers, including our President and Chief Executive Officer. Alpine reported directly to the Compensation and Talent Committee; however, our President and Chief Executive Officer consulted with Alpine with respect to his assessments of the compensation of executive officers other than himself.</w:t>
      </w:r>
    </w:p>
    <w:p>
      <w:pPr>
        <w:spacing w:after="0" w:line="16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Alpine provided no additional services to us other than in its role of advising our Compensation and Talent Committee. The Compensation and Talent Committee has considered the adviser independence factors required under SEC rules and Nasdaq listing standards as they relate to Alpine and does not believe Alpine's work in 2023 raised a conflict of interest.</w:t>
      </w:r>
    </w:p>
    <w:p>
      <w:pPr>
        <w:spacing w:after="0" w:line="145"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2023 Peer Group</w:t>
      </w:r>
    </w:p>
    <w:p>
      <w:pPr>
        <w:spacing w:after="0" w:line="17"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In connection with the Compensation and Talent Committee’s review of our executive compensation programs in late 2022, Aon provided market data and analysis relative to a peer group selected by the Compensation and Talent Committee in consultation with Aon. Peer group companies were selected based on the following parameters:</w:t>
      </w:r>
    </w:p>
    <w:p>
      <w:pPr>
        <w:spacing w:after="0" w:line="153" w:lineRule="exact"/>
        <w:rPr>
          <w:sz w:val="20"/>
          <w:szCs w:val="20"/>
          <w:color w:val="auto"/>
        </w:rPr>
      </w:pPr>
    </w:p>
    <w:p>
      <w:pPr>
        <w:ind w:left="880" w:hanging="246"/>
        <w:spacing w:after="0"/>
        <w:tabs>
          <w:tab w:leader="none" w:pos="8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Company Type</w:t>
      </w:r>
      <w:r>
        <w:rPr>
          <w:rFonts w:ascii="Arial" w:cs="Arial" w:eastAsia="Arial" w:hAnsi="Arial"/>
          <w:sz w:val="17"/>
          <w:szCs w:val="17"/>
          <w:color w:val="auto"/>
        </w:rPr>
        <w:t>: Biopharmaceutical companies;</w:t>
      </w:r>
    </w:p>
    <w:p>
      <w:pPr>
        <w:spacing w:after="0" w:line="29"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Stage of Development</w:t>
      </w:r>
      <w:r>
        <w:rPr>
          <w:rFonts w:ascii="Arial" w:cs="Arial" w:eastAsia="Arial" w:hAnsi="Arial"/>
          <w:sz w:val="17"/>
          <w:szCs w:val="17"/>
          <w:color w:val="auto"/>
        </w:rPr>
        <w:t>: Companies that have recently submitted an NDA or BLA;</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Market </w:t>
      </w:r>
      <w:r>
        <w:rPr>
          <w:rFonts w:ascii="Arial" w:cs="Arial" w:eastAsia="Arial" w:hAnsi="Arial"/>
          <w:sz w:val="17"/>
          <w:szCs w:val="17"/>
          <w:color w:val="auto"/>
        </w:rPr>
        <w:t>Capitalization: Between $150 million and $1.5 billion;</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Headcount</w:t>
      </w:r>
      <w:r>
        <w:rPr>
          <w:rFonts w:ascii="Arial" w:cs="Arial" w:eastAsia="Arial" w:hAnsi="Arial"/>
          <w:sz w:val="17"/>
          <w:szCs w:val="17"/>
          <w:color w:val="auto"/>
        </w:rPr>
        <w:t>: Between 150 and 1,500 employees; and</w:t>
      </w:r>
    </w:p>
    <w:p>
      <w:pPr>
        <w:spacing w:after="0" w:line="13" w:lineRule="exact"/>
        <w:rPr>
          <w:rFonts w:ascii="Times New Roman" w:cs="Times New Roman" w:eastAsia="Times New Roman" w:hAnsi="Times New Roman"/>
          <w:sz w:val="17"/>
          <w:szCs w:val="17"/>
          <w:color w:val="auto"/>
        </w:rPr>
      </w:pPr>
    </w:p>
    <w:p>
      <w:pPr>
        <w:ind w:left="880" w:hanging="246"/>
        <w:spacing w:after="0"/>
        <w:tabs>
          <w:tab w:leader="none" w:pos="8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Under $500 million.</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Compared to the prior year, the criteria used to review and select peers was adjusted as follows: the stage of development was updated to include only companies that have recently submitted a NDA or BLA; the market capitalization range was decreased (as the range was previously $200 million to $2 billion); the headcount range was increased (as the range was previously 100 to 1,000 employees); and the revenue was increased (as the range was previously under $250 million).</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Given these changes in peer company profiles, Aon recommended and, in September 2022, the Compensation and Talent Committee approved, the removal of nine companies (two of which were acquired) and the addition of eight new peer companies that better aligned with the Company’s profile to form the following compensation peer group:</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Arial" w:cs="Arial" w:eastAsia="Arial" w:hAnsi="Arial"/>
                <w:sz w:val="13"/>
                <w:szCs w:val="13"/>
                <w:color w:val="auto"/>
              </w:rPr>
              <w:t>Albireo Pharma Inc.*</w:t>
            </w:r>
          </w:p>
        </w:tc>
        <w:tc>
          <w:tcPr>
            <w:tcW w:w="3760" w:type="dxa"/>
            <w:vAlign w:val="bottom"/>
          </w:tcPr>
          <w:p>
            <w:pPr>
              <w:ind w:left="1180"/>
              <w:spacing w:after="0"/>
              <w:rPr>
                <w:sz w:val="20"/>
                <w:szCs w:val="20"/>
                <w:color w:val="auto"/>
              </w:rPr>
            </w:pPr>
            <w:r>
              <w:rPr>
                <w:rFonts w:ascii="Arial" w:cs="Arial" w:eastAsia="Arial" w:hAnsi="Arial"/>
                <w:sz w:val="13"/>
                <w:szCs w:val="13"/>
                <w:color w:val="auto"/>
              </w:rPr>
              <w:t>Amylyx Pharmaceuticals, Inc.*</w:t>
            </w:r>
          </w:p>
        </w:tc>
        <w:tc>
          <w:tcPr>
            <w:tcW w:w="4200" w:type="dxa"/>
            <w:vAlign w:val="bottom"/>
          </w:tcPr>
          <w:p>
            <w:pPr>
              <w:ind w:left="820"/>
              <w:spacing w:after="0"/>
              <w:rPr>
                <w:sz w:val="20"/>
                <w:szCs w:val="20"/>
                <w:color w:val="auto"/>
              </w:rPr>
            </w:pPr>
            <w:r>
              <w:rPr>
                <w:rFonts w:ascii="Arial" w:cs="Arial" w:eastAsia="Arial" w:hAnsi="Arial"/>
                <w:sz w:val="13"/>
                <w:szCs w:val="13"/>
                <w:color w:val="auto"/>
              </w:rPr>
              <w:t>Arcutis Biotherapeutics, Inc.*</w:t>
            </w:r>
          </w:p>
        </w:tc>
      </w:tr>
      <w:tr>
        <w:trPr>
          <w:trHeight w:val="170"/>
        </w:trPr>
        <w:tc>
          <w:tcPr>
            <w:tcW w:w="2380" w:type="dxa"/>
            <w:vAlign w:val="bottom"/>
            <w:shd w:val="clear" w:color="auto" w:fill="E5E5E5"/>
          </w:tcPr>
          <w:p>
            <w:pPr>
              <w:spacing w:after="0"/>
              <w:rPr>
                <w:sz w:val="20"/>
                <w:szCs w:val="20"/>
                <w:color w:val="auto"/>
              </w:rPr>
            </w:pPr>
            <w:r>
              <w:rPr>
                <w:rFonts w:ascii="Arial" w:cs="Arial" w:eastAsia="Arial" w:hAnsi="Arial"/>
                <w:sz w:val="13"/>
                <w:szCs w:val="13"/>
                <w:color w:val="auto"/>
              </w:rPr>
              <w:t>Ardelyx, Inc.</w:t>
            </w:r>
          </w:p>
        </w:tc>
        <w:tc>
          <w:tcPr>
            <w:tcW w:w="3760" w:type="dxa"/>
            <w:vAlign w:val="bottom"/>
            <w:shd w:val="clear" w:color="auto" w:fill="E5E5E5"/>
          </w:tcPr>
          <w:p>
            <w:pPr>
              <w:ind w:left="1180"/>
              <w:spacing w:after="0"/>
              <w:rPr>
                <w:sz w:val="20"/>
                <w:szCs w:val="20"/>
                <w:color w:val="auto"/>
              </w:rPr>
            </w:pPr>
            <w:r>
              <w:rPr>
                <w:rFonts w:ascii="Arial" w:cs="Arial" w:eastAsia="Arial" w:hAnsi="Arial"/>
                <w:sz w:val="13"/>
                <w:szCs w:val="13"/>
                <w:color w:val="auto"/>
              </w:rPr>
              <w:t>Atara Biotherapeutics Inc.*</w:t>
            </w:r>
          </w:p>
        </w:tc>
        <w:tc>
          <w:tcPr>
            <w:tcW w:w="4200" w:type="dxa"/>
            <w:vAlign w:val="bottom"/>
            <w:shd w:val="clear" w:color="auto" w:fill="E5E5E5"/>
          </w:tcPr>
          <w:p>
            <w:pPr>
              <w:ind w:left="820"/>
              <w:spacing w:after="0"/>
              <w:rPr>
                <w:sz w:val="20"/>
                <w:szCs w:val="20"/>
                <w:color w:val="auto"/>
              </w:rPr>
            </w:pPr>
            <w:r>
              <w:rPr>
                <w:rFonts w:ascii="Arial" w:cs="Arial" w:eastAsia="Arial" w:hAnsi="Arial"/>
                <w:sz w:val="13"/>
                <w:szCs w:val="13"/>
                <w:color w:val="auto"/>
              </w:rPr>
              <w:t>Atea Pharmaceuticals, Inc.*</w:t>
            </w: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5" w:name="page36"/>
    <w:bookmarkEnd w:id="35"/>
    <w:tbl>
      <w:tblPr>
        <w:tblLayout w:type="fixed"/>
        <w:tblInd w:w="46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Arial" w:cs="Arial" w:eastAsia="Arial" w:hAnsi="Arial"/>
                <w:sz w:val="13"/>
                <w:szCs w:val="13"/>
                <w:color w:val="auto"/>
              </w:rPr>
              <w:t>bluebird bio Inc.*</w:t>
            </w:r>
          </w:p>
        </w:tc>
        <w:tc>
          <w:tcPr>
            <w:tcW w:w="3400" w:type="dxa"/>
            <w:vAlign w:val="bottom"/>
          </w:tcPr>
          <w:p>
            <w:pPr>
              <w:ind w:left="840"/>
              <w:spacing w:after="0"/>
              <w:rPr>
                <w:sz w:val="20"/>
                <w:szCs w:val="20"/>
                <w:color w:val="auto"/>
              </w:rPr>
            </w:pPr>
            <w:r>
              <w:rPr>
                <w:rFonts w:ascii="Arial" w:cs="Arial" w:eastAsia="Arial" w:hAnsi="Arial"/>
                <w:sz w:val="13"/>
                <w:szCs w:val="13"/>
                <w:color w:val="auto"/>
              </w:rPr>
              <w:t>Chinook Therapeutics, Inc.*</w:t>
            </w:r>
          </w:p>
        </w:tc>
        <w:tc>
          <w:tcPr>
            <w:tcW w:w="4220" w:type="dxa"/>
            <w:vAlign w:val="bottom"/>
          </w:tcPr>
          <w:p>
            <w:pPr>
              <w:ind w:left="840"/>
              <w:spacing w:after="0"/>
              <w:rPr>
                <w:sz w:val="20"/>
                <w:szCs w:val="20"/>
                <w:color w:val="auto"/>
              </w:rPr>
            </w:pPr>
            <w:r>
              <w:rPr>
                <w:rFonts w:ascii="Arial" w:cs="Arial" w:eastAsia="Arial" w:hAnsi="Arial"/>
                <w:sz w:val="13"/>
                <w:szCs w:val="13"/>
                <w:color w:val="auto"/>
              </w:rPr>
              <w:t>Crinetics Pharmaceuticals, Inc.*</w:t>
            </w:r>
          </w:p>
        </w:tc>
      </w:tr>
      <w:tr>
        <w:trPr>
          <w:trHeight w:val="170"/>
        </w:trPr>
        <w:tc>
          <w:tcPr>
            <w:tcW w:w="2720" w:type="dxa"/>
            <w:vAlign w:val="bottom"/>
            <w:shd w:val="clear" w:color="auto" w:fill="E5E5E5"/>
          </w:tcPr>
          <w:p>
            <w:pPr>
              <w:spacing w:after="0"/>
              <w:rPr>
                <w:sz w:val="20"/>
                <w:szCs w:val="20"/>
                <w:color w:val="auto"/>
              </w:rPr>
            </w:pPr>
            <w:r>
              <w:rPr>
                <w:rFonts w:ascii="Arial" w:cs="Arial" w:eastAsia="Arial" w:hAnsi="Arial"/>
                <w:sz w:val="13"/>
                <w:szCs w:val="13"/>
                <w:color w:val="auto"/>
              </w:rPr>
              <w:t>Deciphera Pharmaceuticals, Inc.</w:t>
            </w:r>
          </w:p>
        </w:tc>
        <w:tc>
          <w:tcPr>
            <w:tcW w:w="3400" w:type="dxa"/>
            <w:vAlign w:val="bottom"/>
            <w:shd w:val="clear" w:color="auto" w:fill="E5E5E5"/>
          </w:tcPr>
          <w:p>
            <w:pPr>
              <w:ind w:left="840"/>
              <w:spacing w:after="0"/>
              <w:rPr>
                <w:sz w:val="20"/>
                <w:szCs w:val="20"/>
                <w:color w:val="auto"/>
              </w:rPr>
            </w:pPr>
            <w:r>
              <w:rPr>
                <w:rFonts w:ascii="Arial" w:cs="Arial" w:eastAsia="Arial" w:hAnsi="Arial"/>
                <w:sz w:val="13"/>
                <w:szCs w:val="13"/>
                <w:color w:val="auto"/>
              </w:rPr>
              <w:t>Evelo Biosciences Inc.</w:t>
            </w:r>
          </w:p>
        </w:tc>
        <w:tc>
          <w:tcPr>
            <w:tcW w:w="4220" w:type="dxa"/>
            <w:vAlign w:val="bottom"/>
            <w:shd w:val="clear" w:color="auto" w:fill="E5E5E5"/>
          </w:tcPr>
          <w:p>
            <w:pPr>
              <w:ind w:left="840"/>
              <w:spacing w:after="0"/>
              <w:rPr>
                <w:sz w:val="20"/>
                <w:szCs w:val="20"/>
                <w:color w:val="auto"/>
              </w:rPr>
            </w:pPr>
            <w:r>
              <w:rPr>
                <w:rFonts w:ascii="Arial" w:cs="Arial" w:eastAsia="Arial" w:hAnsi="Arial"/>
                <w:sz w:val="13"/>
                <w:szCs w:val="13"/>
                <w:color w:val="auto"/>
              </w:rPr>
              <w:t>ImmunoGen, Inc.</w:t>
            </w:r>
          </w:p>
        </w:tc>
      </w:tr>
      <w:tr>
        <w:trPr>
          <w:trHeight w:val="170"/>
        </w:trPr>
        <w:tc>
          <w:tcPr>
            <w:tcW w:w="2720" w:type="dxa"/>
            <w:vAlign w:val="bottom"/>
          </w:tcPr>
          <w:p>
            <w:pPr>
              <w:spacing w:after="0"/>
              <w:rPr>
                <w:sz w:val="20"/>
                <w:szCs w:val="20"/>
                <w:color w:val="auto"/>
              </w:rPr>
            </w:pPr>
            <w:r>
              <w:rPr>
                <w:rFonts w:ascii="Arial" w:cs="Arial" w:eastAsia="Arial" w:hAnsi="Arial"/>
                <w:sz w:val="13"/>
                <w:szCs w:val="13"/>
                <w:color w:val="auto"/>
              </w:rPr>
              <w:t>Inovio Pharmaceuticals, Inc.</w:t>
            </w:r>
          </w:p>
        </w:tc>
        <w:tc>
          <w:tcPr>
            <w:tcW w:w="3400" w:type="dxa"/>
            <w:vAlign w:val="bottom"/>
          </w:tcPr>
          <w:p>
            <w:pPr>
              <w:ind w:left="840"/>
              <w:spacing w:after="0"/>
              <w:rPr>
                <w:sz w:val="20"/>
                <w:szCs w:val="20"/>
                <w:color w:val="auto"/>
              </w:rPr>
            </w:pPr>
            <w:r>
              <w:rPr>
                <w:rFonts w:ascii="Arial" w:cs="Arial" w:eastAsia="Arial" w:hAnsi="Arial"/>
                <w:sz w:val="13"/>
                <w:szCs w:val="13"/>
                <w:color w:val="auto"/>
              </w:rPr>
              <w:t>Karyopham Therapeutics, Inc.</w:t>
            </w:r>
          </w:p>
        </w:tc>
        <w:tc>
          <w:tcPr>
            <w:tcW w:w="4220" w:type="dxa"/>
            <w:vAlign w:val="bottom"/>
          </w:tcPr>
          <w:p>
            <w:pPr>
              <w:ind w:left="840"/>
              <w:spacing w:after="0"/>
              <w:rPr>
                <w:sz w:val="20"/>
                <w:szCs w:val="20"/>
                <w:color w:val="auto"/>
              </w:rPr>
            </w:pPr>
            <w:r>
              <w:rPr>
                <w:rFonts w:ascii="Arial" w:cs="Arial" w:eastAsia="Arial" w:hAnsi="Arial"/>
                <w:sz w:val="13"/>
                <w:szCs w:val="13"/>
                <w:color w:val="auto"/>
              </w:rPr>
              <w:t>MacroGenics, Inc.</w:t>
            </w:r>
          </w:p>
        </w:tc>
      </w:tr>
      <w:tr>
        <w:trPr>
          <w:trHeight w:val="170"/>
        </w:trPr>
        <w:tc>
          <w:tcPr>
            <w:tcW w:w="2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Revance Therapeutics, Inc.</w:t>
            </w:r>
          </w:p>
        </w:tc>
        <w:tc>
          <w:tcPr>
            <w:tcW w:w="3400" w:type="dxa"/>
            <w:vAlign w:val="bottom"/>
            <w:tcBorders>
              <w:bottom w:val="single" w:sz="8" w:color="auto"/>
            </w:tcBorders>
            <w:shd w:val="clear" w:color="auto" w:fill="E5E5E5"/>
          </w:tcPr>
          <w:p>
            <w:pPr>
              <w:ind w:left="840"/>
              <w:spacing w:after="0"/>
              <w:rPr>
                <w:sz w:val="20"/>
                <w:szCs w:val="20"/>
                <w:color w:val="auto"/>
              </w:rPr>
            </w:pPr>
            <w:r>
              <w:rPr>
                <w:rFonts w:ascii="Arial" w:cs="Arial" w:eastAsia="Arial" w:hAnsi="Arial"/>
                <w:sz w:val="13"/>
                <w:szCs w:val="13"/>
                <w:color w:val="auto"/>
              </w:rPr>
              <w:t>Rhythm Pharmaceuticals, Inc.</w:t>
            </w:r>
          </w:p>
        </w:tc>
        <w:tc>
          <w:tcPr>
            <w:tcW w:w="4220" w:type="dxa"/>
            <w:vAlign w:val="bottom"/>
            <w:tcBorders>
              <w:bottom w:val="single" w:sz="8" w:color="auto"/>
            </w:tcBorders>
            <w:shd w:val="clear" w:color="auto" w:fill="E5E5E5"/>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Arial" w:cs="Arial" w:eastAsia="Arial" w:hAnsi="Arial"/>
                <w:sz w:val="13"/>
                <w:szCs w:val="13"/>
                <w:color w:val="auto"/>
              </w:rPr>
              <w:t>* Indicates new peer companies.</w:t>
            </w:r>
          </w:p>
        </w:tc>
        <w:tc>
          <w:tcPr>
            <w:tcW w:w="3400" w:type="dxa"/>
            <w:vAlign w:val="bottom"/>
          </w:tcPr>
          <w:p>
            <w:pPr>
              <w:spacing w:after="0"/>
              <w:rPr>
                <w:sz w:val="14"/>
                <w:szCs w:val="14"/>
                <w:color w:val="auto"/>
              </w:rPr>
            </w:pPr>
          </w:p>
        </w:tc>
        <w:tc>
          <w:tcPr>
            <w:tcW w:w="4220" w:type="dxa"/>
            <w:vAlign w:val="bottom"/>
          </w:tcPr>
          <w:p>
            <w:pPr>
              <w:spacing w:after="0"/>
              <w:rPr>
                <w:sz w:val="14"/>
                <w:szCs w:val="14"/>
                <w:color w:val="auto"/>
              </w:rPr>
            </w:pPr>
          </w:p>
        </w:tc>
      </w:tr>
    </w:tbl>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Compensation and Talent Committee believes the constituent companies in the peer group are similar to us based on development stage, revenue, industry, executive role considerations and market capitalization and are representative of our competitors for talent and capital. Alpine provided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Our Executive Compensation Program</w:t>
      </w:r>
    </w:p>
    <w:p>
      <w:pPr>
        <w:spacing w:after="0" w:line="17"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Historically, and for fiscal 2023, our executive compensation program consisted of the following elements, each established as part of our program in order to achieve the compensation objective specified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b w:val="1"/>
                <w:bCs w:val="1"/>
                <w:color w:val="auto"/>
              </w:rPr>
              <w:t>Compensation Element</w:t>
            </w:r>
          </w:p>
        </w:tc>
        <w:tc>
          <w:tcPr>
            <w:tcW w:w="59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b w:val="1"/>
                <w:bCs w:val="1"/>
                <w:color w:val="auto"/>
              </w:rPr>
              <w:t>Compensation Objectives Designed to be Achieved</w:t>
            </w:r>
          </w:p>
        </w:tc>
      </w:tr>
      <w:tr>
        <w:trPr>
          <w:trHeight w:val="137"/>
        </w:trPr>
        <w:tc>
          <w:tcPr>
            <w:tcW w:w="5260" w:type="dxa"/>
            <w:vAlign w:val="bottom"/>
          </w:tcPr>
          <w:p>
            <w:pPr>
              <w:ind w:left="100"/>
              <w:spacing w:after="0" w:line="138" w:lineRule="exact"/>
              <w:rPr>
                <w:sz w:val="20"/>
                <w:szCs w:val="20"/>
                <w:color w:val="auto"/>
              </w:rPr>
            </w:pPr>
            <w:r>
              <w:rPr>
                <w:rFonts w:ascii="Arial" w:cs="Arial" w:eastAsia="Arial" w:hAnsi="Arial"/>
                <w:sz w:val="13"/>
                <w:szCs w:val="13"/>
                <w:color w:val="auto"/>
              </w:rPr>
              <w:t>Base Salary</w:t>
            </w:r>
          </w:p>
        </w:tc>
        <w:tc>
          <w:tcPr>
            <w:tcW w:w="5980" w:type="dxa"/>
            <w:vAlign w:val="bottom"/>
          </w:tcPr>
          <w:p>
            <w:pPr>
              <w:ind w:left="140"/>
              <w:spacing w:after="0" w:line="138" w:lineRule="exact"/>
              <w:rPr>
                <w:sz w:val="20"/>
                <w:szCs w:val="20"/>
                <w:color w:val="auto"/>
              </w:rPr>
            </w:pPr>
            <w:r>
              <w:rPr>
                <w:rFonts w:ascii="Arial" w:cs="Arial" w:eastAsia="Arial" w:hAnsi="Arial"/>
                <w:sz w:val="13"/>
                <w:szCs w:val="13"/>
                <w:color w:val="auto"/>
              </w:rPr>
              <w:t>Attracts and retains talented executives, recognizes individual roles and responsibilities, and</w:t>
            </w:r>
          </w:p>
        </w:tc>
      </w:tr>
      <w:tr>
        <w:trPr>
          <w:trHeight w:val="170"/>
        </w:trPr>
        <w:tc>
          <w:tcPr>
            <w:tcW w:w="5260" w:type="dxa"/>
            <w:vAlign w:val="bottom"/>
          </w:tcPr>
          <w:p>
            <w:pPr>
              <w:spacing w:after="0"/>
              <w:rPr>
                <w:sz w:val="14"/>
                <w:szCs w:val="14"/>
                <w:color w:val="auto"/>
              </w:rPr>
            </w:pPr>
          </w:p>
        </w:tc>
        <w:tc>
          <w:tcPr>
            <w:tcW w:w="5980" w:type="dxa"/>
            <w:vAlign w:val="bottom"/>
          </w:tcPr>
          <w:p>
            <w:pPr>
              <w:ind w:left="140"/>
              <w:spacing w:after="0"/>
              <w:rPr>
                <w:sz w:val="20"/>
                <w:szCs w:val="20"/>
                <w:color w:val="auto"/>
              </w:rPr>
            </w:pPr>
            <w:r>
              <w:rPr>
                <w:rFonts w:ascii="Arial" w:cs="Arial" w:eastAsia="Arial" w:hAnsi="Arial"/>
                <w:sz w:val="13"/>
                <w:szCs w:val="13"/>
                <w:color w:val="auto"/>
              </w:rPr>
              <w:t>provides stable income.</w:t>
            </w:r>
          </w:p>
        </w:tc>
      </w:tr>
      <w:tr>
        <w:trPr>
          <w:trHeight w:val="144"/>
        </w:trPr>
        <w:tc>
          <w:tcPr>
            <w:tcW w:w="5260" w:type="dxa"/>
            <w:vAlign w:val="bottom"/>
            <w:shd w:val="clear" w:color="auto" w:fill="E5E5E5"/>
          </w:tcPr>
          <w:p>
            <w:pPr>
              <w:ind w:left="100"/>
              <w:spacing w:after="0" w:line="144" w:lineRule="exact"/>
              <w:rPr>
                <w:sz w:val="20"/>
                <w:szCs w:val="20"/>
                <w:color w:val="auto"/>
              </w:rPr>
            </w:pPr>
            <w:r>
              <w:rPr>
                <w:rFonts w:ascii="Arial" w:cs="Arial" w:eastAsia="Arial" w:hAnsi="Arial"/>
                <w:sz w:val="13"/>
                <w:szCs w:val="13"/>
                <w:color w:val="auto"/>
              </w:rPr>
              <w:t>Cash-Based Incentive Compensation</w:t>
            </w:r>
          </w:p>
        </w:tc>
        <w:tc>
          <w:tcPr>
            <w:tcW w:w="5980" w:type="dxa"/>
            <w:vAlign w:val="bottom"/>
            <w:shd w:val="clear" w:color="auto" w:fill="E5E5E5"/>
          </w:tcPr>
          <w:p>
            <w:pPr>
              <w:ind w:left="140"/>
              <w:spacing w:after="0" w:line="144" w:lineRule="exact"/>
              <w:rPr>
                <w:sz w:val="20"/>
                <w:szCs w:val="20"/>
                <w:color w:val="auto"/>
              </w:rPr>
            </w:pPr>
            <w:r>
              <w:rPr>
                <w:rFonts w:ascii="Arial" w:cs="Arial" w:eastAsia="Arial" w:hAnsi="Arial"/>
                <w:sz w:val="13"/>
                <w:szCs w:val="13"/>
                <w:color w:val="auto"/>
              </w:rPr>
              <w:t>Promotes short-term performance objectives and rewards executives for their contributions toward</w:t>
            </w:r>
          </w:p>
        </w:tc>
      </w:tr>
      <w:tr>
        <w:trPr>
          <w:trHeight w:val="170"/>
        </w:trPr>
        <w:tc>
          <w:tcPr>
            <w:tcW w:w="5260" w:type="dxa"/>
            <w:vAlign w:val="bottom"/>
            <w:shd w:val="clear" w:color="auto" w:fill="E5E5E5"/>
          </w:tcPr>
          <w:p>
            <w:pPr>
              <w:spacing w:after="0"/>
              <w:rPr>
                <w:sz w:val="14"/>
                <w:szCs w:val="14"/>
                <w:color w:val="auto"/>
              </w:rPr>
            </w:pPr>
          </w:p>
        </w:tc>
        <w:tc>
          <w:tcPr>
            <w:tcW w:w="5980" w:type="dxa"/>
            <w:vAlign w:val="bottom"/>
            <w:shd w:val="clear" w:color="auto" w:fill="E5E5E5"/>
          </w:tcPr>
          <w:p>
            <w:pPr>
              <w:ind w:left="140"/>
              <w:spacing w:after="0"/>
              <w:rPr>
                <w:sz w:val="20"/>
                <w:szCs w:val="20"/>
                <w:color w:val="auto"/>
              </w:rPr>
            </w:pPr>
            <w:r>
              <w:rPr>
                <w:rFonts w:ascii="Arial" w:cs="Arial" w:eastAsia="Arial" w:hAnsi="Arial"/>
                <w:sz w:val="13"/>
                <w:szCs w:val="13"/>
                <w:color w:val="auto"/>
              </w:rPr>
              <w:t>achieving those objectives.</w:t>
            </w:r>
          </w:p>
        </w:tc>
      </w:tr>
      <w:tr>
        <w:trPr>
          <w:trHeight w:val="144"/>
        </w:trPr>
        <w:tc>
          <w:tcPr>
            <w:tcW w:w="5260" w:type="dxa"/>
            <w:vAlign w:val="bottom"/>
          </w:tcPr>
          <w:p>
            <w:pPr>
              <w:ind w:left="100"/>
              <w:spacing w:after="0" w:line="144" w:lineRule="exact"/>
              <w:rPr>
                <w:sz w:val="20"/>
                <w:szCs w:val="20"/>
                <w:color w:val="auto"/>
              </w:rPr>
            </w:pPr>
            <w:r>
              <w:rPr>
                <w:rFonts w:ascii="Arial" w:cs="Arial" w:eastAsia="Arial" w:hAnsi="Arial"/>
                <w:sz w:val="13"/>
                <w:szCs w:val="13"/>
                <w:color w:val="auto"/>
              </w:rPr>
              <w:t>Equity-Based Compensation</w:t>
            </w:r>
          </w:p>
        </w:tc>
        <w:tc>
          <w:tcPr>
            <w:tcW w:w="5980" w:type="dxa"/>
            <w:vAlign w:val="bottom"/>
          </w:tcPr>
          <w:p>
            <w:pPr>
              <w:ind w:left="140"/>
              <w:spacing w:after="0" w:line="144" w:lineRule="exact"/>
              <w:rPr>
                <w:sz w:val="20"/>
                <w:szCs w:val="20"/>
                <w:color w:val="auto"/>
              </w:rPr>
            </w:pPr>
            <w:r>
              <w:rPr>
                <w:rFonts w:ascii="Arial" w:cs="Arial" w:eastAsia="Arial" w:hAnsi="Arial"/>
                <w:sz w:val="13"/>
                <w:szCs w:val="13"/>
                <w:color w:val="auto"/>
              </w:rPr>
              <w:t>Aligns executives’ interests with our stockholders’ interests, emphasizes long-term financial and</w:t>
            </w:r>
          </w:p>
        </w:tc>
      </w:tr>
      <w:tr>
        <w:trPr>
          <w:trHeight w:val="170"/>
        </w:trPr>
        <w:tc>
          <w:tcPr>
            <w:tcW w:w="5260" w:type="dxa"/>
            <w:vAlign w:val="bottom"/>
          </w:tcPr>
          <w:p>
            <w:pPr>
              <w:spacing w:after="0"/>
              <w:rPr>
                <w:sz w:val="14"/>
                <w:szCs w:val="14"/>
                <w:color w:val="auto"/>
              </w:rPr>
            </w:pPr>
          </w:p>
        </w:tc>
        <w:tc>
          <w:tcPr>
            <w:tcW w:w="5980" w:type="dxa"/>
            <w:vAlign w:val="bottom"/>
          </w:tcPr>
          <w:p>
            <w:pPr>
              <w:ind w:left="140"/>
              <w:spacing w:after="0"/>
              <w:rPr>
                <w:sz w:val="20"/>
                <w:szCs w:val="20"/>
                <w:color w:val="auto"/>
              </w:rPr>
            </w:pPr>
            <w:r>
              <w:rPr>
                <w:rFonts w:ascii="Arial" w:cs="Arial" w:eastAsia="Arial" w:hAnsi="Arial"/>
                <w:sz w:val="13"/>
                <w:szCs w:val="13"/>
                <w:color w:val="auto"/>
              </w:rPr>
              <w:t>operational performance, and helps retain executive talent.</w:t>
            </w:r>
          </w:p>
        </w:tc>
      </w:tr>
      <w:tr>
        <w:trPr>
          <w:trHeight w:val="144"/>
        </w:trPr>
        <w:tc>
          <w:tcPr>
            <w:tcW w:w="5260" w:type="dxa"/>
            <w:vAlign w:val="bottom"/>
            <w:shd w:val="clear" w:color="auto" w:fill="E5E5E5"/>
          </w:tcPr>
          <w:p>
            <w:pPr>
              <w:ind w:left="100"/>
              <w:spacing w:after="0" w:line="144" w:lineRule="exact"/>
              <w:rPr>
                <w:sz w:val="20"/>
                <w:szCs w:val="20"/>
                <w:color w:val="auto"/>
              </w:rPr>
            </w:pPr>
            <w:r>
              <w:rPr>
                <w:rFonts w:ascii="Arial" w:cs="Arial" w:eastAsia="Arial" w:hAnsi="Arial"/>
                <w:sz w:val="13"/>
                <w:szCs w:val="13"/>
                <w:color w:val="auto"/>
              </w:rPr>
              <w:t>Severance and Other Benefits Potentially Payable upon Termination of Employment or</w:t>
            </w:r>
          </w:p>
        </w:tc>
        <w:tc>
          <w:tcPr>
            <w:tcW w:w="5980" w:type="dxa"/>
            <w:vAlign w:val="bottom"/>
            <w:shd w:val="clear" w:color="auto" w:fill="E5E5E5"/>
          </w:tcPr>
          <w:p>
            <w:pPr>
              <w:ind w:left="140"/>
              <w:spacing w:after="0" w:line="144" w:lineRule="exact"/>
              <w:rPr>
                <w:sz w:val="20"/>
                <w:szCs w:val="20"/>
                <w:color w:val="auto"/>
              </w:rPr>
            </w:pPr>
            <w:r>
              <w:rPr>
                <w:rFonts w:ascii="Arial" w:cs="Arial" w:eastAsia="Arial" w:hAnsi="Arial"/>
                <w:sz w:val="13"/>
                <w:szCs w:val="13"/>
                <w:color w:val="auto"/>
              </w:rPr>
              <w:t>Aids in attracting and retaining executive talent and help executives to remain focused and</w:t>
            </w:r>
          </w:p>
        </w:tc>
      </w:tr>
      <w:tr>
        <w:trPr>
          <w:trHeight w:val="170"/>
        </w:trPr>
        <w:tc>
          <w:tcPr>
            <w:tcW w:w="5260" w:type="dxa"/>
            <w:vAlign w:val="bottom"/>
            <w:shd w:val="clear" w:color="auto" w:fill="E5E5E5"/>
          </w:tcPr>
          <w:p>
            <w:pPr>
              <w:ind w:left="100"/>
              <w:spacing w:after="0"/>
              <w:rPr>
                <w:sz w:val="20"/>
                <w:szCs w:val="20"/>
                <w:color w:val="auto"/>
              </w:rPr>
            </w:pPr>
            <w:r>
              <w:rPr>
                <w:rFonts w:ascii="Arial" w:cs="Arial" w:eastAsia="Arial" w:hAnsi="Arial"/>
                <w:sz w:val="13"/>
                <w:szCs w:val="13"/>
                <w:color w:val="auto"/>
              </w:rPr>
              <w:t>Change in Control</w:t>
            </w:r>
          </w:p>
        </w:tc>
        <w:tc>
          <w:tcPr>
            <w:tcW w:w="598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dedicated during potential transition periods due to a Change in Control.</w:t>
            </w:r>
          </w:p>
        </w:tc>
      </w:tr>
      <w:tr>
        <w:trPr>
          <w:trHeight w:val="144"/>
        </w:trPr>
        <w:tc>
          <w:tcPr>
            <w:tcW w:w="5260" w:type="dxa"/>
            <w:vAlign w:val="bottom"/>
          </w:tcPr>
          <w:p>
            <w:pPr>
              <w:ind w:left="100"/>
              <w:spacing w:after="0" w:line="144" w:lineRule="exact"/>
              <w:rPr>
                <w:sz w:val="20"/>
                <w:szCs w:val="20"/>
                <w:color w:val="auto"/>
              </w:rPr>
            </w:pPr>
            <w:r>
              <w:rPr>
                <w:rFonts w:ascii="Arial" w:cs="Arial" w:eastAsia="Arial" w:hAnsi="Arial"/>
                <w:sz w:val="13"/>
                <w:szCs w:val="13"/>
                <w:color w:val="auto"/>
              </w:rPr>
              <w:t>Retirement, Health, Welfare and Additional Benefits</w:t>
            </w:r>
          </w:p>
        </w:tc>
        <w:tc>
          <w:tcPr>
            <w:tcW w:w="5980" w:type="dxa"/>
            <w:vAlign w:val="bottom"/>
          </w:tcPr>
          <w:p>
            <w:pPr>
              <w:ind w:left="140"/>
              <w:spacing w:after="0" w:line="144" w:lineRule="exact"/>
              <w:rPr>
                <w:sz w:val="20"/>
                <w:szCs w:val="20"/>
                <w:color w:val="auto"/>
              </w:rPr>
            </w:pPr>
            <w:r>
              <w:rPr>
                <w:rFonts w:ascii="Arial" w:cs="Arial" w:eastAsia="Arial" w:hAnsi="Arial"/>
                <w:sz w:val="13"/>
                <w:szCs w:val="13"/>
                <w:color w:val="auto"/>
              </w:rPr>
              <w:t>Aids in attracting and retaining executive talent by supplementing competitive compensation</w:t>
            </w:r>
          </w:p>
        </w:tc>
      </w:tr>
      <w:tr>
        <w:trPr>
          <w:trHeight w:val="170"/>
        </w:trPr>
        <w:tc>
          <w:tcPr>
            <w:tcW w:w="526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packages.</w:t>
            </w:r>
          </w:p>
        </w:tc>
      </w:tr>
    </w:tbl>
    <w:p>
      <w:pPr>
        <w:spacing w:after="0" w:line="179"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color w:val="auto"/>
        </w:rPr>
        <w:t>We do not currently have, and we do not expect to have, formal policies relating to the allocation of total compensation among the various elements of our compensation program.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17"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 base salaries of our NEOs are an important part of their total compensation package, and are intended to reflect their respective positions, duties and responsibilities. Our NEOs receive base salary to compensate them for the satisfactory performance of duties to our Company. The base salary payable to each NEO is intended to provide a visible and stable fixed component of compensation reflecting the executive’s skill set, experience, role and responsibilities. Base salaries provide our NEOs with a reasonable degree of financial certainty and stability.</w:t>
      </w:r>
    </w:p>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Compensation and Talent Committee periodically reviews NEO base salaries in consultation with management and the committee's compensation consultant to determine whether any adjustments are necessary or appropriate. We elected to increase the 2024 base salary of Dr. Young by 8.7% to better align her salary with the 50th percentile of our peer group while considering individual performance, experience, and level of contribution. Our other NEOs did not receive salary increases in 2024. The following table shows the annual base salaries of our NEOs for 2022, 2023 and 2024. All annual base salary increases were effective January 1 of the given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46990</wp:posOffset>
            </wp:positionV>
            <wp:extent cx="100330" cy="2578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330" cy="257810"/>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46990</wp:posOffset>
            </wp:positionV>
            <wp:extent cx="92075" cy="2578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2075" cy="257810"/>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46990</wp:posOffset>
            </wp:positionV>
            <wp:extent cx="92075" cy="2578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2075" cy="25781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shd w:val="clear" w:color="auto" w:fill="E5E5E5"/>
          </w:tcPr>
          <w:p>
            <w:pPr>
              <w:spacing w:after="0"/>
              <w:rPr>
                <w:sz w:val="15"/>
                <w:szCs w:val="15"/>
                <w:color w:val="auto"/>
              </w:rPr>
            </w:pPr>
          </w:p>
        </w:tc>
        <w:tc>
          <w:tcPr>
            <w:tcW w:w="1480" w:type="dxa"/>
            <w:vAlign w:val="bottom"/>
            <w:shd w:val="clear" w:color="auto" w:fill="E5E5E5"/>
          </w:tcPr>
          <w:p>
            <w:pPr>
              <w:jc w:val="right"/>
              <w:ind w:right="95"/>
              <w:spacing w:after="0"/>
              <w:rPr>
                <w:sz w:val="20"/>
                <w:szCs w:val="20"/>
                <w:color w:val="auto"/>
              </w:rPr>
            </w:pPr>
            <w:r>
              <w:rPr>
                <w:rFonts w:ascii="Arial" w:cs="Arial" w:eastAsia="Arial" w:hAnsi="Arial"/>
                <w:sz w:val="13"/>
                <w:szCs w:val="13"/>
                <w:color w:val="auto"/>
              </w:rPr>
              <w:t>2022 Annual Base</w:t>
            </w:r>
          </w:p>
        </w:tc>
        <w:tc>
          <w:tcPr>
            <w:tcW w:w="120" w:type="dxa"/>
            <w:vAlign w:val="bottom"/>
            <w:shd w:val="clear" w:color="auto" w:fill="E5E5E5"/>
          </w:tcPr>
          <w:p>
            <w:pPr>
              <w:spacing w:after="0"/>
              <w:rPr>
                <w:sz w:val="15"/>
                <w:szCs w:val="15"/>
                <w:color w:val="auto"/>
              </w:rPr>
            </w:pPr>
          </w:p>
        </w:tc>
        <w:tc>
          <w:tcPr>
            <w:tcW w:w="1500" w:type="dxa"/>
            <w:vAlign w:val="bottom"/>
            <w:shd w:val="clear" w:color="auto" w:fill="E5E5E5"/>
          </w:tcPr>
          <w:p>
            <w:pPr>
              <w:jc w:val="right"/>
              <w:ind w:right="115"/>
              <w:spacing w:after="0"/>
              <w:rPr>
                <w:sz w:val="20"/>
                <w:szCs w:val="20"/>
                <w:color w:val="auto"/>
              </w:rPr>
            </w:pPr>
            <w:r>
              <w:rPr>
                <w:rFonts w:ascii="Arial" w:cs="Arial" w:eastAsia="Arial" w:hAnsi="Arial"/>
                <w:sz w:val="13"/>
                <w:szCs w:val="13"/>
                <w:color w:val="auto"/>
              </w:rPr>
              <w:t>2023 Annual Base</w:t>
            </w:r>
          </w:p>
        </w:tc>
        <w:tc>
          <w:tcPr>
            <w:tcW w:w="100" w:type="dxa"/>
            <w:vAlign w:val="bottom"/>
            <w:shd w:val="clear" w:color="auto" w:fill="E5E5E5"/>
          </w:tcPr>
          <w:p>
            <w:pPr>
              <w:spacing w:after="0"/>
              <w:rPr>
                <w:sz w:val="15"/>
                <w:szCs w:val="15"/>
                <w:color w:val="auto"/>
              </w:rPr>
            </w:pPr>
          </w:p>
        </w:tc>
        <w:tc>
          <w:tcPr>
            <w:tcW w:w="1580" w:type="dxa"/>
            <w:vAlign w:val="bottom"/>
            <w:gridSpan w:val="2"/>
            <w:shd w:val="clear" w:color="auto" w:fill="E5E5E5"/>
          </w:tcPr>
          <w:p>
            <w:pPr>
              <w:ind w:left="240"/>
              <w:spacing w:after="0"/>
              <w:rPr>
                <w:sz w:val="20"/>
                <w:szCs w:val="20"/>
                <w:color w:val="auto"/>
              </w:rPr>
            </w:pPr>
            <w:r>
              <w:rPr>
                <w:rFonts w:ascii="Arial" w:cs="Arial" w:eastAsia="Arial" w:hAnsi="Arial"/>
                <w:sz w:val="13"/>
                <w:szCs w:val="13"/>
                <w:color w:val="auto"/>
              </w:rPr>
              <w:t>2024 Annual Base</w:t>
            </w:r>
          </w:p>
        </w:tc>
      </w:tr>
      <w:tr>
        <w:trPr>
          <w:trHeight w:val="170"/>
        </w:trPr>
        <w:tc>
          <w:tcPr>
            <w:tcW w:w="64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color w:val="auto"/>
              </w:rPr>
              <w:t>Name</w:t>
            </w:r>
          </w:p>
        </w:tc>
        <w:tc>
          <w:tcPr>
            <w:tcW w:w="14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3"/>
                <w:szCs w:val="13"/>
                <w:color w:val="auto"/>
              </w:rPr>
              <w:t>Salary ($)</w:t>
            </w:r>
          </w:p>
        </w:tc>
        <w:tc>
          <w:tcPr>
            <w:tcW w:w="120" w:type="dxa"/>
            <w:vAlign w:val="bottom"/>
            <w:tcBorders>
              <w:bottom w:val="single" w:sz="8" w:color="E5E5E5"/>
            </w:tcBorders>
            <w:shd w:val="clear" w:color="auto" w:fill="E5E5E5"/>
          </w:tcPr>
          <w:p>
            <w:pPr>
              <w:spacing w:after="0"/>
              <w:rPr>
                <w:sz w:val="14"/>
                <w:szCs w:val="14"/>
                <w:color w:val="auto"/>
              </w:rPr>
            </w:pPr>
          </w:p>
        </w:tc>
        <w:tc>
          <w:tcPr>
            <w:tcW w:w="15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3"/>
                <w:szCs w:val="13"/>
                <w:color w:val="auto"/>
              </w:rPr>
              <w:t>Salary ($)</w:t>
            </w:r>
          </w:p>
        </w:tc>
        <w:tc>
          <w:tcPr>
            <w:tcW w:w="100" w:type="dxa"/>
            <w:vAlign w:val="bottom"/>
            <w:tcBorders>
              <w:bottom w:val="single" w:sz="8" w:color="E5E5E5"/>
            </w:tcBorders>
            <w:shd w:val="clear" w:color="auto" w:fill="E5E5E5"/>
          </w:tcPr>
          <w:p>
            <w:pPr>
              <w:spacing w:after="0"/>
              <w:rPr>
                <w:sz w:val="14"/>
                <w:szCs w:val="14"/>
                <w:color w:val="auto"/>
              </w:rPr>
            </w:pPr>
          </w:p>
        </w:tc>
        <w:tc>
          <w:tcPr>
            <w:tcW w:w="14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3"/>
                <w:szCs w:val="13"/>
                <w:color w:val="auto"/>
              </w:rPr>
              <w:t>Salary ($)</w:t>
            </w:r>
          </w:p>
        </w:tc>
        <w:tc>
          <w:tcPr>
            <w:tcW w:w="100" w:type="dxa"/>
            <w:vAlign w:val="bottom"/>
            <w:tcBorders>
              <w:bottom w:val="single" w:sz="8" w:color="E5E5E5"/>
            </w:tcBorders>
            <w:shd w:val="clear" w:color="auto" w:fill="E5E5E5"/>
          </w:tcPr>
          <w:p>
            <w:pPr>
              <w:spacing w:after="0"/>
              <w:rPr>
                <w:sz w:val="14"/>
                <w:szCs w:val="14"/>
                <w:color w:val="auto"/>
              </w:rPr>
            </w:pPr>
          </w:p>
        </w:tc>
      </w:tr>
      <w:tr>
        <w:trPr>
          <w:trHeight w:val="164"/>
        </w:trPr>
        <w:tc>
          <w:tcPr>
            <w:tcW w:w="6460" w:type="dxa"/>
            <w:vAlign w:val="bottom"/>
          </w:tcPr>
          <w:p>
            <w:pPr>
              <w:ind w:left="100"/>
              <w:spacing w:after="0"/>
              <w:rPr>
                <w:sz w:val="20"/>
                <w:szCs w:val="20"/>
                <w:color w:val="auto"/>
              </w:rPr>
            </w:pPr>
            <w:r>
              <w:rPr>
                <w:rFonts w:ascii="Arial" w:cs="Arial" w:eastAsia="Arial" w:hAnsi="Arial"/>
                <w:sz w:val="13"/>
                <w:szCs w:val="13"/>
                <w:color w:val="auto"/>
              </w:rPr>
              <w:t>Eric D. Shaff</w:t>
            </w:r>
          </w:p>
        </w:tc>
        <w:tc>
          <w:tcPr>
            <w:tcW w:w="1480" w:type="dxa"/>
            <w:vAlign w:val="bottom"/>
          </w:tcPr>
          <w:p>
            <w:pPr>
              <w:jc w:val="right"/>
              <w:spacing w:after="0"/>
              <w:rPr>
                <w:sz w:val="20"/>
                <w:szCs w:val="20"/>
                <w:color w:val="auto"/>
              </w:rPr>
            </w:pPr>
            <w:r>
              <w:rPr>
                <w:rFonts w:ascii="Arial" w:cs="Arial" w:eastAsia="Arial" w:hAnsi="Arial"/>
                <w:sz w:val="13"/>
                <w:szCs w:val="13"/>
                <w:color w:val="auto"/>
              </w:rPr>
              <w:t>661,600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685,000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685,000</w:t>
            </w:r>
          </w:p>
        </w:tc>
        <w:tc>
          <w:tcPr>
            <w:tcW w:w="100" w:type="dxa"/>
            <w:vAlign w:val="bottom"/>
          </w:tcPr>
          <w:p>
            <w:pPr>
              <w:spacing w:after="0"/>
              <w:rPr>
                <w:sz w:val="14"/>
                <w:szCs w:val="14"/>
                <w:color w:val="auto"/>
              </w:rPr>
            </w:pPr>
          </w:p>
        </w:tc>
      </w:tr>
      <w:tr>
        <w:trPr>
          <w:trHeight w:val="170"/>
        </w:trPr>
        <w:tc>
          <w:tcPr>
            <w:tcW w:w="6460" w:type="dxa"/>
            <w:vAlign w:val="bottom"/>
          </w:tcPr>
          <w:p>
            <w:pPr>
              <w:ind w:left="100"/>
              <w:spacing w:after="0"/>
              <w:rPr>
                <w:sz w:val="20"/>
                <w:szCs w:val="20"/>
                <w:color w:val="auto"/>
              </w:rPr>
            </w:pPr>
            <w:r>
              <w:rPr>
                <w:rFonts w:ascii="Arial" w:cs="Arial" w:eastAsia="Arial" w:hAnsi="Arial"/>
                <w:sz w:val="13"/>
                <w:szCs w:val="13"/>
                <w:color w:val="auto"/>
              </w:rPr>
              <w:t>Teresa L. Young, Ph.D.</w:t>
            </w:r>
          </w:p>
        </w:tc>
        <w:tc>
          <w:tcPr>
            <w:tcW w:w="1480" w:type="dxa"/>
            <w:vAlign w:val="bottom"/>
          </w:tcPr>
          <w:p>
            <w:pPr>
              <w:jc w:val="right"/>
              <w:spacing w:after="0"/>
              <w:rPr>
                <w:sz w:val="20"/>
                <w:szCs w:val="20"/>
                <w:color w:val="auto"/>
              </w:rPr>
            </w:pPr>
            <w:r>
              <w:rPr>
                <w:rFonts w:ascii="Arial" w:cs="Arial" w:eastAsia="Arial" w:hAnsi="Arial"/>
                <w:sz w:val="13"/>
                <w:szCs w:val="13"/>
                <w:color w:val="auto"/>
              </w:rPr>
              <w:t>405,000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437,000</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475,000</w:t>
            </w:r>
          </w:p>
        </w:tc>
        <w:tc>
          <w:tcPr>
            <w:tcW w:w="100" w:type="dxa"/>
            <w:vAlign w:val="bottom"/>
          </w:tcPr>
          <w:p>
            <w:pPr>
              <w:spacing w:after="0"/>
              <w:rPr>
                <w:sz w:val="14"/>
                <w:szCs w:val="14"/>
                <w:color w:val="auto"/>
              </w:rPr>
            </w:pPr>
          </w:p>
        </w:tc>
      </w:tr>
      <w:tr>
        <w:trPr>
          <w:trHeight w:val="170"/>
        </w:trPr>
        <w:tc>
          <w:tcPr>
            <w:tcW w:w="6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Lisa von Moltke, M.D.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490,000</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515,000</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515,000</w:t>
            </w:r>
          </w:p>
        </w:tc>
        <w:tc>
          <w:tcPr>
            <w:tcW w:w="100" w:type="dxa"/>
            <w:vAlign w:val="bottom"/>
          </w:tcPr>
          <w:p>
            <w:pPr>
              <w:spacing w:after="0"/>
              <w:rPr>
                <w:sz w:val="14"/>
                <w:szCs w:val="14"/>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Cash-Based Incentive Compensation</w:t>
      </w:r>
    </w:p>
    <w:p>
      <w:pPr>
        <w:spacing w:after="0" w:line="1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NEOs generally have the opportunity to earn annual performance bonuses based on the achievement of short-term performance goals. The NEOs’ 2023 target annual cash bonuses, expressed as a percentage of base salary, were: 60% for Mr. Shaff and 40% for the other NEOs.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ind w:right="100"/>
        <w:spacing w:after="0" w:line="249" w:lineRule="auto"/>
        <w:rPr>
          <w:sz w:val="20"/>
          <w:szCs w:val="20"/>
          <w:color w:val="auto"/>
        </w:rPr>
      </w:pPr>
      <w:r>
        <w:rPr>
          <w:rFonts w:ascii="Arial" w:cs="Arial" w:eastAsia="Arial" w:hAnsi="Arial"/>
          <w:sz w:val="17"/>
          <w:szCs w:val="17"/>
          <w:color w:val="auto"/>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our NEOs, except Mr. Shaff, the achievement of 2023 corporate objectives was weighted 80% and the achievement of individual objectives was weighted at 20%. Mr. Shaff’s 2023 bonus was weighted 100% on corporate objectives.</w:t>
      </w:r>
    </w:p>
    <w:p>
      <w:pPr>
        <w:spacing w:after="0" w:line="15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table below provides additional details about the Compensation and Talent Committee’s assessment of our actual performance against our 2023 corporate objectives. Individual objectives are analyzed based on the business judgement of the Compensation and Talent Committee's subjective analysis of individual goals achieved in support of each of our corporate goals and are not based on specified performance measures.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20" w:type="dxa"/>
            <w:vAlign w:val="bottom"/>
            <w:gridSpan w:val="5"/>
            <w:vMerge w:val="restart"/>
            <w:shd w:val="clear" w:color="auto" w:fill="D9D9D9"/>
          </w:tcPr>
          <w:p>
            <w:pPr>
              <w:ind w:left="20"/>
              <w:spacing w:after="0"/>
              <w:rPr>
                <w:sz w:val="20"/>
                <w:szCs w:val="20"/>
                <w:color w:val="auto"/>
              </w:rPr>
            </w:pPr>
            <w:r>
              <w:rPr>
                <w:rFonts w:ascii="Arial" w:cs="Arial" w:eastAsia="Arial" w:hAnsi="Arial"/>
                <w:sz w:val="13"/>
                <w:szCs w:val="13"/>
                <w:b w:val="1"/>
                <w:bCs w:val="1"/>
                <w:color w:val="auto"/>
              </w:rPr>
              <w:t>2023 Corporate Objectives</w:t>
            </w:r>
          </w:p>
        </w:tc>
        <w:tc>
          <w:tcPr>
            <w:tcW w:w="1240" w:type="dxa"/>
            <w:vAlign w:val="bottom"/>
            <w:gridSpan w:val="3"/>
            <w:vMerge w:val="restart"/>
            <w:shd w:val="clear" w:color="auto" w:fill="D9D9D9"/>
          </w:tcPr>
          <w:p>
            <w:pPr>
              <w:jc w:val="right"/>
              <w:ind w:right="460"/>
              <w:spacing w:after="0"/>
              <w:rPr>
                <w:sz w:val="20"/>
                <w:szCs w:val="20"/>
                <w:color w:val="auto"/>
              </w:rPr>
            </w:pPr>
            <w:r>
              <w:rPr>
                <w:rFonts w:ascii="Arial" w:cs="Arial" w:eastAsia="Arial" w:hAnsi="Arial"/>
                <w:sz w:val="13"/>
                <w:szCs w:val="13"/>
                <w:b w:val="1"/>
                <w:bCs w:val="1"/>
                <w:color w:val="auto"/>
              </w:rPr>
              <w:t>Weighting</w:t>
            </w:r>
          </w:p>
        </w:tc>
        <w:tc>
          <w:tcPr>
            <w:tcW w:w="1180" w:type="dxa"/>
            <w:vAlign w:val="bottom"/>
            <w:gridSpan w:val="2"/>
            <w:shd w:val="clear" w:color="auto" w:fill="D9D9D9"/>
          </w:tcPr>
          <w:p>
            <w:pPr>
              <w:jc w:val="right"/>
              <w:ind w:right="400"/>
              <w:spacing w:after="0"/>
              <w:rPr>
                <w:sz w:val="20"/>
                <w:szCs w:val="20"/>
                <w:color w:val="auto"/>
              </w:rPr>
            </w:pPr>
            <w:r>
              <w:rPr>
                <w:rFonts w:ascii="Arial" w:cs="Arial" w:eastAsia="Arial" w:hAnsi="Arial"/>
                <w:sz w:val="13"/>
                <w:szCs w:val="13"/>
                <w:b w:val="1"/>
                <w:bCs w:val="1"/>
                <w:color w:val="auto"/>
              </w:rPr>
              <w:t>Assessed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8820" w:type="dxa"/>
            <w:vAlign w:val="bottom"/>
            <w:gridSpan w:val="5"/>
            <w:vMerge w:val="continue"/>
            <w:shd w:val="clear" w:color="auto" w:fill="D9D9D9"/>
          </w:tcPr>
          <w:p>
            <w:pPr>
              <w:spacing w:after="0"/>
              <w:rPr>
                <w:sz w:val="8"/>
                <w:szCs w:val="8"/>
                <w:color w:val="auto"/>
              </w:rPr>
            </w:pPr>
          </w:p>
        </w:tc>
        <w:tc>
          <w:tcPr>
            <w:tcW w:w="1240" w:type="dxa"/>
            <w:vAlign w:val="bottom"/>
            <w:gridSpan w:val="3"/>
            <w:vMerge w:val="continue"/>
            <w:shd w:val="clear" w:color="auto" w:fill="D9D9D9"/>
          </w:tcPr>
          <w:p>
            <w:pPr>
              <w:spacing w:after="0"/>
              <w:rPr>
                <w:sz w:val="8"/>
                <w:szCs w:val="8"/>
                <w:color w:val="auto"/>
              </w:rPr>
            </w:pPr>
          </w:p>
        </w:tc>
        <w:tc>
          <w:tcPr>
            <w:tcW w:w="1180" w:type="dxa"/>
            <w:vAlign w:val="bottom"/>
            <w:gridSpan w:val="2"/>
            <w:vMerge w:val="restart"/>
            <w:shd w:val="clear" w:color="auto" w:fill="D9D9D9"/>
          </w:tcPr>
          <w:p>
            <w:pPr>
              <w:jc w:val="right"/>
              <w:ind w:right="300"/>
              <w:spacing w:after="0"/>
              <w:rPr>
                <w:sz w:val="20"/>
                <w:szCs w:val="20"/>
                <w:color w:val="auto"/>
              </w:rPr>
            </w:pPr>
            <w:r>
              <w:rPr>
                <w:rFonts w:ascii="Arial" w:cs="Arial" w:eastAsia="Arial" w:hAnsi="Arial"/>
                <w:sz w:val="13"/>
                <w:szCs w:val="13"/>
                <w:b w:val="1"/>
                <w:bCs w:val="1"/>
                <w:color w:val="auto"/>
              </w:rPr>
              <w:t>Performance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shd w:val="clear" w:color="auto" w:fill="D9D9D9"/>
          </w:tcPr>
          <w:p>
            <w:pPr>
              <w:spacing w:after="0"/>
              <w:rPr>
                <w:sz w:val="6"/>
                <w:szCs w:val="6"/>
                <w:color w:val="auto"/>
              </w:rPr>
            </w:pPr>
          </w:p>
        </w:tc>
        <w:tc>
          <w:tcPr>
            <w:tcW w:w="48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1540" w:type="dxa"/>
            <w:vAlign w:val="bottom"/>
            <w:shd w:val="clear" w:color="auto" w:fill="D9D9D9"/>
          </w:tcPr>
          <w:p>
            <w:pPr>
              <w:spacing w:after="0"/>
              <w:rPr>
                <w:sz w:val="6"/>
                <w:szCs w:val="6"/>
                <w:color w:val="auto"/>
              </w:rPr>
            </w:pPr>
          </w:p>
        </w:tc>
        <w:tc>
          <w:tcPr>
            <w:tcW w:w="6540" w:type="dxa"/>
            <w:vAlign w:val="bottom"/>
            <w:shd w:val="clear" w:color="auto" w:fill="D9D9D9"/>
          </w:tcPr>
          <w:p>
            <w:pPr>
              <w:spacing w:after="0"/>
              <w:rPr>
                <w:sz w:val="6"/>
                <w:szCs w:val="6"/>
                <w:color w:val="auto"/>
              </w:rPr>
            </w:pPr>
          </w:p>
        </w:tc>
        <w:tc>
          <w:tcPr>
            <w:tcW w:w="102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180" w:type="dxa"/>
            <w:vAlign w:val="bottom"/>
            <w:gridSpan w:val="2"/>
            <w:vMerge w:val="continue"/>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0" w:type="dxa"/>
            <w:vAlign w:val="bottom"/>
            <w:tcBorders>
              <w:top w:val="single" w:sz="8" w:color="auto"/>
            </w:tcBorders>
          </w:tcPr>
          <w:p>
            <w:pPr>
              <w:spacing w:after="0"/>
              <w:rPr>
                <w:sz w:val="11"/>
                <w:szCs w:val="11"/>
                <w:color w:val="auto"/>
              </w:rPr>
            </w:pPr>
          </w:p>
        </w:tc>
        <w:tc>
          <w:tcPr>
            <w:tcW w:w="8720" w:type="dxa"/>
            <w:vAlign w:val="bottom"/>
            <w:tcBorders>
              <w:top w:val="single" w:sz="8" w:color="auto"/>
            </w:tcBorders>
            <w:gridSpan w:val="4"/>
          </w:tcPr>
          <w:p>
            <w:pPr>
              <w:spacing w:after="0" w:line="137" w:lineRule="exact"/>
              <w:rPr>
                <w:sz w:val="20"/>
                <w:szCs w:val="20"/>
                <w:color w:val="auto"/>
              </w:rPr>
            </w:pPr>
            <w:r>
              <w:rPr>
                <w:rFonts w:ascii="Arial" w:cs="Arial" w:eastAsia="Arial" w:hAnsi="Arial"/>
                <w:sz w:val="13"/>
                <w:szCs w:val="13"/>
                <w:b w:val="1"/>
                <w:bCs w:val="1"/>
                <w:i w:val="1"/>
                <w:iCs w:val="1"/>
                <w:color w:val="auto"/>
              </w:rPr>
              <w:t>VOWST</w:t>
            </w: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D9D9D9"/>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D9D9D9"/>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8720" w:type="dxa"/>
            <w:vAlign w:val="bottom"/>
            <w:gridSpan w:val="4"/>
          </w:tcPr>
          <w:p>
            <w:pPr>
              <w:ind w:left="260"/>
              <w:spacing w:after="0"/>
              <w:rPr>
                <w:sz w:val="20"/>
                <w:szCs w:val="20"/>
                <w:color w:val="auto"/>
              </w:rPr>
            </w:pPr>
            <w:r>
              <w:rPr>
                <w:rFonts w:ascii="Arial" w:cs="Arial" w:eastAsia="Arial" w:hAnsi="Arial"/>
                <w:sz w:val="13"/>
                <w:szCs w:val="13"/>
                <w:color w:val="auto"/>
              </w:rPr>
              <w:t>Approval: Secure FDA approval of VOWST at Prescription Drug User Fee Act, or PDUFA</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25 %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44"/>
        </w:trPr>
        <w:tc>
          <w:tcPr>
            <w:tcW w:w="100" w:type="dxa"/>
            <w:vAlign w:val="bottom"/>
            <w:shd w:val="clear" w:color="auto" w:fill="D9D9D9"/>
          </w:tcPr>
          <w:p>
            <w:pPr>
              <w:spacing w:after="0"/>
              <w:rPr>
                <w:sz w:val="12"/>
                <w:szCs w:val="12"/>
                <w:color w:val="auto"/>
              </w:rPr>
            </w:pPr>
          </w:p>
        </w:tc>
        <w:tc>
          <w:tcPr>
            <w:tcW w:w="8720" w:type="dxa"/>
            <w:vAlign w:val="bottom"/>
            <w:gridSpan w:val="4"/>
            <w:shd w:val="clear" w:color="auto" w:fill="D9D9D9"/>
          </w:tcPr>
          <w:p>
            <w:pPr>
              <w:ind w:left="260"/>
              <w:spacing w:after="0" w:line="144" w:lineRule="exact"/>
              <w:rPr>
                <w:sz w:val="20"/>
                <w:szCs w:val="20"/>
                <w:color w:val="auto"/>
              </w:rPr>
            </w:pPr>
            <w:r>
              <w:rPr>
                <w:rFonts w:ascii="Arial" w:cs="Arial" w:eastAsia="Arial" w:hAnsi="Arial"/>
                <w:sz w:val="13"/>
                <w:szCs w:val="13"/>
                <w:color w:val="auto"/>
              </w:rPr>
              <w:t>Supply Responsiveness: Deliver VOWST inventory targets in budget; improve responsiveness to VOWST market demand; continue to progress</w:t>
            </w:r>
          </w:p>
        </w:tc>
        <w:tc>
          <w:tcPr>
            <w:tcW w:w="1240" w:type="dxa"/>
            <w:vAlign w:val="bottom"/>
            <w:gridSpan w:val="3"/>
            <w:vMerge w:val="restart"/>
            <w:shd w:val="clear" w:color="auto" w:fill="D9D9D9"/>
          </w:tcPr>
          <w:p>
            <w:pPr>
              <w:jc w:val="right"/>
              <w:ind w:right="80"/>
              <w:spacing w:after="0"/>
              <w:rPr>
                <w:sz w:val="20"/>
                <w:szCs w:val="20"/>
                <w:color w:val="auto"/>
              </w:rPr>
            </w:pPr>
            <w:r>
              <w:rPr>
                <w:rFonts w:ascii="Arial" w:cs="Arial" w:eastAsia="Arial" w:hAnsi="Arial"/>
                <w:sz w:val="13"/>
                <w:szCs w:val="13"/>
                <w:color w:val="auto"/>
              </w:rPr>
              <w:t>10 %</w:t>
            </w:r>
          </w:p>
        </w:tc>
        <w:tc>
          <w:tcPr>
            <w:tcW w:w="118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color w:val="auto"/>
              </w:rPr>
              <w:t>10 %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D9D9D9"/>
          </w:tcPr>
          <w:p>
            <w:pPr>
              <w:spacing w:after="0"/>
              <w:rPr>
                <w:sz w:val="8"/>
                <w:szCs w:val="8"/>
                <w:color w:val="auto"/>
              </w:rPr>
            </w:pPr>
          </w:p>
        </w:tc>
        <w:tc>
          <w:tcPr>
            <w:tcW w:w="8720" w:type="dxa"/>
            <w:vAlign w:val="bottom"/>
            <w:gridSpan w:val="4"/>
            <w:vMerge w:val="restart"/>
            <w:shd w:val="clear" w:color="auto" w:fill="D9D9D9"/>
          </w:tcPr>
          <w:p>
            <w:pPr>
              <w:ind w:left="260"/>
              <w:spacing w:after="0"/>
              <w:rPr>
                <w:sz w:val="20"/>
                <w:szCs w:val="20"/>
                <w:color w:val="auto"/>
              </w:rPr>
            </w:pPr>
            <w:r>
              <w:rPr>
                <w:rFonts w:ascii="Arial" w:cs="Arial" w:eastAsia="Arial" w:hAnsi="Arial"/>
                <w:sz w:val="13"/>
                <w:szCs w:val="13"/>
                <w:color w:val="auto"/>
              </w:rPr>
              <w:t>capacity expansion projects</w:t>
            </w:r>
          </w:p>
        </w:tc>
        <w:tc>
          <w:tcPr>
            <w:tcW w:w="1240" w:type="dxa"/>
            <w:vAlign w:val="bottom"/>
            <w:gridSpan w:val="3"/>
            <w:vMerge w:val="continue"/>
            <w:shd w:val="clear" w:color="auto" w:fill="D9D9D9"/>
          </w:tcPr>
          <w:p>
            <w:pPr>
              <w:spacing w:after="0"/>
              <w:rPr>
                <w:sz w:val="8"/>
                <w:szCs w:val="8"/>
                <w:color w:val="auto"/>
              </w:rPr>
            </w:pPr>
          </w:p>
        </w:tc>
        <w:tc>
          <w:tcPr>
            <w:tcW w:w="1180" w:type="dxa"/>
            <w:vAlign w:val="bottom"/>
            <w:gridSpan w:val="2"/>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00" w:type="dxa"/>
            <w:vAlign w:val="bottom"/>
            <w:shd w:val="clear" w:color="auto" w:fill="D9D9D9"/>
          </w:tcPr>
          <w:p>
            <w:pPr>
              <w:spacing w:after="0"/>
              <w:rPr>
                <w:sz w:val="6"/>
                <w:szCs w:val="6"/>
                <w:color w:val="auto"/>
              </w:rPr>
            </w:pPr>
          </w:p>
        </w:tc>
        <w:tc>
          <w:tcPr>
            <w:tcW w:w="8720" w:type="dxa"/>
            <w:vAlign w:val="bottom"/>
            <w:gridSpan w:val="4"/>
            <w:vMerge w:val="continue"/>
            <w:shd w:val="clear" w:color="auto" w:fill="D9D9D9"/>
          </w:tcPr>
          <w:p>
            <w:pPr>
              <w:spacing w:after="0"/>
              <w:rPr>
                <w:sz w:val="6"/>
                <w:szCs w:val="6"/>
                <w:color w:val="auto"/>
              </w:rPr>
            </w:pPr>
          </w:p>
        </w:tc>
        <w:tc>
          <w:tcPr>
            <w:tcW w:w="102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08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720" w:type="dxa"/>
            <w:vAlign w:val="bottom"/>
            <w:gridSpan w:val="4"/>
          </w:tcPr>
          <w:p>
            <w:pPr>
              <w:ind w:left="260"/>
              <w:spacing w:after="0"/>
              <w:rPr>
                <w:sz w:val="20"/>
                <w:szCs w:val="20"/>
                <w:color w:val="auto"/>
              </w:rPr>
            </w:pPr>
            <w:r>
              <w:rPr>
                <w:rFonts w:ascii="Arial" w:cs="Arial" w:eastAsia="Arial" w:hAnsi="Arial"/>
                <w:sz w:val="13"/>
                <w:szCs w:val="13"/>
                <w:color w:val="auto"/>
              </w:rPr>
              <w:t>Launch: Deliver new patient starts</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9 %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70"/>
        </w:trPr>
        <w:tc>
          <w:tcPr>
            <w:tcW w:w="100" w:type="dxa"/>
            <w:vAlign w:val="bottom"/>
            <w:shd w:val="clear" w:color="auto" w:fill="D9D9D9"/>
          </w:tcPr>
          <w:p>
            <w:pPr>
              <w:spacing w:after="0"/>
              <w:rPr>
                <w:sz w:val="14"/>
                <w:szCs w:val="14"/>
                <w:color w:val="auto"/>
              </w:rPr>
            </w:pPr>
          </w:p>
        </w:tc>
        <w:tc>
          <w:tcPr>
            <w:tcW w:w="8720" w:type="dxa"/>
            <w:vAlign w:val="bottom"/>
            <w:gridSpan w:val="4"/>
            <w:shd w:val="clear" w:color="auto" w:fill="D9D9D9"/>
          </w:tcPr>
          <w:p>
            <w:pPr>
              <w:ind w:left="260"/>
              <w:spacing w:after="0"/>
              <w:rPr>
                <w:sz w:val="20"/>
                <w:szCs w:val="20"/>
                <w:color w:val="auto"/>
              </w:rPr>
            </w:pPr>
            <w:r>
              <w:rPr>
                <w:rFonts w:ascii="Arial" w:cs="Arial" w:eastAsia="Arial" w:hAnsi="Arial"/>
                <w:sz w:val="13"/>
                <w:szCs w:val="13"/>
                <w:color w:val="auto"/>
              </w:rPr>
              <w:t xml:space="preserve">LCM: Establish VOWST recurrent </w:t>
            </w:r>
            <w:r>
              <w:rPr>
                <w:rFonts w:ascii="Arial" w:cs="Arial" w:eastAsia="Arial" w:hAnsi="Arial"/>
                <w:sz w:val="13"/>
                <w:szCs w:val="13"/>
                <w:i w:val="1"/>
                <w:iCs w:val="1"/>
                <w:color w:val="auto"/>
              </w:rPr>
              <w:t>Clostridioides difficile</w:t>
            </w:r>
            <w:r>
              <w:rPr>
                <w:rFonts w:ascii="Arial" w:cs="Arial" w:eastAsia="Arial" w:hAnsi="Arial"/>
                <w:sz w:val="13"/>
                <w:szCs w:val="13"/>
                <w:color w:val="auto"/>
              </w:rPr>
              <w:t xml:space="preserve"> infection lifecycle management plan</w:t>
            </w:r>
          </w:p>
        </w:tc>
        <w:tc>
          <w:tcPr>
            <w:tcW w:w="1240" w:type="dxa"/>
            <w:vAlign w:val="bottom"/>
            <w:gridSpan w:val="3"/>
            <w:shd w:val="clear" w:color="auto" w:fill="D9D9D9"/>
          </w:tcPr>
          <w:p>
            <w:pPr>
              <w:jc w:val="right"/>
              <w:ind w:right="80"/>
              <w:spacing w:after="0"/>
              <w:rPr>
                <w:sz w:val="20"/>
                <w:szCs w:val="20"/>
                <w:color w:val="auto"/>
              </w:rPr>
            </w:pPr>
            <w:r>
              <w:rPr>
                <w:rFonts w:ascii="Arial" w:cs="Arial" w:eastAsia="Arial" w:hAnsi="Arial"/>
                <w:sz w:val="13"/>
                <w:szCs w:val="13"/>
                <w:color w:val="auto"/>
              </w:rPr>
              <w:t>13 %</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8720" w:type="dxa"/>
            <w:vAlign w:val="bottom"/>
            <w:gridSpan w:val="4"/>
          </w:tcPr>
          <w:p>
            <w:pPr>
              <w:spacing w:after="0" w:line="144" w:lineRule="exact"/>
              <w:rPr>
                <w:sz w:val="20"/>
                <w:szCs w:val="20"/>
                <w:color w:val="auto"/>
              </w:rPr>
            </w:pPr>
            <w:r>
              <w:rPr>
                <w:rFonts w:ascii="Arial" w:cs="Arial" w:eastAsia="Arial" w:hAnsi="Arial"/>
                <w:sz w:val="13"/>
                <w:szCs w:val="13"/>
                <w:b w:val="1"/>
                <w:bCs w:val="1"/>
                <w:i w:val="1"/>
                <w:iCs w:val="1"/>
                <w:color w:val="auto"/>
              </w:rPr>
              <w:t>Pipeline, Platform, and Technology</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8720" w:type="dxa"/>
            <w:vAlign w:val="bottom"/>
            <w:gridSpan w:val="4"/>
          </w:tcPr>
          <w:p>
            <w:pPr>
              <w:ind w:left="260"/>
              <w:spacing w:after="0"/>
              <w:rPr>
                <w:sz w:val="20"/>
                <w:szCs w:val="20"/>
                <w:color w:val="auto"/>
              </w:rPr>
            </w:pPr>
            <w:r>
              <w:rPr>
                <w:rFonts w:ascii="Arial" w:cs="Arial" w:eastAsia="Arial" w:hAnsi="Arial"/>
                <w:sz w:val="13"/>
                <w:szCs w:val="13"/>
                <w:color w:val="auto"/>
              </w:rPr>
              <w:t>SER-155: Deliver Phase 1b Cohort 1 Day 100 data; progress Phase 1b Cohort 2 enrollment</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19 %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70"/>
        </w:trPr>
        <w:tc>
          <w:tcPr>
            <w:tcW w:w="100" w:type="dxa"/>
            <w:vAlign w:val="bottom"/>
            <w:shd w:val="clear" w:color="auto" w:fill="D9D9D9"/>
          </w:tcPr>
          <w:p>
            <w:pPr>
              <w:spacing w:after="0"/>
              <w:rPr>
                <w:sz w:val="14"/>
                <w:szCs w:val="14"/>
                <w:color w:val="auto"/>
              </w:rPr>
            </w:pPr>
          </w:p>
        </w:tc>
        <w:tc>
          <w:tcPr>
            <w:tcW w:w="8720" w:type="dxa"/>
            <w:vAlign w:val="bottom"/>
            <w:gridSpan w:val="4"/>
            <w:shd w:val="clear" w:color="auto" w:fill="D9D9D9"/>
          </w:tcPr>
          <w:p>
            <w:pPr>
              <w:ind w:left="260"/>
              <w:spacing w:after="0"/>
              <w:rPr>
                <w:sz w:val="20"/>
                <w:szCs w:val="20"/>
                <w:color w:val="auto"/>
              </w:rPr>
            </w:pPr>
            <w:r>
              <w:rPr>
                <w:rFonts w:ascii="Arial" w:cs="Arial" w:eastAsia="Arial" w:hAnsi="Arial"/>
                <w:sz w:val="13"/>
                <w:szCs w:val="13"/>
                <w:color w:val="auto"/>
              </w:rPr>
              <w:t>Business Development: Support pipeline strategy</w:t>
            </w:r>
          </w:p>
        </w:tc>
        <w:tc>
          <w:tcPr>
            <w:tcW w:w="1240" w:type="dxa"/>
            <w:vAlign w:val="bottom"/>
            <w:gridSpan w:val="3"/>
            <w:shd w:val="clear" w:color="auto" w:fill="D9D9D9"/>
          </w:tcPr>
          <w:p>
            <w:pPr>
              <w:jc w:val="right"/>
              <w:ind w:right="80"/>
              <w:spacing w:after="0"/>
              <w:rPr>
                <w:sz w:val="20"/>
                <w:szCs w:val="20"/>
                <w:color w:val="auto"/>
              </w:rPr>
            </w:pPr>
            <w:r>
              <w:rPr>
                <w:rFonts w:ascii="Arial" w:cs="Arial" w:eastAsia="Arial" w:hAnsi="Arial"/>
                <w:sz w:val="13"/>
                <w:szCs w:val="13"/>
                <w:color w:val="auto"/>
              </w:rPr>
              <w:t>6 %</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4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b w:val="1"/>
                <w:bCs w:val="1"/>
                <w:i w:val="1"/>
                <w:iCs w:val="1"/>
                <w:color w:val="auto"/>
                <w:w w:val="99"/>
              </w:rPr>
              <w:t>Corporate</w:t>
            </w:r>
          </w:p>
        </w:tc>
        <w:tc>
          <w:tcPr>
            <w:tcW w:w="80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720" w:type="dxa"/>
            <w:vAlign w:val="bottom"/>
            <w:gridSpan w:val="4"/>
          </w:tcPr>
          <w:p>
            <w:pPr>
              <w:ind w:left="260"/>
              <w:spacing w:after="0"/>
              <w:rPr>
                <w:sz w:val="20"/>
                <w:szCs w:val="20"/>
                <w:color w:val="auto"/>
              </w:rPr>
            </w:pPr>
            <w:r>
              <w:rPr>
                <w:rFonts w:ascii="Arial" w:cs="Arial" w:eastAsia="Arial" w:hAnsi="Arial"/>
                <w:sz w:val="13"/>
                <w:szCs w:val="13"/>
                <w:color w:val="auto"/>
              </w:rPr>
              <w:t>Finance: Execute financing strategy to strengthen balance sheet</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6 %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70"/>
        </w:trPr>
        <w:tc>
          <w:tcPr>
            <w:tcW w:w="100" w:type="dxa"/>
            <w:vAlign w:val="bottom"/>
            <w:shd w:val="clear" w:color="auto" w:fill="D9D9D9"/>
          </w:tcPr>
          <w:p>
            <w:pPr>
              <w:spacing w:after="0"/>
              <w:rPr>
                <w:sz w:val="14"/>
                <w:szCs w:val="14"/>
                <w:color w:val="auto"/>
              </w:rPr>
            </w:pPr>
          </w:p>
        </w:tc>
        <w:tc>
          <w:tcPr>
            <w:tcW w:w="8720" w:type="dxa"/>
            <w:vAlign w:val="bottom"/>
            <w:gridSpan w:val="4"/>
            <w:shd w:val="clear" w:color="auto" w:fill="D9D9D9"/>
          </w:tcPr>
          <w:p>
            <w:pPr>
              <w:ind w:left="260"/>
              <w:spacing w:after="0"/>
              <w:rPr>
                <w:sz w:val="20"/>
                <w:szCs w:val="20"/>
                <w:color w:val="auto"/>
              </w:rPr>
            </w:pPr>
            <w:r>
              <w:rPr>
                <w:rFonts w:ascii="Arial" w:cs="Arial" w:eastAsia="Arial" w:hAnsi="Arial"/>
                <w:sz w:val="13"/>
                <w:szCs w:val="13"/>
                <w:color w:val="auto"/>
              </w:rPr>
              <w:t>Communications: Establish best-in-class IR and PR function</w:t>
            </w:r>
          </w:p>
        </w:tc>
        <w:tc>
          <w:tcPr>
            <w:tcW w:w="1240" w:type="dxa"/>
            <w:vAlign w:val="bottom"/>
            <w:gridSpan w:val="3"/>
            <w:shd w:val="clear" w:color="auto" w:fill="D9D9D9"/>
          </w:tcPr>
          <w:p>
            <w:pPr>
              <w:jc w:val="right"/>
              <w:ind w:right="80"/>
              <w:spacing w:after="0"/>
              <w:rPr>
                <w:sz w:val="20"/>
                <w:szCs w:val="20"/>
                <w:color w:val="auto"/>
              </w:rPr>
            </w:pPr>
            <w:r>
              <w:rPr>
                <w:rFonts w:ascii="Arial" w:cs="Arial" w:eastAsia="Arial" w:hAnsi="Arial"/>
                <w:sz w:val="13"/>
                <w:szCs w:val="13"/>
                <w:color w:val="auto"/>
              </w:rPr>
              <w:t>6 %</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720" w:type="dxa"/>
            <w:vAlign w:val="bottom"/>
            <w:gridSpan w:val="4"/>
          </w:tcPr>
          <w:p>
            <w:pPr>
              <w:ind w:left="260"/>
              <w:spacing w:after="0"/>
              <w:rPr>
                <w:sz w:val="20"/>
                <w:szCs w:val="20"/>
                <w:color w:val="auto"/>
              </w:rPr>
            </w:pPr>
            <w:r>
              <w:rPr>
                <w:rFonts w:ascii="Arial" w:cs="Arial" w:eastAsia="Arial" w:hAnsi="Arial"/>
                <w:sz w:val="13"/>
                <w:szCs w:val="13"/>
                <w:color w:val="auto"/>
              </w:rPr>
              <w:t>People &amp; Culture: Drive an engaged and committed culture focused on achieving our strategic and operational milestones</w:t>
            </w:r>
          </w:p>
        </w:tc>
        <w:tc>
          <w:tcPr>
            <w:tcW w:w="1240" w:type="dxa"/>
            <w:vAlign w:val="bottom"/>
            <w:gridSpan w:val="3"/>
          </w:tcPr>
          <w:p>
            <w:pPr>
              <w:jc w:val="right"/>
              <w:ind w:right="80"/>
              <w:spacing w:after="0"/>
              <w:rPr>
                <w:sz w:val="20"/>
                <w:szCs w:val="20"/>
                <w:color w:val="auto"/>
              </w:rPr>
            </w:pPr>
            <w:r>
              <w:rPr>
                <w:rFonts w:ascii="Arial" w:cs="Arial" w:eastAsia="Arial" w:hAnsi="Arial"/>
                <w:sz w:val="13"/>
                <w:szCs w:val="13"/>
                <w:color w:val="auto"/>
              </w:rPr>
              <w:t>6 %</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70"/>
        </w:trPr>
        <w:tc>
          <w:tcPr>
            <w:tcW w:w="8820" w:type="dxa"/>
            <w:vAlign w:val="bottom"/>
            <w:gridSpan w:val="5"/>
            <w:shd w:val="clear" w:color="auto" w:fill="D9D9D9"/>
          </w:tcPr>
          <w:p>
            <w:pPr>
              <w:ind w:left="100"/>
              <w:spacing w:after="0"/>
              <w:rPr>
                <w:sz w:val="20"/>
                <w:szCs w:val="20"/>
                <w:color w:val="auto"/>
              </w:rPr>
            </w:pPr>
            <w:r>
              <w:rPr>
                <w:rFonts w:ascii="Arial" w:cs="Arial" w:eastAsia="Arial" w:hAnsi="Arial"/>
                <w:sz w:val="13"/>
                <w:szCs w:val="13"/>
                <w:b w:val="1"/>
                <w:bCs w:val="1"/>
                <w:color w:val="auto"/>
              </w:rPr>
              <w:t>Total</w:t>
            </w:r>
          </w:p>
        </w:tc>
        <w:tc>
          <w:tcPr>
            <w:tcW w:w="1240" w:type="dxa"/>
            <w:vAlign w:val="bottom"/>
            <w:gridSpan w:val="3"/>
            <w:shd w:val="clear" w:color="auto" w:fill="D9D9D9"/>
          </w:tcPr>
          <w:p>
            <w:pPr>
              <w:jc w:val="right"/>
              <w:ind w:right="80"/>
              <w:spacing w:after="0"/>
              <w:rPr>
                <w:sz w:val="20"/>
                <w:szCs w:val="20"/>
                <w:color w:val="auto"/>
              </w:rPr>
            </w:pPr>
            <w:r>
              <w:rPr>
                <w:rFonts w:ascii="Arial" w:cs="Arial" w:eastAsia="Arial" w:hAnsi="Arial"/>
                <w:sz w:val="13"/>
                <w:szCs w:val="13"/>
                <w:b w:val="1"/>
                <w:bCs w:val="1"/>
                <w:color w:val="auto"/>
              </w:rPr>
              <w:t>100 %</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98 %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-1511300</wp:posOffset>
            </wp:positionV>
            <wp:extent cx="749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-1511300</wp:posOffset>
            </wp:positionV>
            <wp:extent cx="666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6250305</wp:posOffset>
            </wp:positionH>
            <wp:positionV relativeFrom="paragraph">
              <wp:posOffset>-7620</wp:posOffset>
            </wp:positionV>
            <wp:extent cx="749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-7620</wp:posOffset>
            </wp:positionV>
            <wp:extent cx="666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February 2024, the Compensation and Talent Committee determined our 2023 corporate objectives were achieved at the 98% level. However, in consultation with management and based on guidance from Alpine, the Compensation and Talent Committee elected to award the corporate objective portion of Dr. Young’s and Dr. von Moltke's 2023 bonus based on 90% corporate achievement and Mr. Shaff's 2023 bonus based on 80% corporate achievement. These adjustments were made primarily to recognize our share price performance for the year and in keeping with our pay for performance compensation philosophy. For Drs. Young and von Moltke, the individual performance portion of their target bonus was achieved at 120% for Dr. Young and 130% for Dr. von Moltke. The actual amounts paid to our NEOs under our 2023 annual cash bonus program are set forth in the 2023 Summary Compensation Table below.</w:t>
      </w:r>
    </w:p>
    <w:p>
      <w:pPr>
        <w:spacing w:after="0" w:line="16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Compensation and Talent Committee periodically reviews NEO target bonus amounts in consultation with management and the committee's compensation consultant to determine whether any adjustments are necessary or appropriate. The NEOs’ 2024 target annual cash bonus opportunity, expressed as a percentage of base salary, is: 60% for Mr. Shaff and 40% for our other NEOs, which percentages are unchanged from 2023.</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maintain the 2015 Incentive Award Plan (as amended and restated, the “2015 Plan”), under which we may grant equity incentive awards to directors, employees and consultants of our Company and our affiliates, to enable us to attract and retain services, skills and experience of these individuals, which we believe are essential to our long-term success. We do not currently have any formal policy for determining the number or types of equity-based awards to grant to NEOs.</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typically grant equity incentive awards to employees when they commence employment with us and annually in conjunction with our review of individual performance. We may grant additional awards in the discretion of our Board of Directors or Compensation and Talent Committee. Our stock options allow employees to purchase shares of our Common Stock at a price equal to the fair market value of our Common Stock on the grant date, as determined under the applicable equity incentive plan, and may be intended to qualify as “incentive stock options” under the Internal Revenue Code of 1986, as amended (the “Code”). We believe stock options directly align the interests of our NEOs with those of our shareholders while ensuring the retention of our executive team. Our restricted stock units represent the right to receive one share of our Common Stock or its cash value equivalent upon vesting. In order to remain competitive in the market, we granted both restricted stock units and performance-based restricted stock units to our NEOs for the first time in 2023 in connection with their annual award. We also awarded Dr. Young additional time-based restricted stock units in 2023 for retention purposes.</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986" w:right="319" w:bottom="1440" w:gutter="0" w:footer="0" w:header="0"/>
        </w:sectPr>
      </w:pPr>
    </w:p>
    <w:bookmarkStart w:id="37" w:name="page38"/>
    <w:bookmarkEnd w:id="37"/>
    <w:p>
      <w:pPr>
        <w:ind w:right="60"/>
        <w:spacing w:after="0" w:line="246" w:lineRule="auto"/>
        <w:rPr>
          <w:sz w:val="20"/>
          <w:szCs w:val="20"/>
          <w:color w:val="auto"/>
        </w:rPr>
      </w:pPr>
      <w:r>
        <w:rPr>
          <w:rFonts w:ascii="Arial" w:cs="Arial" w:eastAsia="Arial" w:hAnsi="Arial"/>
          <w:sz w:val="17"/>
          <w:szCs w:val="17"/>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Our restricted stock units typically vest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service with us. From time to time, our Board of Directors or Compensation and Talent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w:t>
      </w:r>
      <w:r>
        <w:rPr>
          <w:rFonts w:ascii="Arial" w:cs="Arial" w:eastAsia="Arial" w:hAnsi="Arial"/>
          <w:sz w:val="17"/>
          <w:szCs w:val="17"/>
          <w:i w:val="1"/>
          <w:iCs w:val="1"/>
          <w:color w:val="auto"/>
        </w:rPr>
        <w:t>Employment Agreements</w:t>
      </w:r>
      <w:r>
        <w:rPr>
          <w:rFonts w:ascii="Arial" w:cs="Arial" w:eastAsia="Arial" w:hAnsi="Arial"/>
          <w:sz w:val="17"/>
          <w:szCs w:val="17"/>
          <w:color w:val="auto"/>
        </w:rPr>
        <w:t>.”</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In the first quarter of each calendar year, we generally grant equity incentive awards based on competitive market practices and the retention value that NEOs have from past equity awards.</w:t>
      </w:r>
    </w:p>
    <w:p>
      <w:pPr>
        <w:spacing w:after="0" w:line="128"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In February 2023, we granted stock options, time-based restricted stock units and performance-based restricted stock units to our NEOs in the following amounts and with the vesting schedule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79375</wp:posOffset>
            </wp:positionV>
            <wp:extent cx="100330" cy="349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330" cy="349250"/>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79375</wp:posOffset>
            </wp:positionV>
            <wp:extent cx="92075" cy="349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2075" cy="34925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560" w:type="dxa"/>
            <w:vAlign w:val="bottom"/>
            <w:shd w:val="clear" w:color="auto" w:fill="E5E5E5"/>
          </w:tcPr>
          <w:p>
            <w:pPr>
              <w:jc w:val="right"/>
              <w:ind w:right="315"/>
              <w:spacing w:after="0"/>
              <w:rPr>
                <w:sz w:val="20"/>
                <w:szCs w:val="20"/>
                <w:color w:val="auto"/>
              </w:rPr>
            </w:pPr>
            <w:r>
              <w:rPr>
                <w:rFonts w:ascii="Arial" w:cs="Arial" w:eastAsia="Arial" w:hAnsi="Arial"/>
                <w:sz w:val="13"/>
                <w:szCs w:val="13"/>
                <w:color w:val="auto"/>
              </w:rPr>
              <w:t>Time-Based</w:t>
            </w:r>
          </w:p>
        </w:tc>
        <w:tc>
          <w:tcPr>
            <w:tcW w:w="1540" w:type="dxa"/>
            <w:vAlign w:val="bottom"/>
            <w:gridSpan w:val="2"/>
            <w:shd w:val="clear" w:color="auto" w:fill="E5E5E5"/>
          </w:tcPr>
          <w:p>
            <w:pPr>
              <w:jc w:val="center"/>
              <w:ind w:right="100"/>
              <w:spacing w:after="0"/>
              <w:rPr>
                <w:sz w:val="20"/>
                <w:szCs w:val="20"/>
                <w:color w:val="auto"/>
              </w:rPr>
            </w:pPr>
            <w:r>
              <w:rPr>
                <w:rFonts w:ascii="Arial" w:cs="Arial" w:eastAsia="Arial" w:hAnsi="Arial"/>
                <w:sz w:val="13"/>
                <w:szCs w:val="13"/>
                <w:color w:val="auto"/>
              </w:rPr>
              <w:t>Performance-Based</w:t>
            </w:r>
          </w:p>
        </w:tc>
      </w:tr>
      <w:tr>
        <w:trPr>
          <w:trHeight w:val="144"/>
        </w:trPr>
        <w:tc>
          <w:tcPr>
            <w:tcW w:w="6540" w:type="dxa"/>
            <w:vAlign w:val="bottom"/>
            <w:shd w:val="clear" w:color="auto" w:fill="E5E5E5"/>
          </w:tcPr>
          <w:p>
            <w:pPr>
              <w:spacing w:after="0"/>
              <w:rPr>
                <w:sz w:val="12"/>
                <w:szCs w:val="12"/>
                <w:color w:val="auto"/>
              </w:rPr>
            </w:pPr>
          </w:p>
        </w:tc>
        <w:tc>
          <w:tcPr>
            <w:tcW w:w="1480" w:type="dxa"/>
            <w:vAlign w:val="bottom"/>
            <w:shd w:val="clear" w:color="auto" w:fill="E5E5E5"/>
          </w:tcPr>
          <w:p>
            <w:pPr>
              <w:jc w:val="right"/>
              <w:ind w:right="395"/>
              <w:spacing w:after="0" w:line="144" w:lineRule="exact"/>
              <w:rPr>
                <w:sz w:val="20"/>
                <w:szCs w:val="20"/>
                <w:color w:val="auto"/>
              </w:rPr>
            </w:pPr>
            <w:r>
              <w:rPr>
                <w:rFonts w:ascii="Arial" w:cs="Arial" w:eastAsia="Arial" w:hAnsi="Arial"/>
                <w:sz w:val="13"/>
                <w:szCs w:val="13"/>
                <w:color w:val="auto"/>
              </w:rPr>
              <w:t>Options</w:t>
            </w:r>
          </w:p>
        </w:tc>
        <w:tc>
          <w:tcPr>
            <w:tcW w:w="120" w:type="dxa"/>
            <w:vAlign w:val="bottom"/>
            <w:shd w:val="clear" w:color="auto" w:fill="E5E5E5"/>
          </w:tcPr>
          <w:p>
            <w:pPr>
              <w:spacing w:after="0"/>
              <w:rPr>
                <w:sz w:val="12"/>
                <w:szCs w:val="12"/>
                <w:color w:val="auto"/>
              </w:rPr>
            </w:pPr>
          </w:p>
        </w:tc>
        <w:tc>
          <w:tcPr>
            <w:tcW w:w="1560" w:type="dxa"/>
            <w:vAlign w:val="bottom"/>
            <w:shd w:val="clear" w:color="auto" w:fill="E5E5E5"/>
          </w:tcPr>
          <w:p>
            <w:pPr>
              <w:jc w:val="right"/>
              <w:ind w:right="15"/>
              <w:spacing w:after="0" w:line="144" w:lineRule="exact"/>
              <w:rPr>
                <w:sz w:val="20"/>
                <w:szCs w:val="20"/>
                <w:color w:val="auto"/>
              </w:rPr>
            </w:pPr>
            <w:r>
              <w:rPr>
                <w:rFonts w:ascii="Arial" w:cs="Arial" w:eastAsia="Arial" w:hAnsi="Arial"/>
                <w:sz w:val="13"/>
                <w:szCs w:val="13"/>
                <w:color w:val="auto"/>
              </w:rPr>
              <w:t>Restricted Stock Units</w:t>
            </w:r>
          </w:p>
        </w:tc>
        <w:tc>
          <w:tcPr>
            <w:tcW w:w="1540" w:type="dxa"/>
            <w:vAlign w:val="bottom"/>
            <w:gridSpan w:val="2"/>
            <w:shd w:val="clear" w:color="auto" w:fill="E5E5E5"/>
          </w:tcPr>
          <w:p>
            <w:pPr>
              <w:jc w:val="center"/>
              <w:ind w:right="80"/>
              <w:spacing w:after="0" w:line="144" w:lineRule="exact"/>
              <w:rPr>
                <w:sz w:val="20"/>
                <w:szCs w:val="20"/>
                <w:color w:val="auto"/>
              </w:rPr>
            </w:pPr>
            <w:r>
              <w:rPr>
                <w:rFonts w:ascii="Arial" w:cs="Arial" w:eastAsia="Arial" w:hAnsi="Arial"/>
                <w:sz w:val="13"/>
                <w:szCs w:val="13"/>
                <w:color w:val="auto"/>
              </w:rPr>
              <w:t>Restricted Stock Units</w:t>
            </w:r>
          </w:p>
        </w:tc>
      </w:tr>
      <w:tr>
        <w:trPr>
          <w:trHeight w:val="170"/>
        </w:trPr>
        <w:tc>
          <w:tcPr>
            <w:tcW w:w="65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color w:val="auto"/>
              </w:rPr>
              <w:t>Name</w:t>
            </w:r>
          </w:p>
        </w:tc>
        <w:tc>
          <w:tcPr>
            <w:tcW w:w="14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3"/>
                <w:szCs w:val="13"/>
                <w:color w:val="auto"/>
              </w:rPr>
              <w:t>Granted (#)(1)</w:t>
            </w:r>
          </w:p>
        </w:tc>
        <w:tc>
          <w:tcPr>
            <w:tcW w:w="120" w:type="dxa"/>
            <w:vAlign w:val="bottom"/>
            <w:tcBorders>
              <w:bottom w:val="single" w:sz="8" w:color="E5E5E5"/>
            </w:tcBorders>
            <w:shd w:val="clear" w:color="auto" w:fill="E5E5E5"/>
          </w:tcPr>
          <w:p>
            <w:pPr>
              <w:spacing w:after="0"/>
              <w:rPr>
                <w:sz w:val="14"/>
                <w:szCs w:val="14"/>
                <w:color w:val="auto"/>
              </w:rPr>
            </w:pPr>
          </w:p>
        </w:tc>
        <w:tc>
          <w:tcPr>
            <w:tcW w:w="15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3"/>
                <w:szCs w:val="13"/>
                <w:color w:val="auto"/>
              </w:rPr>
              <w:t>Granted (#)</w:t>
            </w:r>
          </w:p>
        </w:tc>
        <w:tc>
          <w:tcPr>
            <w:tcW w:w="14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3"/>
                <w:szCs w:val="13"/>
                <w:color w:val="auto"/>
              </w:rPr>
              <w:t>Granted (#)(4)</w:t>
            </w:r>
          </w:p>
        </w:tc>
        <w:tc>
          <w:tcPr>
            <w:tcW w:w="100" w:type="dxa"/>
            <w:vAlign w:val="bottom"/>
            <w:tcBorders>
              <w:bottom w:val="single" w:sz="8" w:color="E5E5E5"/>
            </w:tcBorders>
            <w:shd w:val="clear" w:color="auto" w:fill="E5E5E5"/>
          </w:tcPr>
          <w:p>
            <w:pPr>
              <w:spacing w:after="0"/>
              <w:rPr>
                <w:sz w:val="14"/>
                <w:szCs w:val="14"/>
                <w:color w:val="auto"/>
              </w:rPr>
            </w:pPr>
          </w:p>
        </w:tc>
      </w:tr>
      <w:tr>
        <w:trPr>
          <w:trHeight w:val="163"/>
        </w:trPr>
        <w:tc>
          <w:tcPr>
            <w:tcW w:w="6540" w:type="dxa"/>
            <w:vAlign w:val="bottom"/>
          </w:tcPr>
          <w:p>
            <w:pPr>
              <w:ind w:left="100"/>
              <w:spacing w:after="0"/>
              <w:rPr>
                <w:sz w:val="20"/>
                <w:szCs w:val="20"/>
                <w:color w:val="auto"/>
              </w:rPr>
            </w:pPr>
            <w:r>
              <w:rPr>
                <w:rFonts w:ascii="Arial" w:cs="Arial" w:eastAsia="Arial" w:hAnsi="Arial"/>
                <w:sz w:val="13"/>
                <w:szCs w:val="13"/>
                <w:color w:val="auto"/>
              </w:rPr>
              <w:t>Eric D. Shaff</w:t>
            </w:r>
          </w:p>
        </w:tc>
        <w:tc>
          <w:tcPr>
            <w:tcW w:w="1480" w:type="dxa"/>
            <w:vAlign w:val="bottom"/>
          </w:tcPr>
          <w:p>
            <w:pPr>
              <w:jc w:val="right"/>
              <w:spacing w:after="0"/>
              <w:rPr>
                <w:sz w:val="20"/>
                <w:szCs w:val="20"/>
                <w:color w:val="auto"/>
              </w:rPr>
            </w:pPr>
            <w:r>
              <w:rPr>
                <w:rFonts w:ascii="Arial" w:cs="Arial" w:eastAsia="Arial" w:hAnsi="Arial"/>
                <w:sz w:val="13"/>
                <w:szCs w:val="13"/>
                <w:color w:val="auto"/>
              </w:rPr>
              <w:t>250,000</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125,000(2)</w:t>
            </w:r>
          </w:p>
        </w:tc>
        <w:tc>
          <w:tcPr>
            <w:tcW w:w="1440" w:type="dxa"/>
            <w:vAlign w:val="bottom"/>
          </w:tcPr>
          <w:p>
            <w:pPr>
              <w:jc w:val="right"/>
              <w:spacing w:after="0"/>
              <w:rPr>
                <w:sz w:val="20"/>
                <w:szCs w:val="20"/>
                <w:color w:val="auto"/>
              </w:rPr>
            </w:pPr>
            <w:r>
              <w:rPr>
                <w:rFonts w:ascii="Arial" w:cs="Arial" w:eastAsia="Arial" w:hAnsi="Arial"/>
                <w:sz w:val="13"/>
                <w:szCs w:val="13"/>
                <w:color w:val="auto"/>
              </w:rPr>
              <w:t>55,675</w:t>
            </w:r>
          </w:p>
        </w:tc>
        <w:tc>
          <w:tcPr>
            <w:tcW w:w="100" w:type="dxa"/>
            <w:vAlign w:val="bottom"/>
          </w:tcPr>
          <w:p>
            <w:pPr>
              <w:spacing w:after="0"/>
              <w:rPr>
                <w:sz w:val="14"/>
                <w:szCs w:val="14"/>
                <w:color w:val="auto"/>
              </w:rPr>
            </w:pPr>
          </w:p>
        </w:tc>
      </w:tr>
      <w:tr>
        <w:trPr>
          <w:trHeight w:val="170"/>
        </w:trPr>
        <w:tc>
          <w:tcPr>
            <w:tcW w:w="6540" w:type="dxa"/>
            <w:vAlign w:val="bottom"/>
            <w:shd w:val="clear" w:color="auto" w:fill="E7E6E6"/>
          </w:tcPr>
          <w:p>
            <w:pPr>
              <w:ind w:left="100"/>
              <w:spacing w:after="0"/>
              <w:rPr>
                <w:sz w:val="20"/>
                <w:szCs w:val="20"/>
                <w:color w:val="auto"/>
              </w:rPr>
            </w:pPr>
            <w:r>
              <w:rPr>
                <w:rFonts w:ascii="Arial" w:cs="Arial" w:eastAsia="Arial" w:hAnsi="Arial"/>
                <w:sz w:val="13"/>
                <w:szCs w:val="13"/>
                <w:color w:val="auto"/>
              </w:rPr>
              <w:t>Teresa L. Young, Ph.D.</w:t>
            </w:r>
          </w:p>
        </w:tc>
        <w:tc>
          <w:tcPr>
            <w:tcW w:w="14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85,000</w:t>
            </w:r>
          </w:p>
        </w:tc>
        <w:tc>
          <w:tcPr>
            <w:tcW w:w="16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127,500(3)</w:t>
            </w:r>
          </w:p>
        </w:tc>
        <w:tc>
          <w:tcPr>
            <w:tcW w:w="14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22,721</w:t>
            </w:r>
          </w:p>
        </w:tc>
        <w:tc>
          <w:tcPr>
            <w:tcW w:w="100" w:type="dxa"/>
            <w:vAlign w:val="bottom"/>
            <w:shd w:val="clear" w:color="auto" w:fill="E7E6E6"/>
          </w:tcPr>
          <w:p>
            <w:pPr>
              <w:spacing w:after="0"/>
              <w:rPr>
                <w:sz w:val="14"/>
                <w:szCs w:val="14"/>
                <w:color w:val="auto"/>
              </w:rPr>
            </w:pPr>
          </w:p>
        </w:tc>
      </w:tr>
      <w:tr>
        <w:trPr>
          <w:trHeight w:val="173"/>
        </w:trPr>
        <w:tc>
          <w:tcPr>
            <w:tcW w:w="6540" w:type="dxa"/>
            <w:vAlign w:val="bottom"/>
          </w:tcPr>
          <w:p>
            <w:pPr>
              <w:ind w:left="100"/>
              <w:spacing w:after="0"/>
              <w:rPr>
                <w:sz w:val="20"/>
                <w:szCs w:val="20"/>
                <w:color w:val="auto"/>
              </w:rPr>
            </w:pPr>
            <w:r>
              <w:rPr>
                <w:rFonts w:ascii="Arial" w:cs="Arial" w:eastAsia="Arial" w:hAnsi="Arial"/>
                <w:sz w:val="13"/>
                <w:szCs w:val="13"/>
                <w:color w:val="auto"/>
              </w:rPr>
              <w:t>Lisa von Moltke, M.D.</w:t>
            </w:r>
          </w:p>
        </w:tc>
        <w:tc>
          <w:tcPr>
            <w:tcW w:w="1480" w:type="dxa"/>
            <w:vAlign w:val="bottom"/>
          </w:tcPr>
          <w:p>
            <w:pPr>
              <w:jc w:val="right"/>
              <w:spacing w:after="0"/>
              <w:rPr>
                <w:sz w:val="20"/>
                <w:szCs w:val="20"/>
                <w:color w:val="auto"/>
              </w:rPr>
            </w:pPr>
            <w:r>
              <w:rPr>
                <w:rFonts w:ascii="Arial" w:cs="Arial" w:eastAsia="Arial" w:hAnsi="Arial"/>
                <w:sz w:val="13"/>
                <w:szCs w:val="13"/>
                <w:color w:val="auto"/>
              </w:rPr>
              <w:t>95,000</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47,500(2)</w:t>
            </w:r>
          </w:p>
        </w:tc>
        <w:tc>
          <w:tcPr>
            <w:tcW w:w="1440" w:type="dxa"/>
            <w:vAlign w:val="bottom"/>
          </w:tcPr>
          <w:p>
            <w:pPr>
              <w:jc w:val="right"/>
              <w:spacing w:after="0"/>
              <w:rPr>
                <w:sz w:val="20"/>
                <w:szCs w:val="20"/>
                <w:color w:val="auto"/>
              </w:rPr>
            </w:pPr>
            <w:r>
              <w:rPr>
                <w:rFonts w:ascii="Arial" w:cs="Arial" w:eastAsia="Arial" w:hAnsi="Arial"/>
                <w:sz w:val="13"/>
                <w:szCs w:val="13"/>
                <w:color w:val="auto"/>
              </w:rPr>
              <w:t>27,489</w:t>
            </w:r>
          </w:p>
        </w:tc>
        <w:tc>
          <w:tcPr>
            <w:tcW w:w="100" w:type="dxa"/>
            <w:vAlign w:val="bottom"/>
          </w:tcPr>
          <w:p>
            <w:pPr>
              <w:spacing w:after="0"/>
              <w:rPr>
                <w:sz w:val="15"/>
                <w:szCs w:val="15"/>
                <w:color w:val="auto"/>
              </w:rPr>
            </w:pPr>
          </w:p>
        </w:tc>
      </w:tr>
    </w:tbl>
    <w:p>
      <w:pPr>
        <w:spacing w:after="0" w:line="102" w:lineRule="exact"/>
        <w:rPr>
          <w:sz w:val="20"/>
          <w:szCs w:val="20"/>
          <w:color w:val="auto"/>
        </w:rPr>
      </w:pPr>
    </w:p>
    <w:p>
      <w:pPr>
        <w:ind w:left="380" w:right="140" w:hanging="375"/>
        <w:spacing w:after="0" w:line="237"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ind w:left="380" w:right="40" w:hanging="375"/>
        <w:spacing w:after="0" w:line="231"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ind w:left="380" w:right="160" w:hanging="375"/>
        <w:spacing w:after="0" w:line="231"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(a) 42,500 restricted stock units that vest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and (b) 85,000 restricted stock units that vest on August 3, 2024. The restricted stock units are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ind w:left="380" w:hanging="375"/>
        <w:spacing w:after="0" w:line="236"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Performance-based restricted stock unit award vests in two equal installments with the first occurring six months following the date the Compensation and Talent Committee determines that the BLA for VOWST has been approved by the FDA and the remaining 50% of such restricted stock units vesting 12 months thereafter. On April 27, 2023, the Compensation and Talent Committee determined the performance condition had been satisfied. Accordingly, 50% of the restricted stock units vested on October 27, 2023 and the remaining 50% of the restricted stock units will vest on October 27, 2024,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and Change in Control Arrangements</w:t>
      </w:r>
    </w:p>
    <w:p>
      <w:pPr>
        <w:spacing w:after="0" w:line="1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are party to employment agreements with each of our NEOs, which generally provide for severance benefits and payments upon a termination without cause or for good reason and enhanced severance benefits and payments if such termination is within 60 days prior to or 12 months following a change in control. Our Compensation and Talent Committee believes that these types of arrangements are necessary to attract and retain executive talent and are a customary component of executive compensation. Particularly, such arrangements can mitigate a potential disincentive for our NEOs when they are evaluating a potential acquisition of the Company and can encourage retention through the conclusion of the transaction. The payments and benefits provided under our severance and change in control arrangements are designed to be competitive with market practices. A description of these arrangements, as well as information on the estimated payments and benefits that our NEOs would have been eligible to receive as of December 31, 2023, are set forth in “</w:t>
      </w:r>
      <w:r>
        <w:rPr>
          <w:rFonts w:ascii="Arial" w:cs="Arial" w:eastAsia="Arial" w:hAnsi="Arial"/>
          <w:sz w:val="17"/>
          <w:szCs w:val="17"/>
          <w:i w:val="1"/>
          <w:iCs w:val="1"/>
          <w:color w:val="auto"/>
        </w:rPr>
        <w:t>Employment Agreements and —Potential Payments Upon</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or Change in Control</w:t>
      </w:r>
      <w:r>
        <w:rPr>
          <w:rFonts w:ascii="Arial" w:cs="Arial" w:eastAsia="Arial" w:hAnsi="Arial"/>
          <w:sz w:val="17"/>
          <w:szCs w:val="17"/>
          <w:color w:val="auto"/>
        </w:rPr>
        <w:t>”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Health, Welfare and Additional Benefits</w:t>
      </w:r>
    </w:p>
    <w:p>
      <w:pPr>
        <w:spacing w:after="0" w:line="1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believe these benefits are necessary and appropriate to provide a competitive compensation package to our NEOs.</w:t>
      </w:r>
    </w:p>
    <w:p>
      <w:pPr>
        <w:spacing w:after="0" w:line="15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also sponsor a 401(k) defined contribution plan in which our NEOs may participate, subject to limits imposed by the Code, to the same extent as all of our other full-time employees. During 2023,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8" w:name="page39"/>
    <w:bookmarkEnd w:id="38"/>
    <w:p>
      <w:pPr>
        <w:spacing w:after="0" w:line="283" w:lineRule="auto"/>
        <w:rPr>
          <w:sz w:val="20"/>
          <w:szCs w:val="20"/>
          <w:color w:val="auto"/>
        </w:rPr>
      </w:pPr>
      <w:r>
        <w:rPr>
          <w:rFonts w:ascii="Arial" w:cs="Arial" w:eastAsia="Arial" w:hAnsi="Arial"/>
          <w:sz w:val="17"/>
          <w:szCs w:val="17"/>
          <w:color w:val="auto"/>
        </w:rPr>
        <w:t>of our employee compensation package and further incentivizes our employees, including our NEOs, in accordance with our compensation policies. We did not provide perquisites or special personal benefits to our NEOs for 2023.</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Considerations</w:t>
      </w:r>
    </w:p>
    <w:p>
      <w:pPr>
        <w:spacing w:after="0" w:line="197"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As a general matter, the Compensation and Talent Committee reviews and considers the various tax and accounting implications of the compensation programs we utilize.</w:t>
      </w:r>
    </w:p>
    <w:p>
      <w:pPr>
        <w:spacing w:after="0" w:line="3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00"/>
          </w:cols>
          <w:pgMar w:left="320" w:top="986" w:right="8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Summary Compensation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left="39"/>
              <w:spacing w:after="0"/>
              <w:rPr>
                <w:sz w:val="20"/>
                <w:szCs w:val="20"/>
                <w:color w:val="auto"/>
              </w:rPr>
            </w:pPr>
            <w:r>
              <w:rPr>
                <w:rFonts w:ascii="Arial" w:cs="Arial" w:eastAsia="Arial" w:hAnsi="Arial"/>
                <w:sz w:val="12"/>
                <w:szCs w:val="12"/>
                <w:color w:val="auto"/>
              </w:rPr>
              <w:t>Non-Equity</w:t>
            </w:r>
          </w:p>
        </w:tc>
        <w:tc>
          <w:tcPr>
            <w:tcW w:w="10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r>
      <w:tr>
        <w:trPr>
          <w:trHeight w:val="131"/>
        </w:trPr>
        <w:tc>
          <w:tcPr>
            <w:tcW w:w="412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19"/>
              <w:spacing w:after="0" w:line="131" w:lineRule="exact"/>
              <w:rPr>
                <w:sz w:val="20"/>
                <w:szCs w:val="20"/>
                <w:color w:val="auto"/>
              </w:rPr>
            </w:pPr>
            <w:r>
              <w:rPr>
                <w:rFonts w:ascii="Arial" w:cs="Arial" w:eastAsia="Arial" w:hAnsi="Arial"/>
                <w:sz w:val="12"/>
                <w:szCs w:val="12"/>
                <w:color w:val="auto"/>
              </w:rPr>
              <w:t>Incentive</w:t>
            </w:r>
          </w:p>
        </w:tc>
        <w:tc>
          <w:tcPr>
            <w:tcW w:w="10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r>
      <w:tr>
        <w:trPr>
          <w:trHeight w:val="131"/>
        </w:trPr>
        <w:tc>
          <w:tcPr>
            <w:tcW w:w="412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39"/>
              <w:spacing w:after="0" w:line="131" w:lineRule="exact"/>
              <w:rPr>
                <w:sz w:val="20"/>
                <w:szCs w:val="20"/>
                <w:color w:val="auto"/>
              </w:rPr>
            </w:pPr>
            <w:r>
              <w:rPr>
                <w:rFonts w:ascii="Arial" w:cs="Arial" w:eastAsia="Arial" w:hAnsi="Arial"/>
                <w:sz w:val="12"/>
                <w:szCs w:val="12"/>
                <w:color w:val="auto"/>
                <w:w w:val="99"/>
              </w:rPr>
              <w:t>Plan</w:t>
            </w:r>
          </w:p>
        </w:tc>
        <w:tc>
          <w:tcPr>
            <w:tcW w:w="100" w:type="dxa"/>
            <w:vAlign w:val="bottom"/>
            <w:shd w:val="clear" w:color="auto" w:fill="E5E5E5"/>
          </w:tcPr>
          <w:p>
            <w:pPr>
              <w:spacing w:after="0"/>
              <w:rPr>
                <w:sz w:val="11"/>
                <w:szCs w:val="11"/>
                <w:color w:val="auto"/>
              </w:rPr>
            </w:pPr>
          </w:p>
        </w:tc>
        <w:tc>
          <w:tcPr>
            <w:tcW w:w="88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rPr>
              <w:t>All Other</w:t>
            </w: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r>
      <w:tr>
        <w:trPr>
          <w:trHeight w:val="131"/>
        </w:trPr>
        <w:tc>
          <w:tcPr>
            <w:tcW w:w="412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jc w:val="center"/>
              <w:ind w:left="79"/>
              <w:spacing w:after="0" w:line="131" w:lineRule="exact"/>
              <w:rPr>
                <w:sz w:val="20"/>
                <w:szCs w:val="20"/>
                <w:color w:val="auto"/>
              </w:rPr>
            </w:pPr>
            <w:r>
              <w:rPr>
                <w:rFonts w:ascii="Arial" w:cs="Arial" w:eastAsia="Arial" w:hAnsi="Arial"/>
                <w:sz w:val="12"/>
                <w:szCs w:val="12"/>
                <w:color w:val="auto"/>
                <w:w w:val="99"/>
              </w:rPr>
              <w:t>Stock</w:t>
            </w: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rPr>
              <w:t>Option</w:t>
            </w:r>
          </w:p>
        </w:tc>
        <w:tc>
          <w:tcPr>
            <w:tcW w:w="12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39"/>
              <w:spacing w:after="0" w:line="131" w:lineRule="exact"/>
              <w:rPr>
                <w:sz w:val="20"/>
                <w:szCs w:val="20"/>
                <w:color w:val="auto"/>
              </w:rPr>
            </w:pPr>
            <w:r>
              <w:rPr>
                <w:rFonts w:ascii="Arial" w:cs="Arial" w:eastAsia="Arial" w:hAnsi="Arial"/>
                <w:sz w:val="12"/>
                <w:szCs w:val="12"/>
                <w:color w:val="auto"/>
              </w:rPr>
              <w:t>Compensatio</w:t>
            </w:r>
          </w:p>
        </w:tc>
        <w:tc>
          <w:tcPr>
            <w:tcW w:w="100" w:type="dxa"/>
            <w:vAlign w:val="bottom"/>
            <w:shd w:val="clear" w:color="auto" w:fill="E5E5E5"/>
          </w:tcPr>
          <w:p>
            <w:pPr>
              <w:spacing w:after="0"/>
              <w:rPr>
                <w:sz w:val="11"/>
                <w:szCs w:val="11"/>
                <w:color w:val="auto"/>
              </w:rPr>
            </w:pPr>
          </w:p>
        </w:tc>
        <w:tc>
          <w:tcPr>
            <w:tcW w:w="88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rPr>
              <w:t>Compensatio</w:t>
            </w: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r>
      <w:tr>
        <w:trPr>
          <w:trHeight w:val="131"/>
        </w:trPr>
        <w:tc>
          <w:tcPr>
            <w:tcW w:w="412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880" w:type="dxa"/>
            <w:vAlign w:val="bottom"/>
            <w:shd w:val="clear" w:color="auto" w:fill="E5E5E5"/>
          </w:tcPr>
          <w:p>
            <w:pPr>
              <w:jc w:val="right"/>
              <w:ind w:right="159"/>
              <w:spacing w:after="0" w:line="131" w:lineRule="exact"/>
              <w:rPr>
                <w:sz w:val="20"/>
                <w:szCs w:val="20"/>
                <w:color w:val="auto"/>
              </w:rPr>
            </w:pPr>
            <w:r>
              <w:rPr>
                <w:rFonts w:ascii="Arial" w:cs="Arial" w:eastAsia="Arial" w:hAnsi="Arial"/>
                <w:sz w:val="12"/>
                <w:szCs w:val="12"/>
                <w:color w:val="auto"/>
              </w:rPr>
              <w:t>Salary</w:t>
            </w: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w w:val="99"/>
              </w:rPr>
              <w:t>Awards</w:t>
            </w:r>
          </w:p>
        </w:tc>
        <w:tc>
          <w:tcPr>
            <w:tcW w:w="120" w:type="dxa"/>
            <w:vAlign w:val="bottom"/>
            <w:shd w:val="clear" w:color="auto" w:fill="E5E5E5"/>
          </w:tcPr>
          <w:p>
            <w:pPr>
              <w:spacing w:after="0"/>
              <w:rPr>
                <w:sz w:val="11"/>
                <w:szCs w:val="11"/>
                <w:color w:val="auto"/>
              </w:rPr>
            </w:pPr>
          </w:p>
        </w:tc>
        <w:tc>
          <w:tcPr>
            <w:tcW w:w="92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w w:val="99"/>
              </w:rPr>
              <w:t>Awards</w:t>
            </w:r>
          </w:p>
        </w:tc>
        <w:tc>
          <w:tcPr>
            <w:tcW w:w="120" w:type="dxa"/>
            <w:vAlign w:val="bottom"/>
            <w:shd w:val="clear" w:color="auto" w:fill="E5E5E5"/>
          </w:tcPr>
          <w:p>
            <w:pPr>
              <w:spacing w:after="0"/>
              <w:rPr>
                <w:sz w:val="11"/>
                <w:szCs w:val="11"/>
                <w:color w:val="auto"/>
              </w:rPr>
            </w:pPr>
          </w:p>
        </w:tc>
        <w:tc>
          <w:tcPr>
            <w:tcW w:w="900" w:type="dxa"/>
            <w:vAlign w:val="bottom"/>
            <w:shd w:val="clear" w:color="auto" w:fill="E5E5E5"/>
          </w:tcPr>
          <w:p>
            <w:pPr>
              <w:jc w:val="center"/>
              <w:ind w:left="59"/>
              <w:spacing w:after="0" w:line="131" w:lineRule="exact"/>
              <w:rPr>
                <w:sz w:val="20"/>
                <w:szCs w:val="20"/>
                <w:color w:val="auto"/>
              </w:rPr>
            </w:pPr>
            <w:r>
              <w:rPr>
                <w:rFonts w:ascii="Arial" w:cs="Arial" w:eastAsia="Arial" w:hAnsi="Arial"/>
                <w:sz w:val="12"/>
                <w:szCs w:val="12"/>
                <w:color w:val="auto"/>
                <w:w w:val="89"/>
              </w:rPr>
              <w:t>n</w:t>
            </w:r>
          </w:p>
        </w:tc>
        <w:tc>
          <w:tcPr>
            <w:tcW w:w="100" w:type="dxa"/>
            <w:vAlign w:val="bottom"/>
            <w:shd w:val="clear" w:color="auto" w:fill="E5E5E5"/>
          </w:tcPr>
          <w:p>
            <w:pPr>
              <w:spacing w:after="0"/>
              <w:rPr>
                <w:sz w:val="11"/>
                <w:szCs w:val="11"/>
                <w:color w:val="auto"/>
              </w:rPr>
            </w:pPr>
          </w:p>
        </w:tc>
        <w:tc>
          <w:tcPr>
            <w:tcW w:w="880" w:type="dxa"/>
            <w:vAlign w:val="bottom"/>
            <w:shd w:val="clear" w:color="auto" w:fill="E5E5E5"/>
          </w:tcPr>
          <w:p>
            <w:pPr>
              <w:jc w:val="center"/>
              <w:ind w:left="39"/>
              <w:spacing w:after="0" w:line="131" w:lineRule="exact"/>
              <w:rPr>
                <w:sz w:val="20"/>
                <w:szCs w:val="20"/>
                <w:color w:val="auto"/>
              </w:rPr>
            </w:pPr>
            <w:r>
              <w:rPr>
                <w:rFonts w:ascii="Arial" w:cs="Arial" w:eastAsia="Arial" w:hAnsi="Arial"/>
                <w:sz w:val="12"/>
                <w:szCs w:val="12"/>
                <w:color w:val="auto"/>
                <w:w w:val="89"/>
              </w:rPr>
              <w:t>n</w:t>
            </w:r>
          </w:p>
        </w:tc>
        <w:tc>
          <w:tcPr>
            <w:tcW w:w="10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r>
      <w:tr>
        <w:trPr>
          <w:trHeight w:val="161"/>
        </w:trPr>
        <w:tc>
          <w:tcPr>
            <w:tcW w:w="41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2"/>
                <w:szCs w:val="12"/>
                <w:color w:val="auto"/>
              </w:rPr>
              <w:t>Name and Principal Position</w:t>
            </w:r>
          </w:p>
        </w:tc>
        <w:tc>
          <w:tcPr>
            <w:tcW w:w="10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2"/>
                <w:szCs w:val="12"/>
                <w:color w:val="auto"/>
              </w:rPr>
              <w:t>Year</w:t>
            </w:r>
          </w:p>
        </w:tc>
        <w:tc>
          <w:tcPr>
            <w:tcW w:w="88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E5E5E5"/>
            </w:tcBorders>
            <w:shd w:val="clear" w:color="auto" w:fill="E5E5E5"/>
          </w:tcPr>
          <w:p>
            <w:pPr>
              <w:spacing w:after="0"/>
              <w:rPr>
                <w:sz w:val="14"/>
                <w:szCs w:val="14"/>
                <w:color w:val="auto"/>
              </w:rPr>
            </w:pPr>
          </w:p>
        </w:tc>
        <w:tc>
          <w:tcPr>
            <w:tcW w:w="920" w:type="dxa"/>
            <w:vAlign w:val="bottom"/>
            <w:tcBorders>
              <w:bottom w:val="single" w:sz="8" w:color="auto"/>
            </w:tcBorders>
            <w:shd w:val="clear" w:color="auto" w:fill="E5E5E5"/>
          </w:tcPr>
          <w:p>
            <w:pPr>
              <w:jc w:val="center"/>
              <w:ind w:left="79"/>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E5E5E5"/>
            </w:tcBorders>
            <w:shd w:val="clear" w:color="auto" w:fill="E5E5E5"/>
          </w:tcPr>
          <w:p>
            <w:pPr>
              <w:spacing w:after="0"/>
              <w:rPr>
                <w:sz w:val="14"/>
                <w:szCs w:val="14"/>
                <w:color w:val="auto"/>
              </w:rPr>
            </w:pPr>
          </w:p>
        </w:tc>
        <w:tc>
          <w:tcPr>
            <w:tcW w:w="920" w:type="dxa"/>
            <w:vAlign w:val="bottom"/>
            <w:tcBorders>
              <w:bottom w:val="single" w:sz="8" w:color="auto"/>
            </w:tcBorders>
            <w:shd w:val="clear" w:color="auto" w:fill="E5E5E5"/>
          </w:tcPr>
          <w:p>
            <w:pPr>
              <w:jc w:val="center"/>
              <w:ind w:left="39"/>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E5E5E5"/>
            </w:tcBorders>
            <w:shd w:val="clear" w:color="auto" w:fill="E5E5E5"/>
          </w:tcPr>
          <w:p>
            <w:pPr>
              <w:spacing w:after="0"/>
              <w:rPr>
                <w:sz w:val="14"/>
                <w:szCs w:val="14"/>
                <w:color w:val="auto"/>
              </w:rPr>
            </w:pPr>
          </w:p>
        </w:tc>
        <w:tc>
          <w:tcPr>
            <w:tcW w:w="900" w:type="dxa"/>
            <w:vAlign w:val="bottom"/>
            <w:tcBorders>
              <w:bottom w:val="single" w:sz="8" w:color="auto"/>
            </w:tcBorders>
            <w:shd w:val="clear" w:color="auto" w:fill="E5E5E5"/>
          </w:tcPr>
          <w:p>
            <w:pPr>
              <w:jc w:val="center"/>
              <w:ind w:left="59"/>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E5E5E5"/>
            </w:tcBorders>
            <w:shd w:val="clear" w:color="auto" w:fill="E5E5E5"/>
          </w:tcPr>
          <w:p>
            <w:pPr>
              <w:spacing w:after="0"/>
              <w:rPr>
                <w:sz w:val="14"/>
                <w:szCs w:val="14"/>
                <w:color w:val="auto"/>
              </w:rPr>
            </w:pPr>
          </w:p>
        </w:tc>
        <w:tc>
          <w:tcPr>
            <w:tcW w:w="880" w:type="dxa"/>
            <w:vAlign w:val="bottom"/>
            <w:tcBorders>
              <w:bottom w:val="single" w:sz="8" w:color="auto"/>
            </w:tcBorders>
            <w:shd w:val="clear" w:color="auto" w:fill="E5E5E5"/>
          </w:tcPr>
          <w:p>
            <w:pPr>
              <w:jc w:val="center"/>
              <w:ind w:left="39"/>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E5E5E5"/>
            </w:tcBorders>
            <w:shd w:val="clear" w:color="auto" w:fill="E5E5E5"/>
          </w:tcPr>
          <w:p>
            <w:pPr>
              <w:spacing w:after="0"/>
              <w:rPr>
                <w:sz w:val="14"/>
                <w:szCs w:val="14"/>
                <w:color w:val="auto"/>
              </w:rPr>
            </w:pPr>
          </w:p>
        </w:tc>
        <w:tc>
          <w:tcPr>
            <w:tcW w:w="96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2"/>
                <w:szCs w:val="12"/>
                <w:color w:val="auto"/>
              </w:rPr>
              <w:t>Total ($)</w:t>
            </w:r>
          </w:p>
        </w:tc>
        <w:tc>
          <w:tcPr>
            <w:tcW w:w="100" w:type="dxa"/>
            <w:vAlign w:val="bottom"/>
            <w:tcBorders>
              <w:bottom w:val="single" w:sz="8" w:color="E5E5E5"/>
            </w:tcBorders>
            <w:shd w:val="clear" w:color="auto" w:fill="E5E5E5"/>
          </w:tcPr>
          <w:p>
            <w:pPr>
              <w:spacing w:after="0"/>
              <w:rPr>
                <w:sz w:val="14"/>
                <w:szCs w:val="14"/>
                <w:color w:val="auto"/>
              </w:rPr>
            </w:pPr>
          </w:p>
        </w:tc>
      </w:tr>
      <w:tr>
        <w:trPr>
          <w:trHeight w:val="146"/>
        </w:trPr>
        <w:tc>
          <w:tcPr>
            <w:tcW w:w="4120" w:type="dxa"/>
            <w:vAlign w:val="bottom"/>
          </w:tcPr>
          <w:p>
            <w:pPr>
              <w:ind w:left="100"/>
              <w:spacing w:after="0"/>
              <w:rPr>
                <w:sz w:val="20"/>
                <w:szCs w:val="20"/>
                <w:color w:val="auto"/>
              </w:rPr>
            </w:pPr>
            <w:r>
              <w:rPr>
                <w:rFonts w:ascii="Arial" w:cs="Arial" w:eastAsia="Arial" w:hAnsi="Arial"/>
                <w:sz w:val="12"/>
                <w:szCs w:val="12"/>
                <w:color w:val="auto"/>
              </w:rPr>
              <w:t>Eric D. Shaff</w:t>
            </w:r>
          </w:p>
        </w:tc>
        <w:tc>
          <w:tcPr>
            <w:tcW w:w="1000" w:type="dxa"/>
            <w:vAlign w:val="bottom"/>
          </w:tcPr>
          <w:p>
            <w:pPr>
              <w:ind w:left="420"/>
              <w:spacing w:after="0"/>
              <w:rPr>
                <w:sz w:val="20"/>
                <w:szCs w:val="20"/>
                <w:color w:val="auto"/>
              </w:rPr>
            </w:pPr>
            <w:r>
              <w:rPr>
                <w:rFonts w:ascii="Arial" w:cs="Arial" w:eastAsia="Arial" w:hAnsi="Arial"/>
                <w:sz w:val="12"/>
                <w:szCs w:val="12"/>
                <w:color w:val="auto"/>
              </w:rPr>
              <w:t>2023</w:t>
            </w:r>
          </w:p>
        </w:tc>
        <w:tc>
          <w:tcPr>
            <w:tcW w:w="880" w:type="dxa"/>
            <w:vAlign w:val="bottom"/>
          </w:tcPr>
          <w:p>
            <w:pPr>
              <w:jc w:val="right"/>
              <w:spacing w:after="0"/>
              <w:rPr>
                <w:sz w:val="20"/>
                <w:szCs w:val="20"/>
                <w:color w:val="auto"/>
              </w:rPr>
            </w:pPr>
            <w:r>
              <w:rPr>
                <w:rFonts w:ascii="Arial" w:cs="Arial" w:eastAsia="Arial" w:hAnsi="Arial"/>
                <w:sz w:val="12"/>
                <w:szCs w:val="12"/>
                <w:color w:val="auto"/>
              </w:rPr>
              <w:t>685,000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993,713</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1,140,925</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328,800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9,898</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3,158,336</w:t>
            </w:r>
          </w:p>
        </w:tc>
        <w:tc>
          <w:tcPr>
            <w:tcW w:w="100" w:type="dxa"/>
            <w:vAlign w:val="bottom"/>
          </w:tcPr>
          <w:p>
            <w:pPr>
              <w:spacing w:after="0"/>
              <w:rPr>
                <w:sz w:val="12"/>
                <w:szCs w:val="12"/>
                <w:color w:val="auto"/>
              </w:rPr>
            </w:pPr>
          </w:p>
        </w:tc>
      </w:tr>
      <w:tr>
        <w:trPr>
          <w:trHeight w:val="161"/>
        </w:trPr>
        <w:tc>
          <w:tcPr>
            <w:tcW w:w="4120" w:type="dxa"/>
            <w:vAlign w:val="bottom"/>
          </w:tcPr>
          <w:p>
            <w:pPr>
              <w:ind w:left="100"/>
              <w:spacing w:after="0"/>
              <w:rPr>
                <w:sz w:val="20"/>
                <w:szCs w:val="20"/>
                <w:color w:val="auto"/>
              </w:rPr>
            </w:pPr>
            <w:r>
              <w:rPr>
                <w:rFonts w:ascii="Arial" w:cs="Arial" w:eastAsia="Arial" w:hAnsi="Arial"/>
                <w:sz w:val="12"/>
                <w:szCs w:val="12"/>
                <w:i w:val="1"/>
                <w:iCs w:val="1"/>
                <w:color w:val="auto"/>
              </w:rPr>
              <w:t>President and Chief Executive Officer</w:t>
            </w:r>
          </w:p>
        </w:tc>
        <w:tc>
          <w:tcPr>
            <w:tcW w:w="1000" w:type="dxa"/>
            <w:vAlign w:val="bottom"/>
          </w:tcPr>
          <w:p>
            <w:pPr>
              <w:ind w:left="420"/>
              <w:spacing w:after="0"/>
              <w:rPr>
                <w:sz w:val="20"/>
                <w:szCs w:val="20"/>
                <w:color w:val="auto"/>
              </w:rPr>
            </w:pPr>
            <w:r>
              <w:rPr>
                <w:rFonts w:ascii="Arial" w:cs="Arial" w:eastAsia="Arial" w:hAnsi="Arial"/>
                <w:sz w:val="12"/>
                <w:szCs w:val="12"/>
                <w:color w:val="auto"/>
              </w:rPr>
              <w:t>2022</w:t>
            </w:r>
          </w:p>
        </w:tc>
        <w:tc>
          <w:tcPr>
            <w:tcW w:w="880" w:type="dxa"/>
            <w:vAlign w:val="bottom"/>
          </w:tcPr>
          <w:p>
            <w:pPr>
              <w:jc w:val="right"/>
              <w:spacing w:after="0"/>
              <w:rPr>
                <w:sz w:val="20"/>
                <w:szCs w:val="20"/>
                <w:color w:val="auto"/>
              </w:rPr>
            </w:pPr>
            <w:r>
              <w:rPr>
                <w:rFonts w:ascii="Arial" w:cs="Arial" w:eastAsia="Arial" w:hAnsi="Arial"/>
                <w:sz w:val="12"/>
                <w:szCs w:val="12"/>
                <w:color w:val="auto"/>
              </w:rPr>
              <w:t>661,600</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2,938,500</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397,000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9,148</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4,006,248</w:t>
            </w:r>
          </w:p>
        </w:tc>
        <w:tc>
          <w:tcPr>
            <w:tcW w:w="100" w:type="dxa"/>
            <w:vAlign w:val="bottom"/>
          </w:tcPr>
          <w:p>
            <w:pPr>
              <w:spacing w:after="0"/>
              <w:rPr>
                <w:sz w:val="14"/>
                <w:szCs w:val="14"/>
                <w:color w:val="auto"/>
              </w:rPr>
            </w:pPr>
          </w:p>
        </w:tc>
      </w:tr>
      <w:tr>
        <w:trPr>
          <w:trHeight w:val="158"/>
        </w:trPr>
        <w:tc>
          <w:tcPr>
            <w:tcW w:w="4120" w:type="dxa"/>
            <w:vAlign w:val="bottom"/>
            <w:shd w:val="clear" w:color="auto" w:fill="E7E6E6"/>
          </w:tcPr>
          <w:p>
            <w:pPr>
              <w:ind w:left="100"/>
              <w:spacing w:after="0"/>
              <w:rPr>
                <w:sz w:val="20"/>
                <w:szCs w:val="20"/>
                <w:color w:val="auto"/>
              </w:rPr>
            </w:pPr>
            <w:r>
              <w:rPr>
                <w:rFonts w:ascii="Arial" w:cs="Arial" w:eastAsia="Arial" w:hAnsi="Arial"/>
                <w:sz w:val="12"/>
                <w:szCs w:val="12"/>
                <w:color w:val="auto"/>
              </w:rPr>
              <w:t>Teresa L. Young, Ph.D.</w:t>
            </w:r>
          </w:p>
        </w:tc>
        <w:tc>
          <w:tcPr>
            <w:tcW w:w="1000" w:type="dxa"/>
            <w:vAlign w:val="bottom"/>
            <w:shd w:val="clear" w:color="auto" w:fill="E7E6E6"/>
          </w:tcPr>
          <w:p>
            <w:pPr>
              <w:ind w:left="420"/>
              <w:spacing w:after="0"/>
              <w:rPr>
                <w:sz w:val="20"/>
                <w:szCs w:val="20"/>
                <w:color w:val="auto"/>
              </w:rPr>
            </w:pPr>
            <w:r>
              <w:rPr>
                <w:rFonts w:ascii="Arial" w:cs="Arial" w:eastAsia="Arial" w:hAnsi="Arial"/>
                <w:sz w:val="12"/>
                <w:szCs w:val="12"/>
                <w:color w:val="auto"/>
              </w:rPr>
              <w:t>2023</w:t>
            </w:r>
          </w:p>
        </w:tc>
        <w:tc>
          <w:tcPr>
            <w:tcW w:w="880" w:type="dxa"/>
            <w:vAlign w:val="bottom"/>
            <w:shd w:val="clear" w:color="auto" w:fill="E7E6E6"/>
          </w:tcPr>
          <w:p>
            <w:pPr>
              <w:jc w:val="right"/>
              <w:spacing w:after="0"/>
              <w:rPr>
                <w:sz w:val="20"/>
                <w:szCs w:val="20"/>
                <w:color w:val="auto"/>
              </w:rPr>
            </w:pPr>
            <w:r>
              <w:rPr>
                <w:rFonts w:ascii="Arial" w:cs="Arial" w:eastAsia="Arial" w:hAnsi="Arial"/>
                <w:sz w:val="12"/>
                <w:szCs w:val="12"/>
                <w:color w:val="auto"/>
              </w:rPr>
              <w:t>437,000</w:t>
            </w:r>
          </w:p>
        </w:tc>
        <w:tc>
          <w:tcPr>
            <w:tcW w:w="1040" w:type="dxa"/>
            <w:vAlign w:val="bottom"/>
            <w:gridSpan w:val="2"/>
            <w:shd w:val="clear" w:color="auto" w:fill="E7E6E6"/>
          </w:tcPr>
          <w:p>
            <w:pPr>
              <w:jc w:val="right"/>
              <w:spacing w:after="0"/>
              <w:rPr>
                <w:sz w:val="20"/>
                <w:szCs w:val="20"/>
                <w:color w:val="auto"/>
              </w:rPr>
            </w:pPr>
            <w:r>
              <w:rPr>
                <w:rFonts w:ascii="Arial" w:cs="Arial" w:eastAsia="Arial" w:hAnsi="Arial"/>
                <w:sz w:val="12"/>
                <w:szCs w:val="12"/>
                <w:color w:val="auto"/>
              </w:rPr>
              <w:t>826,216</w:t>
            </w:r>
          </w:p>
        </w:tc>
        <w:tc>
          <w:tcPr>
            <w:tcW w:w="1040" w:type="dxa"/>
            <w:vAlign w:val="bottom"/>
            <w:gridSpan w:val="2"/>
            <w:shd w:val="clear" w:color="auto" w:fill="E7E6E6"/>
          </w:tcPr>
          <w:p>
            <w:pPr>
              <w:jc w:val="right"/>
              <w:spacing w:after="0"/>
              <w:rPr>
                <w:sz w:val="20"/>
                <w:szCs w:val="20"/>
                <w:color w:val="auto"/>
              </w:rPr>
            </w:pPr>
            <w:r>
              <w:rPr>
                <w:rFonts w:ascii="Arial" w:cs="Arial" w:eastAsia="Arial" w:hAnsi="Arial"/>
                <w:sz w:val="12"/>
                <w:szCs w:val="12"/>
                <w:color w:val="auto"/>
              </w:rPr>
              <w:t>387,915</w:t>
            </w:r>
          </w:p>
        </w:tc>
        <w:tc>
          <w:tcPr>
            <w:tcW w:w="1020" w:type="dxa"/>
            <w:vAlign w:val="bottom"/>
            <w:gridSpan w:val="2"/>
            <w:shd w:val="clear" w:color="auto" w:fill="E7E6E6"/>
          </w:tcPr>
          <w:p>
            <w:pPr>
              <w:jc w:val="right"/>
              <w:spacing w:after="0"/>
              <w:rPr>
                <w:sz w:val="20"/>
                <w:szCs w:val="20"/>
                <w:color w:val="auto"/>
              </w:rPr>
            </w:pPr>
            <w:r>
              <w:rPr>
                <w:rFonts w:ascii="Arial" w:cs="Arial" w:eastAsia="Arial" w:hAnsi="Arial"/>
                <w:sz w:val="12"/>
                <w:szCs w:val="12"/>
                <w:color w:val="auto"/>
              </w:rPr>
              <w:t>167,808</w:t>
            </w:r>
          </w:p>
        </w:tc>
        <w:tc>
          <w:tcPr>
            <w:tcW w:w="980" w:type="dxa"/>
            <w:vAlign w:val="bottom"/>
            <w:gridSpan w:val="2"/>
            <w:shd w:val="clear" w:color="auto" w:fill="E7E6E6"/>
          </w:tcPr>
          <w:p>
            <w:pPr>
              <w:jc w:val="right"/>
              <w:spacing w:after="0"/>
              <w:rPr>
                <w:sz w:val="20"/>
                <w:szCs w:val="20"/>
                <w:color w:val="auto"/>
              </w:rPr>
            </w:pPr>
            <w:r>
              <w:rPr>
                <w:rFonts w:ascii="Arial" w:cs="Arial" w:eastAsia="Arial" w:hAnsi="Arial"/>
                <w:sz w:val="12"/>
                <w:szCs w:val="12"/>
                <w:color w:val="auto"/>
              </w:rPr>
              <w:t>1,519</w:t>
            </w:r>
          </w:p>
        </w:tc>
        <w:tc>
          <w:tcPr>
            <w:tcW w:w="1060" w:type="dxa"/>
            <w:vAlign w:val="bottom"/>
            <w:gridSpan w:val="2"/>
            <w:shd w:val="clear" w:color="auto" w:fill="E7E6E6"/>
          </w:tcPr>
          <w:p>
            <w:pPr>
              <w:jc w:val="right"/>
              <w:spacing w:after="0"/>
              <w:rPr>
                <w:sz w:val="20"/>
                <w:szCs w:val="20"/>
                <w:color w:val="auto"/>
              </w:rPr>
            </w:pPr>
            <w:r>
              <w:rPr>
                <w:rFonts w:ascii="Arial" w:cs="Arial" w:eastAsia="Arial" w:hAnsi="Arial"/>
                <w:sz w:val="12"/>
                <w:szCs w:val="12"/>
                <w:color w:val="auto"/>
              </w:rPr>
              <w:t>1,820,458</w:t>
            </w:r>
          </w:p>
        </w:tc>
        <w:tc>
          <w:tcPr>
            <w:tcW w:w="100" w:type="dxa"/>
            <w:vAlign w:val="bottom"/>
            <w:shd w:val="clear" w:color="auto" w:fill="E7E6E6"/>
          </w:tcPr>
          <w:p>
            <w:pPr>
              <w:spacing w:after="0"/>
              <w:rPr>
                <w:sz w:val="13"/>
                <w:szCs w:val="13"/>
                <w:color w:val="auto"/>
              </w:rPr>
            </w:pPr>
          </w:p>
        </w:tc>
      </w:tr>
      <w:tr>
        <w:trPr>
          <w:trHeight w:val="157"/>
        </w:trPr>
        <w:tc>
          <w:tcPr>
            <w:tcW w:w="4120" w:type="dxa"/>
            <w:vAlign w:val="bottom"/>
            <w:shd w:val="clear" w:color="auto" w:fill="E7E6E6"/>
          </w:tcPr>
          <w:p>
            <w:pPr>
              <w:ind w:left="100"/>
              <w:spacing w:after="0"/>
              <w:rPr>
                <w:sz w:val="20"/>
                <w:szCs w:val="20"/>
                <w:color w:val="auto"/>
              </w:rPr>
            </w:pPr>
            <w:r>
              <w:rPr>
                <w:rFonts w:ascii="Arial" w:cs="Arial" w:eastAsia="Arial" w:hAnsi="Arial"/>
                <w:sz w:val="12"/>
                <w:szCs w:val="12"/>
                <w:i w:val="1"/>
                <w:iCs w:val="1"/>
                <w:color w:val="auto"/>
              </w:rPr>
              <w:t>Executive Vice President, Chief Commercial and Strategy Officer</w:t>
            </w:r>
          </w:p>
        </w:tc>
        <w:tc>
          <w:tcPr>
            <w:tcW w:w="1000" w:type="dxa"/>
            <w:vAlign w:val="bottom"/>
            <w:shd w:val="clear" w:color="auto" w:fill="E7E6E6"/>
          </w:tcPr>
          <w:p>
            <w:pPr>
              <w:spacing w:after="0"/>
              <w:rPr>
                <w:sz w:val="13"/>
                <w:szCs w:val="13"/>
                <w:color w:val="auto"/>
              </w:rPr>
            </w:pPr>
          </w:p>
        </w:tc>
        <w:tc>
          <w:tcPr>
            <w:tcW w:w="88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92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920" w:type="dxa"/>
            <w:vAlign w:val="bottom"/>
            <w:shd w:val="clear" w:color="auto" w:fill="E7E6E6"/>
          </w:tcPr>
          <w:p>
            <w:pPr>
              <w:spacing w:after="0"/>
              <w:rPr>
                <w:sz w:val="13"/>
                <w:szCs w:val="13"/>
                <w:color w:val="auto"/>
              </w:rPr>
            </w:pPr>
          </w:p>
        </w:tc>
        <w:tc>
          <w:tcPr>
            <w:tcW w:w="120" w:type="dxa"/>
            <w:vAlign w:val="bottom"/>
            <w:shd w:val="clear" w:color="auto" w:fill="E7E6E6"/>
          </w:tcPr>
          <w:p>
            <w:pPr>
              <w:spacing w:after="0"/>
              <w:rPr>
                <w:sz w:val="13"/>
                <w:szCs w:val="13"/>
                <w:color w:val="auto"/>
              </w:rPr>
            </w:pPr>
          </w:p>
        </w:tc>
        <w:tc>
          <w:tcPr>
            <w:tcW w:w="90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88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c>
          <w:tcPr>
            <w:tcW w:w="960" w:type="dxa"/>
            <w:vAlign w:val="bottom"/>
            <w:shd w:val="clear" w:color="auto" w:fill="E7E6E6"/>
          </w:tcPr>
          <w:p>
            <w:pPr>
              <w:spacing w:after="0"/>
              <w:rPr>
                <w:sz w:val="13"/>
                <w:szCs w:val="13"/>
                <w:color w:val="auto"/>
              </w:rPr>
            </w:pPr>
          </w:p>
        </w:tc>
        <w:tc>
          <w:tcPr>
            <w:tcW w:w="100" w:type="dxa"/>
            <w:vAlign w:val="bottom"/>
            <w:shd w:val="clear" w:color="auto" w:fill="E7E6E6"/>
          </w:tcPr>
          <w:p>
            <w:pPr>
              <w:spacing w:after="0"/>
              <w:rPr>
                <w:sz w:val="13"/>
                <w:szCs w:val="13"/>
                <w:color w:val="auto"/>
              </w:rPr>
            </w:pPr>
          </w:p>
        </w:tc>
      </w:tr>
      <w:tr>
        <w:trPr>
          <w:trHeight w:val="152"/>
        </w:trPr>
        <w:tc>
          <w:tcPr>
            <w:tcW w:w="4120" w:type="dxa"/>
            <w:vAlign w:val="bottom"/>
          </w:tcPr>
          <w:p>
            <w:pPr>
              <w:ind w:left="100"/>
              <w:spacing w:after="0"/>
              <w:rPr>
                <w:sz w:val="20"/>
                <w:szCs w:val="20"/>
                <w:color w:val="auto"/>
              </w:rPr>
            </w:pPr>
            <w:r>
              <w:rPr>
                <w:rFonts w:ascii="Arial" w:cs="Arial" w:eastAsia="Arial" w:hAnsi="Arial"/>
                <w:sz w:val="12"/>
                <w:szCs w:val="12"/>
                <w:color w:val="auto"/>
              </w:rPr>
              <w:t>Lisa von Moltke, M.D.</w:t>
            </w:r>
          </w:p>
        </w:tc>
        <w:tc>
          <w:tcPr>
            <w:tcW w:w="1000" w:type="dxa"/>
            <w:vAlign w:val="bottom"/>
          </w:tcPr>
          <w:p>
            <w:pPr>
              <w:ind w:left="420"/>
              <w:spacing w:after="0"/>
              <w:rPr>
                <w:sz w:val="20"/>
                <w:szCs w:val="20"/>
                <w:color w:val="auto"/>
              </w:rPr>
            </w:pPr>
            <w:r>
              <w:rPr>
                <w:rFonts w:ascii="Arial" w:cs="Arial" w:eastAsia="Arial" w:hAnsi="Arial"/>
                <w:sz w:val="12"/>
                <w:szCs w:val="12"/>
                <w:color w:val="auto"/>
              </w:rPr>
              <w:t>2023</w:t>
            </w:r>
          </w:p>
        </w:tc>
        <w:tc>
          <w:tcPr>
            <w:tcW w:w="880" w:type="dxa"/>
            <w:vAlign w:val="bottom"/>
          </w:tcPr>
          <w:p>
            <w:pPr>
              <w:jc w:val="right"/>
              <w:spacing w:after="0"/>
              <w:rPr>
                <w:sz w:val="20"/>
                <w:szCs w:val="20"/>
                <w:color w:val="auto"/>
              </w:rPr>
            </w:pPr>
            <w:r>
              <w:rPr>
                <w:rFonts w:ascii="Arial" w:cs="Arial" w:eastAsia="Arial" w:hAnsi="Arial"/>
                <w:sz w:val="12"/>
                <w:szCs w:val="12"/>
                <w:color w:val="auto"/>
              </w:rPr>
              <w:t>515,000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412,440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433,552</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201,880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8,269</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1,571,141</w:t>
            </w:r>
          </w:p>
        </w:tc>
        <w:tc>
          <w:tcPr>
            <w:tcW w:w="100" w:type="dxa"/>
            <w:vAlign w:val="bottom"/>
          </w:tcPr>
          <w:p>
            <w:pPr>
              <w:spacing w:after="0"/>
              <w:rPr>
                <w:sz w:val="13"/>
                <w:szCs w:val="13"/>
                <w:color w:val="auto"/>
              </w:rPr>
            </w:pPr>
          </w:p>
        </w:tc>
      </w:tr>
      <w:tr>
        <w:trPr>
          <w:trHeight w:val="160"/>
        </w:trPr>
        <w:tc>
          <w:tcPr>
            <w:tcW w:w="4120" w:type="dxa"/>
            <w:vAlign w:val="bottom"/>
          </w:tcPr>
          <w:p>
            <w:pPr>
              <w:ind w:left="100"/>
              <w:spacing w:after="0"/>
              <w:rPr>
                <w:sz w:val="20"/>
                <w:szCs w:val="20"/>
                <w:color w:val="auto"/>
              </w:rPr>
            </w:pPr>
            <w:r>
              <w:rPr>
                <w:rFonts w:ascii="Arial" w:cs="Arial" w:eastAsia="Arial" w:hAnsi="Arial"/>
                <w:sz w:val="12"/>
                <w:szCs w:val="12"/>
                <w:i w:val="1"/>
                <w:iCs w:val="1"/>
                <w:color w:val="auto"/>
              </w:rPr>
              <w:t>Executive Vice President and Chief Medical Officer</w:t>
            </w:r>
          </w:p>
        </w:tc>
        <w:tc>
          <w:tcPr>
            <w:tcW w:w="1000" w:type="dxa"/>
            <w:vAlign w:val="bottom"/>
          </w:tcPr>
          <w:p>
            <w:pPr>
              <w:ind w:left="420"/>
              <w:spacing w:after="0"/>
              <w:rPr>
                <w:sz w:val="20"/>
                <w:szCs w:val="20"/>
                <w:color w:val="auto"/>
              </w:rPr>
            </w:pPr>
            <w:r>
              <w:rPr>
                <w:rFonts w:ascii="Arial" w:cs="Arial" w:eastAsia="Arial" w:hAnsi="Arial"/>
                <w:sz w:val="12"/>
                <w:szCs w:val="12"/>
                <w:color w:val="auto"/>
              </w:rPr>
              <w:t>2022</w:t>
            </w:r>
          </w:p>
        </w:tc>
        <w:tc>
          <w:tcPr>
            <w:tcW w:w="880" w:type="dxa"/>
            <w:vAlign w:val="bottom"/>
          </w:tcPr>
          <w:p>
            <w:pPr>
              <w:jc w:val="right"/>
              <w:spacing w:after="0"/>
              <w:rPr>
                <w:sz w:val="20"/>
                <w:szCs w:val="20"/>
                <w:color w:val="auto"/>
              </w:rPr>
            </w:pPr>
            <w:r>
              <w:rPr>
                <w:rFonts w:ascii="Arial" w:cs="Arial" w:eastAsia="Arial" w:hAnsi="Arial"/>
                <w:sz w:val="12"/>
                <w:szCs w:val="12"/>
                <w:color w:val="auto"/>
              </w:rPr>
              <w:t>490,000</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1,028,475</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208,000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8,139</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1,734,614</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-605155</wp:posOffset>
            </wp:positionV>
            <wp:extent cx="749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-605155</wp:posOffset>
            </wp:positionV>
            <wp:extent cx="74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-605155</wp:posOffset>
            </wp:positionV>
            <wp:extent cx="749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-605155</wp:posOffset>
            </wp:positionV>
            <wp:extent cx="666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-605155</wp:posOffset>
            </wp:positionV>
            <wp:extent cx="666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-605155</wp:posOffset>
            </wp:positionV>
            <wp:extent cx="666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6" w:lineRule="exact"/>
        <w:rPr>
          <w:sz w:val="20"/>
          <w:szCs w:val="20"/>
          <w:color w:val="auto"/>
        </w:rPr>
      </w:pPr>
    </w:p>
    <w:p>
      <w:pPr>
        <w:ind w:left="380" w:right="40" w:hanging="375"/>
        <w:spacing w:after="0" w:line="249"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and stock awards computed in accordance with FASB ASC Topic 718. For a description of the assumptions used in valuing option awards, see Note 11 to our audited consolidated financial statements included in our Annual Report on Form 10-K for the fiscal year ended December 31, 2023. The amount included for performance-based restricted stock units represents the grant date fair value of the award assuming that the highest level of performance conditions will be achieved.</w:t>
      </w:r>
    </w:p>
    <w:p>
      <w:pPr>
        <w:spacing w:after="0" w:line="18" w:lineRule="exact"/>
        <w:rPr>
          <w:rFonts w:ascii="Arial" w:cs="Arial" w:eastAsia="Arial" w:hAnsi="Arial"/>
          <w:sz w:val="13"/>
          <w:szCs w:val="13"/>
          <w:color w:val="auto"/>
        </w:rPr>
      </w:pPr>
    </w:p>
    <w:p>
      <w:pPr>
        <w:ind w:left="380" w:right="280" w:hanging="375"/>
        <w:spacing w:after="0" w:line="267"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Represents amounts paid under our annual cash bonus program. For additional information regarding these amounts, refer to </w:t>
      </w:r>
      <w:r>
        <w:rPr>
          <w:rFonts w:ascii="Arial" w:cs="Arial" w:eastAsia="Arial" w:hAnsi="Arial"/>
          <w:sz w:val="13"/>
          <w:szCs w:val="13"/>
          <w:i w:val="1"/>
          <w:iCs w:val="1"/>
          <w:color w:val="auto"/>
        </w:rPr>
        <w:t>“—Elements of Our Executive Compensation Program—</w:t>
      </w:r>
      <w:r>
        <w:rPr>
          <w:rFonts w:ascii="Arial" w:cs="Arial" w:eastAsia="Arial" w:hAnsi="Arial"/>
          <w:sz w:val="13"/>
          <w:szCs w:val="13"/>
          <w:color w:val="auto"/>
        </w:rPr>
        <w:t xml:space="preserve"> </w:t>
      </w:r>
      <w:r>
        <w:rPr>
          <w:rFonts w:ascii="Arial" w:cs="Arial" w:eastAsia="Arial" w:hAnsi="Arial"/>
          <w:sz w:val="13"/>
          <w:szCs w:val="13"/>
          <w:i w:val="1"/>
          <w:iCs w:val="1"/>
          <w:color w:val="auto"/>
        </w:rPr>
        <w:t>Cash-Based Incentive Compensation</w:t>
      </w:r>
      <w:r>
        <w:rPr>
          <w:rFonts w:ascii="Arial" w:cs="Arial" w:eastAsia="Arial" w:hAnsi="Arial"/>
          <w:sz w:val="13"/>
          <w:szCs w:val="13"/>
          <w:color w:val="auto"/>
        </w:rPr>
        <w:t>.”</w:t>
      </w:r>
    </w:p>
    <w:p>
      <w:pPr>
        <w:spacing w:after="0" w:line="7" w:lineRule="exact"/>
        <w:rPr>
          <w:rFonts w:ascii="Arial" w:cs="Arial" w:eastAsia="Arial" w:hAnsi="Arial"/>
          <w:sz w:val="13"/>
          <w:szCs w:val="13"/>
          <w:color w:val="auto"/>
        </w:rPr>
      </w:pPr>
    </w:p>
    <w:p>
      <w:pPr>
        <w:ind w:left="380" w:right="180" w:hanging="375"/>
        <w:spacing w:after="0" w:line="267"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company matching contributions under our 401(k) plan. For additional information regarding these amounts, refer to “—</w:t>
      </w:r>
      <w:r>
        <w:rPr>
          <w:rFonts w:ascii="Arial" w:cs="Arial" w:eastAsia="Arial" w:hAnsi="Arial"/>
          <w:sz w:val="13"/>
          <w:szCs w:val="13"/>
          <w:i w:val="1"/>
          <w:iCs w:val="1"/>
          <w:color w:val="auto"/>
        </w:rPr>
        <w:t>Elements of Our Executive Compensation Program—</w:t>
      </w:r>
      <w:r>
        <w:rPr>
          <w:rFonts w:ascii="Arial" w:cs="Arial" w:eastAsia="Arial" w:hAnsi="Arial"/>
          <w:sz w:val="13"/>
          <w:szCs w:val="13"/>
          <w:color w:val="auto"/>
        </w:rPr>
        <w:t xml:space="preserve"> </w:t>
      </w:r>
      <w:r>
        <w:rPr>
          <w:rFonts w:ascii="Arial" w:cs="Arial" w:eastAsia="Arial" w:hAnsi="Arial"/>
          <w:sz w:val="13"/>
          <w:szCs w:val="13"/>
          <w:i w:val="1"/>
          <w:iCs w:val="1"/>
          <w:color w:val="auto"/>
        </w:rPr>
        <w:t>Retirement, Health, Welfare and Additional Benefits</w:t>
      </w:r>
      <w:r>
        <w:rPr>
          <w:rFonts w:ascii="Arial" w:cs="Arial" w:eastAsia="Arial" w:hAnsi="Arial"/>
          <w:sz w:val="13"/>
          <w:szCs w:val="13"/>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Plan-Based Awards in Fiscal 2023</w:t>
      </w:r>
    </w:p>
    <w:p>
      <w:pPr>
        <w:spacing w:after="0" w:line="3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following table provides supplemental information relating to grants of plan-based awards made during fiscal 2023 to help explain information provided above in our Summary Compensation Table. All awards are granted under the 2015 Plan. This table presents information regarding all grants of plan-based awards occurring during fiscal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5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Estimated Future Payout</w:t>
            </w:r>
          </w:p>
        </w:tc>
        <w:tc>
          <w:tcPr>
            <w:tcW w:w="120" w:type="dxa"/>
            <w:vAlign w:val="bottom"/>
            <w:shd w:val="clear" w:color="auto" w:fill="D9D9D9"/>
          </w:tcPr>
          <w:p>
            <w:pPr>
              <w:spacing w:after="0"/>
              <w:rPr>
                <w:sz w:val="13"/>
                <w:szCs w:val="13"/>
                <w:color w:val="auto"/>
              </w:rPr>
            </w:pPr>
          </w:p>
        </w:tc>
        <w:tc>
          <w:tcPr>
            <w:tcW w:w="154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5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All Other Stock</w:t>
            </w:r>
          </w:p>
        </w:tc>
        <w:tc>
          <w:tcPr>
            <w:tcW w:w="136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All Other Option</w:t>
            </w:r>
          </w:p>
        </w:tc>
        <w:tc>
          <w:tcPr>
            <w:tcW w:w="10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1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540" w:type="dxa"/>
            <w:vAlign w:val="bottom"/>
            <w:shd w:val="clear" w:color="auto" w:fill="D9D9D9"/>
          </w:tcPr>
          <w:p>
            <w:pPr>
              <w:spacing w:after="0"/>
              <w:rPr>
                <w:sz w:val="5"/>
                <w:szCs w:val="5"/>
                <w:color w:val="auto"/>
              </w:rPr>
            </w:pPr>
          </w:p>
        </w:tc>
        <w:tc>
          <w:tcPr>
            <w:tcW w:w="960" w:type="dxa"/>
            <w:vAlign w:val="bottom"/>
            <w:shd w:val="clear" w:color="auto" w:fill="D9D9D9"/>
          </w:tcPr>
          <w:p>
            <w:pPr>
              <w:spacing w:after="0"/>
              <w:rPr>
                <w:sz w:val="5"/>
                <w:szCs w:val="5"/>
                <w:color w:val="auto"/>
              </w:rPr>
            </w:pPr>
          </w:p>
        </w:tc>
        <w:tc>
          <w:tcPr>
            <w:tcW w:w="1500" w:type="dxa"/>
            <w:vAlign w:val="bottom"/>
            <w:vMerge w:val="continue"/>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1540" w:type="dxa"/>
            <w:vAlign w:val="bottom"/>
            <w:vMerge w:val="restart"/>
            <w:shd w:val="clear" w:color="auto" w:fill="D9D9D9"/>
          </w:tcPr>
          <w:p>
            <w:pPr>
              <w:ind w:left="40"/>
              <w:spacing w:after="0" w:line="144" w:lineRule="exact"/>
              <w:rPr>
                <w:sz w:val="20"/>
                <w:szCs w:val="20"/>
                <w:color w:val="auto"/>
              </w:rPr>
            </w:pPr>
            <w:r>
              <w:rPr>
                <w:rFonts w:ascii="Arial" w:cs="Arial" w:eastAsia="Arial" w:hAnsi="Arial"/>
                <w:sz w:val="13"/>
                <w:szCs w:val="13"/>
                <w:color w:val="auto"/>
              </w:rPr>
              <w:t>Estimated Future Payout</w:t>
            </w:r>
          </w:p>
        </w:tc>
        <w:tc>
          <w:tcPr>
            <w:tcW w:w="120" w:type="dxa"/>
            <w:vAlign w:val="bottom"/>
            <w:shd w:val="clear" w:color="auto" w:fill="D9D9D9"/>
          </w:tcPr>
          <w:p>
            <w:pPr>
              <w:spacing w:after="0"/>
              <w:rPr>
                <w:sz w:val="5"/>
                <w:szCs w:val="5"/>
                <w:color w:val="auto"/>
              </w:rPr>
            </w:pPr>
          </w:p>
        </w:tc>
        <w:tc>
          <w:tcPr>
            <w:tcW w:w="158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w w:val="99"/>
              </w:rPr>
              <w:t>Awards: Number</w:t>
            </w:r>
          </w:p>
        </w:tc>
        <w:tc>
          <w:tcPr>
            <w:tcW w:w="1360" w:type="dxa"/>
            <w:vAlign w:val="bottom"/>
            <w:vMerge w:val="continue"/>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4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w w:val="99"/>
              </w:rPr>
              <w:t>Exercise or Base</w:t>
            </w:r>
          </w:p>
        </w:tc>
        <w:tc>
          <w:tcPr>
            <w:tcW w:w="100" w:type="dxa"/>
            <w:vAlign w:val="bottom"/>
            <w:shd w:val="clear" w:color="auto" w:fill="D9D9D9"/>
          </w:tcPr>
          <w:p>
            <w:pPr>
              <w:spacing w:after="0"/>
              <w:rPr>
                <w:sz w:val="5"/>
                <w:szCs w:val="5"/>
                <w:color w:val="auto"/>
              </w:rPr>
            </w:pPr>
          </w:p>
        </w:tc>
        <w:tc>
          <w:tcPr>
            <w:tcW w:w="1280" w:type="dxa"/>
            <w:vAlign w:val="bottom"/>
            <w:gridSpan w:val="2"/>
            <w:vMerge w:val="restart"/>
            <w:shd w:val="clear" w:color="auto" w:fill="D9D9D9"/>
          </w:tcPr>
          <w:p>
            <w:pPr>
              <w:jc w:val="center"/>
              <w:ind w:right="140"/>
              <w:spacing w:after="0" w:line="144" w:lineRule="exact"/>
              <w:rPr>
                <w:sz w:val="20"/>
                <w:szCs w:val="20"/>
                <w:color w:val="auto"/>
              </w:rPr>
            </w:pPr>
            <w:r>
              <w:rPr>
                <w:rFonts w:ascii="Arial" w:cs="Arial" w:eastAsia="Arial" w:hAnsi="Arial"/>
                <w:sz w:val="13"/>
                <w:szCs w:val="13"/>
                <w:color w:val="auto"/>
              </w:rPr>
              <w:t>Grant Date Fair</w:t>
            </w:r>
          </w:p>
        </w:tc>
        <w:tc>
          <w:tcPr>
            <w:tcW w:w="0" w:type="dxa"/>
            <w:vAlign w:val="bottom"/>
          </w:tcPr>
          <w:p>
            <w:pPr>
              <w:spacing w:after="0"/>
              <w:rPr>
                <w:sz w:val="1"/>
                <w:szCs w:val="1"/>
                <w:color w:val="auto"/>
              </w:rPr>
            </w:pPr>
          </w:p>
        </w:tc>
      </w:tr>
      <w:tr>
        <w:trPr>
          <w:trHeight w:val="78"/>
        </w:trPr>
        <w:tc>
          <w:tcPr>
            <w:tcW w:w="1540" w:type="dxa"/>
            <w:vAlign w:val="bottom"/>
            <w:shd w:val="clear" w:color="auto" w:fill="D9D9D9"/>
          </w:tcPr>
          <w:p>
            <w:pPr>
              <w:spacing w:after="0"/>
              <w:rPr>
                <w:sz w:val="6"/>
                <w:szCs w:val="6"/>
                <w:color w:val="auto"/>
              </w:rPr>
            </w:pPr>
          </w:p>
        </w:tc>
        <w:tc>
          <w:tcPr>
            <w:tcW w:w="960" w:type="dxa"/>
            <w:vAlign w:val="bottom"/>
            <w:shd w:val="clear" w:color="auto" w:fill="D9D9D9"/>
          </w:tcPr>
          <w:p>
            <w:pPr>
              <w:spacing w:after="0"/>
              <w:rPr>
                <w:sz w:val="6"/>
                <w:szCs w:val="6"/>
                <w:color w:val="auto"/>
              </w:rPr>
            </w:pPr>
          </w:p>
        </w:tc>
        <w:tc>
          <w:tcPr>
            <w:tcW w:w="150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Under Non-Equity</w:t>
            </w:r>
          </w:p>
        </w:tc>
        <w:tc>
          <w:tcPr>
            <w:tcW w:w="120" w:type="dxa"/>
            <w:vAlign w:val="bottom"/>
            <w:shd w:val="clear" w:color="auto" w:fill="D9D9D9"/>
          </w:tcPr>
          <w:p>
            <w:pPr>
              <w:spacing w:after="0"/>
              <w:rPr>
                <w:sz w:val="6"/>
                <w:szCs w:val="6"/>
                <w:color w:val="auto"/>
              </w:rPr>
            </w:pPr>
          </w:p>
        </w:tc>
        <w:tc>
          <w:tcPr>
            <w:tcW w:w="1540" w:type="dxa"/>
            <w:vAlign w:val="bottom"/>
            <w:vMerge w:val="continue"/>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1580" w:type="dxa"/>
            <w:vAlign w:val="bottom"/>
            <w:vMerge w:val="continue"/>
            <w:shd w:val="clear" w:color="auto" w:fill="D9D9D9"/>
          </w:tcPr>
          <w:p>
            <w:pPr>
              <w:spacing w:after="0"/>
              <w:rPr>
                <w:sz w:val="6"/>
                <w:szCs w:val="6"/>
                <w:color w:val="auto"/>
              </w:rPr>
            </w:pPr>
          </w:p>
        </w:tc>
        <w:tc>
          <w:tcPr>
            <w:tcW w:w="1360" w:type="dxa"/>
            <w:vAlign w:val="bottom"/>
            <w:vMerge w:val="restart"/>
            <w:shd w:val="clear" w:color="auto" w:fill="D9D9D9"/>
          </w:tcPr>
          <w:p>
            <w:pPr>
              <w:jc w:val="center"/>
              <w:ind w:right="15"/>
              <w:spacing w:after="0" w:line="144" w:lineRule="exact"/>
              <w:rPr>
                <w:sz w:val="20"/>
                <w:szCs w:val="20"/>
                <w:color w:val="auto"/>
              </w:rPr>
            </w:pPr>
            <w:r>
              <w:rPr>
                <w:rFonts w:ascii="Arial" w:cs="Arial" w:eastAsia="Arial" w:hAnsi="Arial"/>
                <w:sz w:val="13"/>
                <w:szCs w:val="13"/>
                <w:color w:val="auto"/>
              </w:rPr>
              <w:t>Awards: Number of</w:t>
            </w:r>
          </w:p>
        </w:tc>
        <w:tc>
          <w:tcPr>
            <w:tcW w:w="100" w:type="dxa"/>
            <w:vAlign w:val="bottom"/>
            <w:shd w:val="clear" w:color="auto" w:fill="D9D9D9"/>
          </w:tcPr>
          <w:p>
            <w:pPr>
              <w:spacing w:after="0"/>
              <w:rPr>
                <w:sz w:val="6"/>
                <w:szCs w:val="6"/>
                <w:color w:val="auto"/>
              </w:rPr>
            </w:pPr>
          </w:p>
        </w:tc>
        <w:tc>
          <w:tcPr>
            <w:tcW w:w="1040" w:type="dxa"/>
            <w:vAlign w:val="bottom"/>
            <w:vMerge w:val="continue"/>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280" w:type="dxa"/>
            <w:vAlign w:val="bottom"/>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540" w:type="dxa"/>
            <w:vAlign w:val="bottom"/>
            <w:vMerge w:val="restart"/>
            <w:shd w:val="clear" w:color="auto" w:fill="D9D9D9"/>
          </w:tcPr>
          <w:p>
            <w:pPr>
              <w:ind w:left="20"/>
              <w:spacing w:after="0" w:line="144" w:lineRule="exact"/>
              <w:rPr>
                <w:sz w:val="20"/>
                <w:szCs w:val="20"/>
                <w:color w:val="auto"/>
              </w:rPr>
            </w:pPr>
            <w:r>
              <w:rPr>
                <w:rFonts w:ascii="Arial" w:cs="Arial" w:eastAsia="Arial" w:hAnsi="Arial"/>
                <w:sz w:val="13"/>
                <w:szCs w:val="13"/>
                <w:color w:val="auto"/>
              </w:rPr>
              <w:t>Name</w:t>
            </w:r>
          </w:p>
        </w:tc>
        <w:tc>
          <w:tcPr>
            <w:tcW w:w="96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Grant Date</w:t>
            </w:r>
          </w:p>
        </w:tc>
        <w:tc>
          <w:tcPr>
            <w:tcW w:w="1500" w:type="dxa"/>
            <w:vAlign w:val="bottom"/>
            <w:vMerge w:val="continue"/>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1540" w:type="dxa"/>
            <w:vAlign w:val="bottom"/>
            <w:vMerge w:val="restart"/>
            <w:shd w:val="clear" w:color="auto" w:fill="D9D9D9"/>
          </w:tcPr>
          <w:p>
            <w:pPr>
              <w:jc w:val="right"/>
              <w:ind w:right="55"/>
              <w:spacing w:after="0" w:line="144" w:lineRule="exact"/>
              <w:rPr>
                <w:sz w:val="20"/>
                <w:szCs w:val="20"/>
                <w:color w:val="auto"/>
              </w:rPr>
            </w:pPr>
            <w:r>
              <w:rPr>
                <w:rFonts w:ascii="Arial" w:cs="Arial" w:eastAsia="Arial" w:hAnsi="Arial"/>
                <w:sz w:val="13"/>
                <w:szCs w:val="13"/>
                <w:color w:val="auto"/>
              </w:rPr>
              <w:t>Under Equity Incentive</w:t>
            </w:r>
          </w:p>
        </w:tc>
        <w:tc>
          <w:tcPr>
            <w:tcW w:w="120" w:type="dxa"/>
            <w:vAlign w:val="bottom"/>
            <w:shd w:val="clear" w:color="auto" w:fill="D9D9D9"/>
          </w:tcPr>
          <w:p>
            <w:pPr>
              <w:spacing w:after="0"/>
              <w:rPr>
                <w:sz w:val="5"/>
                <w:szCs w:val="5"/>
                <w:color w:val="auto"/>
              </w:rPr>
            </w:pPr>
          </w:p>
        </w:tc>
        <w:tc>
          <w:tcPr>
            <w:tcW w:w="158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of Shares of</w:t>
            </w:r>
          </w:p>
        </w:tc>
        <w:tc>
          <w:tcPr>
            <w:tcW w:w="1360" w:type="dxa"/>
            <w:vAlign w:val="bottom"/>
            <w:vMerge w:val="continue"/>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4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Price of Option</w:t>
            </w:r>
          </w:p>
        </w:tc>
        <w:tc>
          <w:tcPr>
            <w:tcW w:w="100" w:type="dxa"/>
            <w:vAlign w:val="bottom"/>
            <w:shd w:val="clear" w:color="auto" w:fill="D9D9D9"/>
          </w:tcPr>
          <w:p>
            <w:pPr>
              <w:spacing w:after="0"/>
              <w:rPr>
                <w:sz w:val="5"/>
                <w:szCs w:val="5"/>
                <w:color w:val="auto"/>
              </w:rPr>
            </w:pPr>
          </w:p>
        </w:tc>
        <w:tc>
          <w:tcPr>
            <w:tcW w:w="1280" w:type="dxa"/>
            <w:vAlign w:val="bottom"/>
            <w:gridSpan w:val="2"/>
            <w:vMerge w:val="restart"/>
            <w:shd w:val="clear" w:color="auto" w:fill="D9D9D9"/>
          </w:tcPr>
          <w:p>
            <w:pPr>
              <w:jc w:val="center"/>
              <w:ind w:right="140"/>
              <w:spacing w:after="0" w:line="144" w:lineRule="exact"/>
              <w:rPr>
                <w:sz w:val="20"/>
                <w:szCs w:val="20"/>
                <w:color w:val="auto"/>
              </w:rPr>
            </w:pPr>
            <w:r>
              <w:rPr>
                <w:rFonts w:ascii="Arial" w:cs="Arial" w:eastAsia="Arial" w:hAnsi="Arial"/>
                <w:sz w:val="13"/>
                <w:szCs w:val="13"/>
                <w:color w:val="auto"/>
              </w:rPr>
              <w:t>Value of Stock and</w:t>
            </w:r>
          </w:p>
        </w:tc>
        <w:tc>
          <w:tcPr>
            <w:tcW w:w="0" w:type="dxa"/>
            <w:vAlign w:val="bottom"/>
          </w:tcPr>
          <w:p>
            <w:pPr>
              <w:spacing w:after="0"/>
              <w:rPr>
                <w:sz w:val="1"/>
                <w:szCs w:val="1"/>
                <w:color w:val="auto"/>
              </w:rPr>
            </w:pPr>
          </w:p>
        </w:tc>
      </w:tr>
      <w:tr>
        <w:trPr>
          <w:trHeight w:val="79"/>
        </w:trPr>
        <w:tc>
          <w:tcPr>
            <w:tcW w:w="1540" w:type="dxa"/>
            <w:vAlign w:val="bottom"/>
            <w:vMerge w:val="continue"/>
            <w:shd w:val="clear" w:color="auto" w:fill="D9D9D9"/>
          </w:tcPr>
          <w:p>
            <w:pPr>
              <w:spacing w:after="0"/>
              <w:rPr>
                <w:sz w:val="6"/>
                <w:szCs w:val="6"/>
                <w:color w:val="auto"/>
              </w:rPr>
            </w:pPr>
          </w:p>
        </w:tc>
        <w:tc>
          <w:tcPr>
            <w:tcW w:w="960" w:type="dxa"/>
            <w:vAlign w:val="bottom"/>
            <w:vMerge w:val="continue"/>
            <w:shd w:val="clear" w:color="auto" w:fill="D9D9D9"/>
          </w:tcPr>
          <w:p>
            <w:pPr>
              <w:spacing w:after="0"/>
              <w:rPr>
                <w:sz w:val="6"/>
                <w:szCs w:val="6"/>
                <w:color w:val="auto"/>
              </w:rPr>
            </w:pPr>
          </w:p>
        </w:tc>
        <w:tc>
          <w:tcPr>
            <w:tcW w:w="150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Incentive Plan Awards</w:t>
            </w:r>
          </w:p>
        </w:tc>
        <w:tc>
          <w:tcPr>
            <w:tcW w:w="120" w:type="dxa"/>
            <w:vAlign w:val="bottom"/>
            <w:shd w:val="clear" w:color="auto" w:fill="D9D9D9"/>
          </w:tcPr>
          <w:p>
            <w:pPr>
              <w:spacing w:after="0"/>
              <w:rPr>
                <w:sz w:val="6"/>
                <w:szCs w:val="6"/>
                <w:color w:val="auto"/>
              </w:rPr>
            </w:pPr>
          </w:p>
        </w:tc>
        <w:tc>
          <w:tcPr>
            <w:tcW w:w="1540" w:type="dxa"/>
            <w:vAlign w:val="bottom"/>
            <w:vMerge w:val="continue"/>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1580" w:type="dxa"/>
            <w:vAlign w:val="bottom"/>
            <w:vMerge w:val="continue"/>
            <w:shd w:val="clear" w:color="auto" w:fill="D9D9D9"/>
          </w:tcPr>
          <w:p>
            <w:pPr>
              <w:spacing w:after="0"/>
              <w:rPr>
                <w:sz w:val="6"/>
                <w:szCs w:val="6"/>
                <w:color w:val="auto"/>
              </w:rPr>
            </w:pPr>
          </w:p>
        </w:tc>
        <w:tc>
          <w:tcPr>
            <w:tcW w:w="1360" w:type="dxa"/>
            <w:vAlign w:val="bottom"/>
            <w:vMerge w:val="restart"/>
            <w:shd w:val="clear" w:color="auto" w:fill="D9D9D9"/>
          </w:tcPr>
          <w:p>
            <w:pPr>
              <w:jc w:val="center"/>
              <w:ind w:right="15"/>
              <w:spacing w:after="0" w:line="144" w:lineRule="exact"/>
              <w:rPr>
                <w:sz w:val="20"/>
                <w:szCs w:val="20"/>
                <w:color w:val="auto"/>
              </w:rPr>
            </w:pPr>
            <w:r>
              <w:rPr>
                <w:rFonts w:ascii="Arial" w:cs="Arial" w:eastAsia="Arial" w:hAnsi="Arial"/>
                <w:sz w:val="13"/>
                <w:szCs w:val="13"/>
                <w:color w:val="auto"/>
              </w:rPr>
              <w:t>Securities Underlying</w:t>
            </w:r>
          </w:p>
        </w:tc>
        <w:tc>
          <w:tcPr>
            <w:tcW w:w="100" w:type="dxa"/>
            <w:vAlign w:val="bottom"/>
            <w:shd w:val="clear" w:color="auto" w:fill="D9D9D9"/>
          </w:tcPr>
          <w:p>
            <w:pPr>
              <w:spacing w:after="0"/>
              <w:rPr>
                <w:sz w:val="6"/>
                <w:szCs w:val="6"/>
                <w:color w:val="auto"/>
              </w:rPr>
            </w:pPr>
          </w:p>
        </w:tc>
        <w:tc>
          <w:tcPr>
            <w:tcW w:w="1040" w:type="dxa"/>
            <w:vAlign w:val="bottom"/>
            <w:vMerge w:val="continue"/>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280" w:type="dxa"/>
            <w:vAlign w:val="bottom"/>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540" w:type="dxa"/>
            <w:vAlign w:val="bottom"/>
            <w:shd w:val="clear" w:color="auto" w:fill="D9D9D9"/>
          </w:tcPr>
          <w:p>
            <w:pPr>
              <w:spacing w:after="0"/>
              <w:rPr>
                <w:sz w:val="5"/>
                <w:szCs w:val="5"/>
                <w:color w:val="auto"/>
              </w:rPr>
            </w:pPr>
          </w:p>
        </w:tc>
        <w:tc>
          <w:tcPr>
            <w:tcW w:w="960" w:type="dxa"/>
            <w:vAlign w:val="bottom"/>
            <w:shd w:val="clear" w:color="auto" w:fill="D9D9D9"/>
          </w:tcPr>
          <w:p>
            <w:pPr>
              <w:spacing w:after="0"/>
              <w:rPr>
                <w:sz w:val="5"/>
                <w:szCs w:val="5"/>
                <w:color w:val="auto"/>
              </w:rPr>
            </w:pPr>
          </w:p>
        </w:tc>
        <w:tc>
          <w:tcPr>
            <w:tcW w:w="1500" w:type="dxa"/>
            <w:vAlign w:val="bottom"/>
            <w:vMerge w:val="continue"/>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1540" w:type="dxa"/>
            <w:vAlign w:val="bottom"/>
            <w:vMerge w:val="restart"/>
            <w:shd w:val="clear" w:color="auto" w:fill="D9D9D9"/>
          </w:tcPr>
          <w:p>
            <w:pPr>
              <w:ind w:left="20"/>
              <w:spacing w:after="0" w:line="144" w:lineRule="exact"/>
              <w:rPr>
                <w:sz w:val="20"/>
                <w:szCs w:val="20"/>
                <w:color w:val="auto"/>
              </w:rPr>
            </w:pPr>
            <w:r>
              <w:rPr>
                <w:rFonts w:ascii="Arial" w:cs="Arial" w:eastAsia="Arial" w:hAnsi="Arial"/>
                <w:sz w:val="13"/>
                <w:szCs w:val="13"/>
                <w:color w:val="auto"/>
              </w:rPr>
              <w:t>Plan Awards Target (#)(2)</w:t>
            </w:r>
          </w:p>
        </w:tc>
        <w:tc>
          <w:tcPr>
            <w:tcW w:w="120" w:type="dxa"/>
            <w:vAlign w:val="bottom"/>
            <w:shd w:val="clear" w:color="auto" w:fill="D9D9D9"/>
          </w:tcPr>
          <w:p>
            <w:pPr>
              <w:spacing w:after="0"/>
              <w:rPr>
                <w:sz w:val="5"/>
                <w:szCs w:val="5"/>
                <w:color w:val="auto"/>
              </w:rPr>
            </w:pPr>
          </w:p>
        </w:tc>
        <w:tc>
          <w:tcPr>
            <w:tcW w:w="158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w w:val="98"/>
              </w:rPr>
              <w:t>Stock or Units</w:t>
            </w:r>
          </w:p>
        </w:tc>
        <w:tc>
          <w:tcPr>
            <w:tcW w:w="1360" w:type="dxa"/>
            <w:vAlign w:val="bottom"/>
            <w:vMerge w:val="continue"/>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4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Awards ($/Sh)</w:t>
            </w:r>
          </w:p>
        </w:tc>
        <w:tc>
          <w:tcPr>
            <w:tcW w:w="100" w:type="dxa"/>
            <w:vAlign w:val="bottom"/>
            <w:shd w:val="clear" w:color="auto" w:fill="D9D9D9"/>
          </w:tcPr>
          <w:p>
            <w:pPr>
              <w:spacing w:after="0"/>
              <w:rPr>
                <w:sz w:val="5"/>
                <w:szCs w:val="5"/>
                <w:color w:val="auto"/>
              </w:rPr>
            </w:pPr>
          </w:p>
        </w:tc>
        <w:tc>
          <w:tcPr>
            <w:tcW w:w="1280" w:type="dxa"/>
            <w:vAlign w:val="bottom"/>
            <w:gridSpan w:val="2"/>
            <w:vMerge w:val="restart"/>
            <w:shd w:val="clear" w:color="auto" w:fill="D9D9D9"/>
          </w:tcPr>
          <w:p>
            <w:pPr>
              <w:ind w:left="80"/>
              <w:spacing w:after="0" w:line="144" w:lineRule="exact"/>
              <w:rPr>
                <w:sz w:val="20"/>
                <w:szCs w:val="20"/>
                <w:color w:val="auto"/>
              </w:rPr>
            </w:pPr>
            <w:r>
              <w:rPr>
                <w:rFonts w:ascii="Arial" w:cs="Arial" w:eastAsia="Arial" w:hAnsi="Arial"/>
                <w:sz w:val="13"/>
                <w:szCs w:val="13"/>
                <w:color w:val="auto"/>
              </w:rPr>
              <w:t>Option Awards(4)</w:t>
            </w:r>
          </w:p>
        </w:tc>
        <w:tc>
          <w:tcPr>
            <w:tcW w:w="0" w:type="dxa"/>
            <w:vAlign w:val="bottom"/>
          </w:tcPr>
          <w:p>
            <w:pPr>
              <w:spacing w:after="0"/>
              <w:rPr>
                <w:sz w:val="1"/>
                <w:szCs w:val="1"/>
                <w:color w:val="auto"/>
              </w:rPr>
            </w:pPr>
          </w:p>
        </w:tc>
      </w:tr>
      <w:tr>
        <w:trPr>
          <w:trHeight w:val="78"/>
        </w:trPr>
        <w:tc>
          <w:tcPr>
            <w:tcW w:w="1540" w:type="dxa"/>
            <w:vAlign w:val="bottom"/>
            <w:shd w:val="clear" w:color="auto" w:fill="D9D9D9"/>
          </w:tcPr>
          <w:p>
            <w:pPr>
              <w:spacing w:after="0"/>
              <w:rPr>
                <w:sz w:val="6"/>
                <w:szCs w:val="6"/>
                <w:color w:val="auto"/>
              </w:rPr>
            </w:pPr>
          </w:p>
        </w:tc>
        <w:tc>
          <w:tcPr>
            <w:tcW w:w="960" w:type="dxa"/>
            <w:vAlign w:val="bottom"/>
            <w:shd w:val="clear" w:color="auto" w:fill="D9D9D9"/>
          </w:tcPr>
          <w:p>
            <w:pPr>
              <w:spacing w:after="0"/>
              <w:rPr>
                <w:sz w:val="6"/>
                <w:szCs w:val="6"/>
                <w:color w:val="auto"/>
              </w:rPr>
            </w:pPr>
          </w:p>
        </w:tc>
        <w:tc>
          <w:tcPr>
            <w:tcW w:w="1500" w:type="dxa"/>
            <w:vAlign w:val="bottom"/>
            <w:vMerge w:val="restart"/>
            <w:shd w:val="clear" w:color="auto" w:fill="D9D9D9"/>
          </w:tcPr>
          <w:p>
            <w:pPr>
              <w:jc w:val="right"/>
              <w:ind w:right="335"/>
              <w:spacing w:after="0"/>
              <w:rPr>
                <w:sz w:val="20"/>
                <w:szCs w:val="20"/>
                <w:color w:val="auto"/>
              </w:rPr>
            </w:pPr>
            <w:r>
              <w:rPr>
                <w:rFonts w:ascii="Arial" w:cs="Arial" w:eastAsia="Arial" w:hAnsi="Arial"/>
                <w:sz w:val="13"/>
                <w:szCs w:val="13"/>
                <w:color w:val="auto"/>
              </w:rPr>
              <w:t>Target ($)(1)</w:t>
            </w:r>
          </w:p>
        </w:tc>
        <w:tc>
          <w:tcPr>
            <w:tcW w:w="120" w:type="dxa"/>
            <w:vAlign w:val="bottom"/>
            <w:shd w:val="clear" w:color="auto" w:fill="D9D9D9"/>
          </w:tcPr>
          <w:p>
            <w:pPr>
              <w:spacing w:after="0"/>
              <w:rPr>
                <w:sz w:val="6"/>
                <w:szCs w:val="6"/>
                <w:color w:val="auto"/>
              </w:rPr>
            </w:pPr>
          </w:p>
        </w:tc>
        <w:tc>
          <w:tcPr>
            <w:tcW w:w="1540" w:type="dxa"/>
            <w:vAlign w:val="bottom"/>
            <w:vMerge w:val="continue"/>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1580" w:type="dxa"/>
            <w:vAlign w:val="bottom"/>
            <w:vMerge w:val="continue"/>
            <w:shd w:val="clear" w:color="auto" w:fill="D9D9D9"/>
          </w:tcPr>
          <w:p>
            <w:pPr>
              <w:spacing w:after="0"/>
              <w:rPr>
                <w:sz w:val="6"/>
                <w:szCs w:val="6"/>
                <w:color w:val="auto"/>
              </w:rPr>
            </w:pPr>
          </w:p>
        </w:tc>
        <w:tc>
          <w:tcPr>
            <w:tcW w:w="1360" w:type="dxa"/>
            <w:vAlign w:val="bottom"/>
            <w:vMerge w:val="restart"/>
            <w:shd w:val="clear" w:color="auto" w:fill="D9D9D9"/>
          </w:tcPr>
          <w:p>
            <w:pPr>
              <w:jc w:val="right"/>
              <w:ind w:right="235"/>
              <w:spacing w:after="0"/>
              <w:rPr>
                <w:sz w:val="20"/>
                <w:szCs w:val="20"/>
                <w:color w:val="auto"/>
              </w:rPr>
            </w:pPr>
            <w:r>
              <w:rPr>
                <w:rFonts w:ascii="Arial" w:cs="Arial" w:eastAsia="Arial" w:hAnsi="Arial"/>
                <w:sz w:val="13"/>
                <w:szCs w:val="13"/>
                <w:color w:val="auto"/>
              </w:rPr>
              <w:t>Options (#)(3)</w:t>
            </w:r>
          </w:p>
        </w:tc>
        <w:tc>
          <w:tcPr>
            <w:tcW w:w="100" w:type="dxa"/>
            <w:vAlign w:val="bottom"/>
            <w:shd w:val="clear" w:color="auto" w:fill="D9D9D9"/>
          </w:tcPr>
          <w:p>
            <w:pPr>
              <w:spacing w:after="0"/>
              <w:rPr>
                <w:sz w:val="6"/>
                <w:szCs w:val="6"/>
                <w:color w:val="auto"/>
              </w:rPr>
            </w:pPr>
          </w:p>
        </w:tc>
        <w:tc>
          <w:tcPr>
            <w:tcW w:w="1040" w:type="dxa"/>
            <w:vAlign w:val="bottom"/>
            <w:vMerge w:val="continue"/>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280" w:type="dxa"/>
            <w:vAlign w:val="bottom"/>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540" w:type="dxa"/>
            <w:vAlign w:val="bottom"/>
            <w:shd w:val="clear" w:color="auto" w:fill="D9D9D9"/>
          </w:tcPr>
          <w:p>
            <w:pPr>
              <w:spacing w:after="0"/>
              <w:rPr>
                <w:sz w:val="8"/>
                <w:szCs w:val="8"/>
                <w:color w:val="auto"/>
              </w:rPr>
            </w:pPr>
          </w:p>
        </w:tc>
        <w:tc>
          <w:tcPr>
            <w:tcW w:w="960" w:type="dxa"/>
            <w:vAlign w:val="bottom"/>
            <w:shd w:val="clear" w:color="auto" w:fill="D9D9D9"/>
          </w:tcPr>
          <w:p>
            <w:pPr>
              <w:spacing w:after="0"/>
              <w:rPr>
                <w:sz w:val="8"/>
                <w:szCs w:val="8"/>
                <w:color w:val="auto"/>
              </w:rPr>
            </w:pPr>
          </w:p>
        </w:tc>
        <w:tc>
          <w:tcPr>
            <w:tcW w:w="1500" w:type="dxa"/>
            <w:vAlign w:val="bottom"/>
            <w:vMerge w:val="continue"/>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540" w:type="dxa"/>
            <w:vAlign w:val="bottom"/>
            <w:shd w:val="clear" w:color="auto" w:fill="D9D9D9"/>
          </w:tcPr>
          <w:p>
            <w:pPr>
              <w:spacing w:after="0"/>
              <w:rPr>
                <w:sz w:val="8"/>
                <w:szCs w:val="8"/>
                <w:color w:val="auto"/>
              </w:rPr>
            </w:pPr>
          </w:p>
        </w:tc>
        <w:tc>
          <w:tcPr>
            <w:tcW w:w="120" w:type="dxa"/>
            <w:vAlign w:val="bottom"/>
            <w:vMerge w:val="restart"/>
            <w:shd w:val="clear" w:color="auto" w:fill="D9D9D9"/>
          </w:tcPr>
          <w:p>
            <w:pPr>
              <w:spacing w:after="0"/>
              <w:rPr>
                <w:sz w:val="8"/>
                <w:szCs w:val="8"/>
                <w:color w:val="auto"/>
              </w:rPr>
            </w:pPr>
          </w:p>
        </w:tc>
        <w:tc>
          <w:tcPr>
            <w:tcW w:w="158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1360" w:type="dxa"/>
            <w:vAlign w:val="bottom"/>
            <w:vMerge w:val="continue"/>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4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18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540" w:type="dxa"/>
            <w:vAlign w:val="bottom"/>
            <w:tcBorders>
              <w:bottom w:val="single" w:sz="8" w:color="auto"/>
            </w:tcBorders>
            <w:shd w:val="clear" w:color="auto" w:fill="D9D9D9"/>
          </w:tcPr>
          <w:p>
            <w:pPr>
              <w:spacing w:after="0"/>
              <w:rPr>
                <w:sz w:val="6"/>
                <w:szCs w:val="6"/>
                <w:color w:val="auto"/>
              </w:rPr>
            </w:pPr>
          </w:p>
        </w:tc>
        <w:tc>
          <w:tcPr>
            <w:tcW w:w="960" w:type="dxa"/>
            <w:vAlign w:val="bottom"/>
            <w:tcBorders>
              <w:bottom w:val="single" w:sz="8" w:color="auto"/>
            </w:tcBorders>
            <w:shd w:val="clear" w:color="auto" w:fill="D9D9D9"/>
          </w:tcPr>
          <w:p>
            <w:pPr>
              <w:spacing w:after="0"/>
              <w:rPr>
                <w:sz w:val="6"/>
                <w:szCs w:val="6"/>
                <w:color w:val="auto"/>
              </w:rPr>
            </w:pPr>
          </w:p>
        </w:tc>
        <w:tc>
          <w:tcPr>
            <w:tcW w:w="150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D9D9D9"/>
            </w:tcBorders>
            <w:shd w:val="clear" w:color="auto" w:fill="D9D9D9"/>
          </w:tcPr>
          <w:p>
            <w:pPr>
              <w:spacing w:after="0"/>
              <w:rPr>
                <w:sz w:val="6"/>
                <w:szCs w:val="6"/>
                <w:color w:val="auto"/>
              </w:rPr>
            </w:pPr>
          </w:p>
        </w:tc>
        <w:tc>
          <w:tcPr>
            <w:tcW w:w="154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D9D9D9"/>
            </w:tcBorders>
            <w:vMerge w:val="continue"/>
            <w:shd w:val="clear" w:color="auto" w:fill="D9D9D9"/>
          </w:tcPr>
          <w:p>
            <w:pPr>
              <w:spacing w:after="0"/>
              <w:rPr>
                <w:sz w:val="6"/>
                <w:szCs w:val="6"/>
                <w:color w:val="auto"/>
              </w:rPr>
            </w:pPr>
          </w:p>
        </w:tc>
        <w:tc>
          <w:tcPr>
            <w:tcW w:w="1580" w:type="dxa"/>
            <w:vAlign w:val="bottom"/>
            <w:tcBorders>
              <w:bottom w:val="single" w:sz="8" w:color="auto"/>
            </w:tcBorders>
            <w:vMerge w:val="continue"/>
            <w:shd w:val="clear" w:color="auto" w:fill="D9D9D9"/>
          </w:tcPr>
          <w:p>
            <w:pPr>
              <w:spacing w:after="0"/>
              <w:rPr>
                <w:sz w:val="6"/>
                <w:szCs w:val="6"/>
                <w:color w:val="auto"/>
              </w:rPr>
            </w:pPr>
          </w:p>
        </w:tc>
        <w:tc>
          <w:tcPr>
            <w:tcW w:w="136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04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118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rPr>
                <w:sz w:val="20"/>
                <w:szCs w:val="20"/>
                <w:color w:val="auto"/>
              </w:rPr>
            </w:pPr>
            <w:r>
              <w:rPr>
                <w:rFonts w:ascii="Arial" w:cs="Arial" w:eastAsia="Arial" w:hAnsi="Arial"/>
                <w:sz w:val="13"/>
                <w:szCs w:val="13"/>
                <w:color w:val="auto"/>
              </w:rPr>
              <w:t>Eric Shaff</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250,000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5.50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1,140,925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55,675</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306,213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411,000</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125,000(5)</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687,500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D9D9D9"/>
          </w:tcPr>
          <w:p>
            <w:pPr>
              <w:ind w:left="20"/>
              <w:spacing w:after="0"/>
              <w:rPr>
                <w:sz w:val="20"/>
                <w:szCs w:val="20"/>
                <w:color w:val="auto"/>
              </w:rPr>
            </w:pPr>
            <w:r>
              <w:rPr>
                <w:rFonts w:ascii="Arial" w:cs="Arial" w:eastAsia="Arial" w:hAnsi="Arial"/>
                <w:sz w:val="13"/>
                <w:szCs w:val="13"/>
                <w:color w:val="auto"/>
              </w:rPr>
              <w:t>Teresa L. Young, Ph.D.</w:t>
            </w:r>
          </w:p>
        </w:tc>
        <w:tc>
          <w:tcPr>
            <w:tcW w:w="9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5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580" w:type="dxa"/>
            <w:vAlign w:val="bottom"/>
            <w:shd w:val="clear" w:color="auto" w:fill="D9D9D9"/>
          </w:tcPr>
          <w:p>
            <w:pPr>
              <w:spacing w:after="0"/>
              <w:rPr>
                <w:sz w:val="14"/>
                <w:szCs w:val="14"/>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85,000</w:t>
            </w:r>
          </w:p>
        </w:tc>
        <w:tc>
          <w:tcPr>
            <w:tcW w:w="114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5.50</w:t>
            </w:r>
          </w:p>
        </w:tc>
        <w:tc>
          <w:tcPr>
            <w:tcW w:w="12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387,915</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D9D9D9"/>
          </w:tcPr>
          <w:p>
            <w:pPr>
              <w:spacing w:after="0"/>
              <w:rPr>
                <w:sz w:val="18"/>
                <w:szCs w:val="18"/>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shd w:val="clear" w:color="auto" w:fill="D9D9D9"/>
          </w:tcPr>
          <w:p>
            <w:pPr>
              <w:spacing w:after="0"/>
              <w:rPr>
                <w:sz w:val="18"/>
                <w:szCs w:val="18"/>
                <w:color w:val="auto"/>
              </w:rPr>
            </w:pPr>
          </w:p>
        </w:tc>
        <w:tc>
          <w:tcPr>
            <w:tcW w:w="166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22,721</w:t>
            </w:r>
          </w:p>
        </w:tc>
        <w:tc>
          <w:tcPr>
            <w:tcW w:w="120" w:type="dxa"/>
            <w:vAlign w:val="bottom"/>
            <w:shd w:val="clear" w:color="auto" w:fill="D9D9D9"/>
          </w:tcPr>
          <w:p>
            <w:pPr>
              <w:spacing w:after="0"/>
              <w:rPr>
                <w:sz w:val="18"/>
                <w:szCs w:val="18"/>
                <w:color w:val="auto"/>
              </w:rPr>
            </w:pPr>
          </w:p>
        </w:tc>
        <w:tc>
          <w:tcPr>
            <w:tcW w:w="158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040" w:type="dxa"/>
            <w:vAlign w:val="bottom"/>
            <w:shd w:val="clear" w:color="auto" w:fill="D9D9D9"/>
          </w:tcPr>
          <w:p>
            <w:pPr>
              <w:spacing w:after="0"/>
              <w:rPr>
                <w:sz w:val="18"/>
                <w:szCs w:val="18"/>
                <w:color w:val="auto"/>
              </w:rPr>
            </w:pPr>
          </w:p>
        </w:tc>
        <w:tc>
          <w:tcPr>
            <w:tcW w:w="12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124,966</w:t>
            </w: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40" w:type="dxa"/>
            <w:vAlign w:val="bottom"/>
            <w:shd w:val="clear" w:color="auto" w:fill="D9D9D9"/>
          </w:tcPr>
          <w:p>
            <w:pPr>
              <w:spacing w:after="0"/>
              <w:rPr>
                <w:sz w:val="19"/>
                <w:szCs w:val="19"/>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17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42,500(5)</w:t>
            </w:r>
          </w:p>
        </w:tc>
        <w:tc>
          <w:tcPr>
            <w:tcW w:w="13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40" w:type="dxa"/>
            <w:vAlign w:val="bottom"/>
            <w:shd w:val="clear" w:color="auto" w:fill="D9D9D9"/>
          </w:tcPr>
          <w:p>
            <w:pPr>
              <w:spacing w:after="0"/>
              <w:rPr>
                <w:sz w:val="19"/>
                <w:szCs w:val="19"/>
                <w:color w:val="auto"/>
              </w:rPr>
            </w:pPr>
          </w:p>
        </w:tc>
        <w:tc>
          <w:tcPr>
            <w:tcW w:w="12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233,750</w:t>
            </w:r>
          </w:p>
        </w:tc>
        <w:tc>
          <w:tcPr>
            <w:tcW w:w="10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D9D9D9"/>
          </w:tcPr>
          <w:p>
            <w:pPr>
              <w:spacing w:after="0"/>
              <w:rPr>
                <w:sz w:val="14"/>
                <w:szCs w:val="14"/>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174,800</w:t>
            </w:r>
          </w:p>
        </w:tc>
        <w:tc>
          <w:tcPr>
            <w:tcW w:w="120" w:type="dxa"/>
            <w:vAlign w:val="bottom"/>
            <w:shd w:val="clear" w:color="auto" w:fill="D9D9D9"/>
          </w:tcPr>
          <w:p>
            <w:pPr>
              <w:spacing w:after="0"/>
              <w:rPr>
                <w:sz w:val="14"/>
                <w:szCs w:val="14"/>
                <w:color w:val="auto"/>
              </w:rPr>
            </w:pPr>
          </w:p>
        </w:tc>
        <w:tc>
          <w:tcPr>
            <w:tcW w:w="1540" w:type="dxa"/>
            <w:vAlign w:val="bottom"/>
            <w:shd w:val="clear" w:color="auto" w:fill="D9D9D9"/>
          </w:tcPr>
          <w:p>
            <w:pPr>
              <w:spacing w:after="0"/>
              <w:rPr>
                <w:sz w:val="14"/>
                <w:szCs w:val="14"/>
                <w:color w:val="auto"/>
              </w:rPr>
            </w:pPr>
          </w:p>
        </w:tc>
        <w:tc>
          <w:tcPr>
            <w:tcW w:w="17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85,000(6)</w:t>
            </w:r>
          </w:p>
        </w:tc>
        <w:tc>
          <w:tcPr>
            <w:tcW w:w="13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128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467,500</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500" w:type="dxa"/>
            <w:vAlign w:val="bottom"/>
            <w:vMerge w:val="continue"/>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5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580" w:type="dxa"/>
            <w:vAlign w:val="bottom"/>
            <w:shd w:val="clear" w:color="auto" w:fill="D9D9D9"/>
          </w:tcPr>
          <w:p>
            <w:pPr>
              <w:spacing w:after="0"/>
              <w:rPr>
                <w:sz w:val="14"/>
                <w:szCs w:val="14"/>
                <w:color w:val="auto"/>
              </w:rPr>
            </w:pPr>
          </w:p>
        </w:tc>
        <w:tc>
          <w:tcPr>
            <w:tcW w:w="13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40" w:type="dxa"/>
            <w:vAlign w:val="bottom"/>
          </w:tcPr>
          <w:p>
            <w:pPr>
              <w:ind w:left="20"/>
              <w:spacing w:after="0"/>
              <w:rPr>
                <w:sz w:val="20"/>
                <w:szCs w:val="20"/>
                <w:color w:val="auto"/>
              </w:rPr>
            </w:pPr>
            <w:r>
              <w:rPr>
                <w:rFonts w:ascii="Arial" w:cs="Arial" w:eastAsia="Arial" w:hAnsi="Arial"/>
                <w:sz w:val="13"/>
                <w:szCs w:val="13"/>
                <w:color w:val="auto"/>
              </w:rPr>
              <w:t>Lisa von Moltke, M.D.</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95,000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5.50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433,552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27,489</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2/3/2023</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206,000</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47,500(5)</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261,250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-1588135</wp:posOffset>
            </wp:positionV>
            <wp:extent cx="749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-1588135</wp:posOffset>
            </wp:positionV>
            <wp:extent cx="749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-1588135</wp:posOffset>
            </wp:positionV>
            <wp:extent cx="666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-1588135</wp:posOffset>
            </wp:positionV>
            <wp:extent cx="666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-1588135</wp:posOffset>
            </wp:positionV>
            <wp:extent cx="666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79" w:lineRule="exact"/>
        <w:rPr>
          <w:sz w:val="20"/>
          <w:szCs w:val="20"/>
          <w:color w:val="auto"/>
        </w:rPr>
      </w:pPr>
    </w:p>
    <w:p>
      <w:pPr>
        <w:ind w:left="380" w:right="260" w:hanging="375"/>
        <w:spacing w:after="0" w:line="249"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reflect potential payouts under our 2023 annual bonus program. The target amount is based on a percentage of the individual’s fiscal year 2023 base salary. No minimum threshold amount or maximum amount beyond the target amount was established. Please see the description of the annual bonus program under “Annual Cash Bonuses” in the CD&amp;A above.</w:t>
      </w:r>
    </w:p>
    <w:p>
      <w:pPr>
        <w:spacing w:after="0" w:line="18" w:lineRule="exact"/>
        <w:rPr>
          <w:rFonts w:ascii="Arial" w:cs="Arial" w:eastAsia="Arial" w:hAnsi="Arial"/>
          <w:sz w:val="13"/>
          <w:szCs w:val="13"/>
          <w:color w:val="auto"/>
        </w:rPr>
      </w:pPr>
    </w:p>
    <w:p>
      <w:pPr>
        <w:ind w:left="380" w:right="100" w:hanging="375"/>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Performance-based restricted stock unit award vests in two equal installments with the first occurring six months following the date the Compensation and Talent Committee determines that the BLA for VOWST has been approved by the FDA and the remaining 50% of such restricted stock units vesting 12 months thereafter. The awards do not have a minimum threshold amount or maximum amount beyond the target amount. On April 27, 2023, the Compensation and Talent Committee determined the performance condition had been satisfied. Accordingly, 50% of the restricted stock units vested on October 27, 2023 and the remaining 50% of the restricted stock units will vest on October 27, 2024,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24" w:lineRule="exact"/>
        <w:rPr>
          <w:rFonts w:ascii="Arial" w:cs="Arial" w:eastAsia="Arial" w:hAnsi="Arial"/>
          <w:sz w:val="13"/>
          <w:szCs w:val="13"/>
          <w:color w:val="auto"/>
        </w:rPr>
      </w:pPr>
    </w:p>
    <w:p>
      <w:pPr>
        <w:ind w:left="380" w:right="140" w:hanging="375"/>
        <w:spacing w:after="0" w:line="249"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8" w:lineRule="exact"/>
        <w:rPr>
          <w:rFonts w:ascii="Arial" w:cs="Arial" w:eastAsia="Arial" w:hAnsi="Arial"/>
          <w:sz w:val="13"/>
          <w:szCs w:val="13"/>
          <w:color w:val="auto"/>
        </w:rPr>
      </w:pPr>
    </w:p>
    <w:p>
      <w:pPr>
        <w:ind w:left="380" w:right="120" w:hanging="375"/>
        <w:spacing w:after="0" w:line="249"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Amounts reflect the full grant-date fair value of stock options and stock awards granted during fiscal year 2023 computed in accordance with ASC Topic 718, rather than the amounts paid to or realized by the named individual. We provide information regarding the assumptions used to calculate the value of option awards made to our NEOs in Note 11 to the consolidated financial statements included in in our Annual Report on Form 10-K for the year ended December 31, 2023.</w:t>
      </w:r>
    </w:p>
    <w:p>
      <w:pPr>
        <w:spacing w:after="0" w:line="18" w:lineRule="exact"/>
        <w:rPr>
          <w:rFonts w:ascii="Arial" w:cs="Arial" w:eastAsia="Arial" w:hAnsi="Arial"/>
          <w:sz w:val="13"/>
          <w:szCs w:val="13"/>
          <w:color w:val="auto"/>
        </w:rPr>
      </w:pPr>
    </w:p>
    <w:p>
      <w:pPr>
        <w:ind w:left="380" w:right="40" w:hanging="375"/>
        <w:spacing w:after="0" w:line="249"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18" w:lineRule="exact"/>
        <w:rPr>
          <w:rFonts w:ascii="Arial" w:cs="Arial" w:eastAsia="Arial" w:hAnsi="Arial"/>
          <w:sz w:val="13"/>
          <w:szCs w:val="13"/>
          <w:color w:val="auto"/>
        </w:rPr>
      </w:pPr>
    </w:p>
    <w:p>
      <w:pPr>
        <w:ind w:left="380" w:right="280" w:hanging="375"/>
        <w:spacing w:after="0" w:line="267"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Restricted stock unit award vests on August 3, 2024, subject to continued employment with us through the applicable vesting date and potential accelerated vesting as described in the section titled “</w:t>
      </w:r>
      <w:r>
        <w:rPr>
          <w:rFonts w:ascii="Arial" w:cs="Arial" w:eastAsia="Arial" w:hAnsi="Arial"/>
          <w:sz w:val="13"/>
          <w:szCs w:val="13"/>
          <w:i w:val="1"/>
          <w:iCs w:val="1"/>
          <w:color w:val="auto"/>
        </w:rPr>
        <w:t>Employment Agreements</w:t>
      </w:r>
      <w:r>
        <w:rPr>
          <w:rFonts w:ascii="Arial" w:cs="Arial" w:eastAsia="Arial" w:hAnsi="Arial"/>
          <w:sz w:val="13"/>
          <w:szCs w:val="13"/>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Outstanding Equity Awards at 2023 Fiscal Year End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40" w:type="dxa"/>
            <w:vAlign w:val="bottom"/>
            <w:tcBorders>
              <w:bottom w:val="single" w:sz="8" w:color="E5E5E5"/>
            </w:tcBorders>
            <w:shd w:val="clear" w:color="auto" w:fill="E5E5E5"/>
          </w:tcPr>
          <w:p>
            <w:pPr>
              <w:spacing w:after="0"/>
              <w:rPr>
                <w:sz w:val="12"/>
                <w:szCs w:val="12"/>
                <w:color w:val="auto"/>
              </w:rPr>
            </w:pPr>
          </w:p>
        </w:tc>
        <w:tc>
          <w:tcPr>
            <w:tcW w:w="1500" w:type="dxa"/>
            <w:vAlign w:val="bottom"/>
            <w:tcBorders>
              <w:bottom w:val="single" w:sz="8" w:color="E5E5E5"/>
            </w:tcBorders>
            <w:shd w:val="clear" w:color="auto" w:fill="E5E5E5"/>
          </w:tcPr>
          <w:p>
            <w:pPr>
              <w:spacing w:after="0"/>
              <w:rPr>
                <w:sz w:val="12"/>
                <w:szCs w:val="12"/>
                <w:color w:val="auto"/>
              </w:rPr>
            </w:pPr>
          </w:p>
        </w:tc>
        <w:tc>
          <w:tcPr>
            <w:tcW w:w="120" w:type="dxa"/>
            <w:vAlign w:val="bottom"/>
            <w:tcBorders>
              <w:bottom w:val="single" w:sz="8" w:color="E5E5E5"/>
            </w:tcBorders>
            <w:shd w:val="clear" w:color="auto" w:fill="E5E5E5"/>
          </w:tcPr>
          <w:p>
            <w:pPr>
              <w:spacing w:after="0"/>
              <w:rPr>
                <w:sz w:val="12"/>
                <w:szCs w:val="12"/>
                <w:color w:val="auto"/>
              </w:rPr>
            </w:pPr>
          </w:p>
        </w:tc>
        <w:tc>
          <w:tcPr>
            <w:tcW w:w="128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2000" w:type="dxa"/>
            <w:vAlign w:val="bottom"/>
            <w:tcBorders>
              <w:bottom w:val="single" w:sz="8" w:color="auto"/>
            </w:tcBorders>
            <w:gridSpan w:val="3"/>
            <w:shd w:val="clear" w:color="auto" w:fill="E5E5E5"/>
          </w:tcPr>
          <w:p>
            <w:pPr>
              <w:ind w:left="1220"/>
              <w:spacing w:after="0"/>
              <w:rPr>
                <w:sz w:val="20"/>
                <w:szCs w:val="20"/>
                <w:color w:val="auto"/>
              </w:rPr>
            </w:pPr>
            <w:r>
              <w:rPr>
                <w:rFonts w:ascii="Arial" w:cs="Arial" w:eastAsia="Arial" w:hAnsi="Arial"/>
                <w:sz w:val="10"/>
                <w:szCs w:val="10"/>
                <w:color w:val="auto"/>
              </w:rPr>
              <w:t>Option Awards</w:t>
            </w:r>
          </w:p>
        </w:tc>
        <w:tc>
          <w:tcPr>
            <w:tcW w:w="5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50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E5E5E5"/>
            </w:tcBorders>
            <w:shd w:val="clear" w:color="auto" w:fill="E5E5E5"/>
          </w:tcPr>
          <w:p>
            <w:pPr>
              <w:spacing w:after="0"/>
              <w:rPr>
                <w:sz w:val="12"/>
                <w:szCs w:val="12"/>
                <w:color w:val="auto"/>
              </w:rPr>
            </w:pPr>
          </w:p>
        </w:tc>
        <w:tc>
          <w:tcPr>
            <w:tcW w:w="1620" w:type="dxa"/>
            <w:vAlign w:val="bottom"/>
            <w:tcBorders>
              <w:bottom w:val="single" w:sz="8" w:color="auto"/>
            </w:tcBorders>
            <w:gridSpan w:val="3"/>
            <w:shd w:val="clear" w:color="auto" w:fill="E5E5E5"/>
          </w:tcPr>
          <w:p>
            <w:pPr>
              <w:jc w:val="right"/>
              <w:ind w:right="428"/>
              <w:spacing w:after="0"/>
              <w:rPr>
                <w:sz w:val="20"/>
                <w:szCs w:val="20"/>
                <w:color w:val="auto"/>
              </w:rPr>
            </w:pPr>
            <w:r>
              <w:rPr>
                <w:rFonts w:ascii="Arial" w:cs="Arial" w:eastAsia="Arial" w:hAnsi="Arial"/>
                <w:sz w:val="10"/>
                <w:szCs w:val="10"/>
                <w:color w:val="auto"/>
              </w:rPr>
              <w:t>Stock Awards</w:t>
            </w:r>
          </w:p>
        </w:tc>
        <w:tc>
          <w:tcPr>
            <w:tcW w:w="100" w:type="dxa"/>
            <w:vAlign w:val="bottom"/>
            <w:tcBorders>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840" w:type="dxa"/>
            <w:vAlign w:val="bottom"/>
            <w:shd w:val="clear" w:color="auto" w:fill="E5E5E5"/>
          </w:tcPr>
          <w:p>
            <w:pPr>
              <w:spacing w:after="0"/>
              <w:rPr>
                <w:sz w:val="9"/>
                <w:szCs w:val="9"/>
                <w:color w:val="auto"/>
              </w:rPr>
            </w:pPr>
          </w:p>
        </w:tc>
        <w:tc>
          <w:tcPr>
            <w:tcW w:w="15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28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4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480" w:type="dxa"/>
            <w:vAlign w:val="bottom"/>
            <w:shd w:val="clear" w:color="auto" w:fill="E5E5E5"/>
          </w:tcPr>
          <w:p>
            <w:pPr>
              <w:spacing w:after="0"/>
              <w:rPr>
                <w:sz w:val="9"/>
                <w:szCs w:val="9"/>
                <w:color w:val="auto"/>
              </w:rPr>
            </w:pPr>
          </w:p>
        </w:tc>
        <w:tc>
          <w:tcPr>
            <w:tcW w:w="540" w:type="dxa"/>
            <w:vAlign w:val="bottom"/>
            <w:shd w:val="clear" w:color="auto" w:fill="E5E5E5"/>
          </w:tcPr>
          <w:p>
            <w:pPr>
              <w:spacing w:after="0"/>
              <w:rPr>
                <w:sz w:val="9"/>
                <w:szCs w:val="9"/>
                <w:color w:val="auto"/>
              </w:rPr>
            </w:pPr>
          </w:p>
        </w:tc>
        <w:tc>
          <w:tcPr>
            <w:tcW w:w="40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15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8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800" w:type="dxa"/>
            <w:vAlign w:val="bottom"/>
            <w:gridSpan w:val="2"/>
            <w:shd w:val="clear" w:color="auto" w:fill="E5E5E5"/>
          </w:tcPr>
          <w:p>
            <w:pPr>
              <w:jc w:val="center"/>
              <w:ind w:right="40"/>
              <w:spacing w:after="0" w:line="111" w:lineRule="exact"/>
              <w:rPr>
                <w:sz w:val="20"/>
                <w:szCs w:val="20"/>
                <w:color w:val="auto"/>
              </w:rPr>
            </w:pPr>
            <w:r>
              <w:rPr>
                <w:rFonts w:ascii="Arial" w:cs="Arial" w:eastAsia="Arial" w:hAnsi="Arial"/>
                <w:sz w:val="10"/>
                <w:szCs w:val="10"/>
                <w:color w:val="auto"/>
              </w:rPr>
              <w:t>Market</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4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480" w:type="dxa"/>
            <w:vAlign w:val="bottom"/>
            <w:shd w:val="clear" w:color="auto" w:fill="E5E5E5"/>
          </w:tcPr>
          <w:p>
            <w:pPr>
              <w:spacing w:after="0"/>
              <w:rPr>
                <w:sz w:val="10"/>
                <w:szCs w:val="10"/>
                <w:color w:val="auto"/>
              </w:rPr>
            </w:pPr>
          </w:p>
        </w:tc>
        <w:tc>
          <w:tcPr>
            <w:tcW w:w="54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ind w:right="20"/>
              <w:spacing w:after="0"/>
              <w:rPr>
                <w:sz w:val="20"/>
                <w:szCs w:val="20"/>
                <w:color w:val="auto"/>
              </w:rPr>
            </w:pPr>
            <w:r>
              <w:rPr>
                <w:rFonts w:ascii="Arial" w:cs="Arial" w:eastAsia="Arial" w:hAnsi="Arial"/>
                <w:sz w:val="10"/>
                <w:szCs w:val="10"/>
                <w:color w:val="auto"/>
              </w:rPr>
              <w:t>Value of</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Number of</w:t>
            </w:r>
          </w:p>
        </w:tc>
        <w:tc>
          <w:tcPr>
            <w:tcW w:w="120" w:type="dxa"/>
            <w:vAlign w:val="bottom"/>
            <w:shd w:val="clear" w:color="auto" w:fill="E5E5E5"/>
          </w:tcPr>
          <w:p>
            <w:pPr>
              <w:spacing w:after="0"/>
              <w:rPr>
                <w:sz w:val="10"/>
                <w:szCs w:val="10"/>
                <w:color w:val="auto"/>
              </w:rPr>
            </w:pPr>
          </w:p>
        </w:tc>
        <w:tc>
          <w:tcPr>
            <w:tcW w:w="2000" w:type="dxa"/>
            <w:vAlign w:val="bottom"/>
            <w:gridSpan w:val="3"/>
            <w:shd w:val="clear" w:color="auto" w:fill="E5E5E5"/>
          </w:tcPr>
          <w:p>
            <w:pPr>
              <w:jc w:val="center"/>
              <w:ind w:right="480"/>
              <w:spacing w:after="0"/>
              <w:rPr>
                <w:sz w:val="20"/>
                <w:szCs w:val="20"/>
                <w:color w:val="auto"/>
              </w:rPr>
            </w:pPr>
            <w:r>
              <w:rPr>
                <w:rFonts w:ascii="Arial" w:cs="Arial" w:eastAsia="Arial" w:hAnsi="Arial"/>
                <w:sz w:val="10"/>
                <w:szCs w:val="10"/>
                <w:color w:val="auto"/>
              </w:rPr>
              <w:t>Number of</w:t>
            </w:r>
          </w:p>
        </w:tc>
        <w:tc>
          <w:tcPr>
            <w:tcW w:w="54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Number of</w:t>
            </w: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ind w:right="20"/>
              <w:spacing w:after="0"/>
              <w:rPr>
                <w:sz w:val="20"/>
                <w:szCs w:val="20"/>
                <w:color w:val="auto"/>
              </w:rPr>
            </w:pPr>
            <w:r>
              <w:rPr>
                <w:rFonts w:ascii="Arial" w:cs="Arial" w:eastAsia="Arial" w:hAnsi="Arial"/>
                <w:sz w:val="10"/>
                <w:szCs w:val="10"/>
                <w:color w:val="auto"/>
              </w:rPr>
              <w:t>Shares or</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Securities</w:t>
            </w:r>
          </w:p>
        </w:tc>
        <w:tc>
          <w:tcPr>
            <w:tcW w:w="120" w:type="dxa"/>
            <w:vAlign w:val="bottom"/>
            <w:shd w:val="clear" w:color="auto" w:fill="E5E5E5"/>
          </w:tcPr>
          <w:p>
            <w:pPr>
              <w:spacing w:after="0"/>
              <w:rPr>
                <w:sz w:val="10"/>
                <w:szCs w:val="10"/>
                <w:color w:val="auto"/>
              </w:rPr>
            </w:pPr>
          </w:p>
        </w:tc>
        <w:tc>
          <w:tcPr>
            <w:tcW w:w="2000" w:type="dxa"/>
            <w:vAlign w:val="bottom"/>
            <w:gridSpan w:val="3"/>
            <w:shd w:val="clear" w:color="auto" w:fill="E5E5E5"/>
          </w:tcPr>
          <w:p>
            <w:pPr>
              <w:jc w:val="center"/>
              <w:ind w:right="500"/>
              <w:spacing w:after="0"/>
              <w:rPr>
                <w:sz w:val="20"/>
                <w:szCs w:val="20"/>
                <w:color w:val="auto"/>
              </w:rPr>
            </w:pPr>
            <w:r>
              <w:rPr>
                <w:rFonts w:ascii="Arial" w:cs="Arial" w:eastAsia="Arial" w:hAnsi="Arial"/>
                <w:sz w:val="10"/>
                <w:szCs w:val="10"/>
                <w:color w:val="auto"/>
              </w:rPr>
              <w:t>Securities</w:t>
            </w:r>
          </w:p>
        </w:tc>
        <w:tc>
          <w:tcPr>
            <w:tcW w:w="54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Shares or Units</w:t>
            </w: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ind w:right="40"/>
              <w:spacing w:after="0"/>
              <w:rPr>
                <w:sz w:val="20"/>
                <w:szCs w:val="20"/>
                <w:color w:val="auto"/>
              </w:rPr>
            </w:pPr>
            <w:r>
              <w:rPr>
                <w:rFonts w:ascii="Arial" w:cs="Arial" w:eastAsia="Arial" w:hAnsi="Arial"/>
                <w:sz w:val="10"/>
                <w:szCs w:val="10"/>
                <w:color w:val="auto"/>
              </w:rPr>
              <w:t>Units of</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Underlying</w:t>
            </w:r>
          </w:p>
        </w:tc>
        <w:tc>
          <w:tcPr>
            <w:tcW w:w="120" w:type="dxa"/>
            <w:vAlign w:val="bottom"/>
            <w:shd w:val="clear" w:color="auto" w:fill="E5E5E5"/>
          </w:tcPr>
          <w:p>
            <w:pPr>
              <w:spacing w:after="0"/>
              <w:rPr>
                <w:sz w:val="10"/>
                <w:szCs w:val="10"/>
                <w:color w:val="auto"/>
              </w:rPr>
            </w:pPr>
          </w:p>
        </w:tc>
        <w:tc>
          <w:tcPr>
            <w:tcW w:w="2000" w:type="dxa"/>
            <w:vAlign w:val="bottom"/>
            <w:gridSpan w:val="3"/>
            <w:shd w:val="clear" w:color="auto" w:fill="E5E5E5"/>
          </w:tcPr>
          <w:p>
            <w:pPr>
              <w:jc w:val="center"/>
              <w:ind w:right="500"/>
              <w:spacing w:after="0"/>
              <w:rPr>
                <w:sz w:val="20"/>
                <w:szCs w:val="20"/>
                <w:color w:val="auto"/>
              </w:rPr>
            </w:pPr>
            <w:r>
              <w:rPr>
                <w:rFonts w:ascii="Arial" w:cs="Arial" w:eastAsia="Arial" w:hAnsi="Arial"/>
                <w:sz w:val="10"/>
                <w:szCs w:val="10"/>
                <w:color w:val="auto"/>
              </w:rPr>
              <w:t>Underlying</w:t>
            </w:r>
          </w:p>
        </w:tc>
        <w:tc>
          <w:tcPr>
            <w:tcW w:w="54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of Stock That</w:t>
            </w: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ind w:right="20"/>
              <w:spacing w:after="0"/>
              <w:rPr>
                <w:sz w:val="20"/>
                <w:szCs w:val="20"/>
                <w:color w:val="auto"/>
              </w:rPr>
            </w:pPr>
            <w:r>
              <w:rPr>
                <w:rFonts w:ascii="Arial" w:cs="Arial" w:eastAsia="Arial" w:hAnsi="Arial"/>
                <w:sz w:val="10"/>
                <w:szCs w:val="10"/>
                <w:color w:val="auto"/>
              </w:rPr>
              <w:t>Stock That</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Unexercised</w:t>
            </w:r>
          </w:p>
        </w:tc>
        <w:tc>
          <w:tcPr>
            <w:tcW w:w="120" w:type="dxa"/>
            <w:vAlign w:val="bottom"/>
            <w:shd w:val="clear" w:color="auto" w:fill="E5E5E5"/>
          </w:tcPr>
          <w:p>
            <w:pPr>
              <w:spacing w:after="0"/>
              <w:rPr>
                <w:sz w:val="10"/>
                <w:szCs w:val="10"/>
                <w:color w:val="auto"/>
              </w:rPr>
            </w:pPr>
          </w:p>
        </w:tc>
        <w:tc>
          <w:tcPr>
            <w:tcW w:w="2000" w:type="dxa"/>
            <w:vAlign w:val="bottom"/>
            <w:gridSpan w:val="3"/>
            <w:shd w:val="clear" w:color="auto" w:fill="E5E5E5"/>
          </w:tcPr>
          <w:p>
            <w:pPr>
              <w:jc w:val="center"/>
              <w:ind w:right="500"/>
              <w:spacing w:after="0"/>
              <w:rPr>
                <w:sz w:val="20"/>
                <w:szCs w:val="20"/>
                <w:color w:val="auto"/>
              </w:rPr>
            </w:pPr>
            <w:r>
              <w:rPr>
                <w:rFonts w:ascii="Arial" w:cs="Arial" w:eastAsia="Arial" w:hAnsi="Arial"/>
                <w:sz w:val="10"/>
                <w:szCs w:val="10"/>
                <w:color w:val="auto"/>
              </w:rPr>
              <w:t>Unexercised</w:t>
            </w:r>
          </w:p>
        </w:tc>
        <w:tc>
          <w:tcPr>
            <w:tcW w:w="5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Option</w:t>
            </w: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jc w:val="center"/>
              <w:ind w:left="108"/>
              <w:spacing w:after="0"/>
              <w:rPr>
                <w:sz w:val="20"/>
                <w:szCs w:val="20"/>
                <w:color w:val="auto"/>
              </w:rPr>
            </w:pPr>
            <w:r>
              <w:rPr>
                <w:rFonts w:ascii="Arial" w:cs="Arial" w:eastAsia="Arial" w:hAnsi="Arial"/>
                <w:sz w:val="10"/>
                <w:szCs w:val="10"/>
                <w:color w:val="auto"/>
              </w:rPr>
              <w:t>Option</w:t>
            </w: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Have Not</w:t>
            </w: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ind w:right="40"/>
              <w:spacing w:after="0"/>
              <w:rPr>
                <w:sz w:val="20"/>
                <w:szCs w:val="20"/>
                <w:color w:val="auto"/>
              </w:rPr>
            </w:pPr>
            <w:r>
              <w:rPr>
                <w:rFonts w:ascii="Arial" w:cs="Arial" w:eastAsia="Arial" w:hAnsi="Arial"/>
                <w:sz w:val="10"/>
                <w:szCs w:val="10"/>
                <w:color w:val="auto"/>
              </w:rPr>
              <w:t>Have Not</w:t>
            </w:r>
          </w:p>
        </w:tc>
        <w:tc>
          <w:tcPr>
            <w:tcW w:w="0" w:type="dxa"/>
            <w:vAlign w:val="bottom"/>
          </w:tcPr>
          <w:p>
            <w:pPr>
              <w:spacing w:after="0"/>
              <w:rPr>
                <w:sz w:val="1"/>
                <w:szCs w:val="1"/>
                <w:color w:val="auto"/>
              </w:rPr>
            </w:pPr>
          </w:p>
        </w:tc>
      </w:tr>
      <w:tr>
        <w:trPr>
          <w:trHeight w:val="118"/>
        </w:trPr>
        <w:tc>
          <w:tcPr>
            <w:tcW w:w="1840" w:type="dxa"/>
            <w:vAlign w:val="bottom"/>
            <w:shd w:val="clear" w:color="auto" w:fill="E5E5E5"/>
          </w:tcPr>
          <w:p>
            <w:pPr>
              <w:spacing w:after="0"/>
              <w:rPr>
                <w:sz w:val="10"/>
                <w:szCs w:val="10"/>
                <w:color w:val="auto"/>
              </w:rPr>
            </w:pPr>
          </w:p>
        </w:tc>
        <w:tc>
          <w:tcPr>
            <w:tcW w:w="1500" w:type="dxa"/>
            <w:vAlign w:val="bottom"/>
            <w:shd w:val="clear" w:color="auto" w:fill="E5E5E5"/>
          </w:tcPr>
          <w:p>
            <w:pPr>
              <w:jc w:val="right"/>
              <w:ind w:right="476"/>
              <w:spacing w:after="0"/>
              <w:rPr>
                <w:sz w:val="20"/>
                <w:szCs w:val="20"/>
                <w:color w:val="auto"/>
              </w:rPr>
            </w:pPr>
            <w:r>
              <w:rPr>
                <w:rFonts w:ascii="Arial" w:cs="Arial" w:eastAsia="Arial" w:hAnsi="Arial"/>
                <w:sz w:val="10"/>
                <w:szCs w:val="10"/>
                <w:color w:val="auto"/>
              </w:rPr>
              <w:t>Grant</w:t>
            </w:r>
          </w:p>
        </w:tc>
        <w:tc>
          <w:tcPr>
            <w:tcW w:w="120" w:type="dxa"/>
            <w:vAlign w:val="bottom"/>
            <w:shd w:val="clear" w:color="auto" w:fill="E5E5E5"/>
          </w:tcPr>
          <w:p>
            <w:pPr>
              <w:spacing w:after="0"/>
              <w:rPr>
                <w:sz w:val="10"/>
                <w:szCs w:val="10"/>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Options (#)</w:t>
            </w:r>
          </w:p>
        </w:tc>
        <w:tc>
          <w:tcPr>
            <w:tcW w:w="120" w:type="dxa"/>
            <w:vAlign w:val="bottom"/>
            <w:shd w:val="clear" w:color="auto" w:fill="E5E5E5"/>
          </w:tcPr>
          <w:p>
            <w:pPr>
              <w:spacing w:after="0"/>
              <w:rPr>
                <w:sz w:val="10"/>
                <w:szCs w:val="10"/>
                <w:color w:val="auto"/>
              </w:rPr>
            </w:pPr>
          </w:p>
        </w:tc>
        <w:tc>
          <w:tcPr>
            <w:tcW w:w="2000" w:type="dxa"/>
            <w:vAlign w:val="bottom"/>
            <w:gridSpan w:val="3"/>
            <w:shd w:val="clear" w:color="auto" w:fill="E5E5E5"/>
          </w:tcPr>
          <w:p>
            <w:pPr>
              <w:jc w:val="center"/>
              <w:ind w:right="480"/>
              <w:spacing w:after="0"/>
              <w:rPr>
                <w:sz w:val="20"/>
                <w:szCs w:val="20"/>
                <w:color w:val="auto"/>
              </w:rPr>
            </w:pPr>
            <w:r>
              <w:rPr>
                <w:rFonts w:ascii="Arial" w:cs="Arial" w:eastAsia="Arial" w:hAnsi="Arial"/>
                <w:sz w:val="10"/>
                <w:szCs w:val="10"/>
                <w:color w:val="auto"/>
              </w:rPr>
              <w:t>Options (#)</w:t>
            </w:r>
          </w:p>
        </w:tc>
        <w:tc>
          <w:tcPr>
            <w:tcW w:w="5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Exercise</w:t>
            </w:r>
          </w:p>
        </w:tc>
        <w:tc>
          <w:tcPr>
            <w:tcW w:w="4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1500" w:type="dxa"/>
            <w:vAlign w:val="bottom"/>
            <w:shd w:val="clear" w:color="auto" w:fill="E5E5E5"/>
          </w:tcPr>
          <w:p>
            <w:pPr>
              <w:jc w:val="center"/>
              <w:ind w:left="108"/>
              <w:spacing w:after="0"/>
              <w:rPr>
                <w:sz w:val="20"/>
                <w:szCs w:val="20"/>
                <w:color w:val="auto"/>
              </w:rPr>
            </w:pPr>
            <w:r>
              <w:rPr>
                <w:rFonts w:ascii="Arial" w:cs="Arial" w:eastAsia="Arial" w:hAnsi="Arial"/>
                <w:sz w:val="10"/>
                <w:szCs w:val="10"/>
                <w:color w:val="auto"/>
              </w:rPr>
              <w:t>Expiration</w:t>
            </w:r>
          </w:p>
        </w:tc>
        <w:tc>
          <w:tcPr>
            <w:tcW w:w="120" w:type="dxa"/>
            <w:vAlign w:val="bottom"/>
            <w:shd w:val="clear" w:color="auto" w:fill="E5E5E5"/>
          </w:tcPr>
          <w:p>
            <w:pPr>
              <w:spacing w:after="0"/>
              <w:rPr>
                <w:sz w:val="10"/>
                <w:szCs w:val="10"/>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Vested</w:t>
            </w:r>
          </w:p>
        </w:tc>
        <w:tc>
          <w:tcPr>
            <w:tcW w:w="120" w:type="dxa"/>
            <w:vAlign w:val="bottom"/>
            <w:shd w:val="clear" w:color="auto" w:fill="E5E5E5"/>
          </w:tcPr>
          <w:p>
            <w:pPr>
              <w:spacing w:after="0"/>
              <w:rPr>
                <w:sz w:val="10"/>
                <w:szCs w:val="10"/>
                <w:color w:val="auto"/>
              </w:rPr>
            </w:pPr>
          </w:p>
        </w:tc>
        <w:tc>
          <w:tcPr>
            <w:tcW w:w="800" w:type="dxa"/>
            <w:vAlign w:val="bottom"/>
            <w:gridSpan w:val="2"/>
            <w:shd w:val="clear" w:color="auto" w:fill="E5E5E5"/>
          </w:tcPr>
          <w:p>
            <w:pPr>
              <w:jc w:val="center"/>
              <w:spacing w:after="0"/>
              <w:rPr>
                <w:sz w:val="20"/>
                <w:szCs w:val="20"/>
                <w:color w:val="auto"/>
              </w:rPr>
            </w:pPr>
            <w:r>
              <w:rPr>
                <w:rFonts w:ascii="Arial" w:cs="Arial" w:eastAsia="Arial" w:hAnsi="Arial"/>
                <w:sz w:val="10"/>
                <w:szCs w:val="10"/>
                <w:color w:val="auto"/>
              </w:rPr>
              <w:t>Vested</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0"/>
                <w:szCs w:val="10"/>
                <w:color w:val="auto"/>
              </w:rPr>
              <w:t>Name</w:t>
            </w:r>
          </w:p>
        </w:tc>
        <w:tc>
          <w:tcPr>
            <w:tcW w:w="150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0"/>
                <w:szCs w:val="10"/>
                <w:color w:val="auto"/>
              </w:rPr>
              <w:t>Date</w:t>
            </w:r>
          </w:p>
        </w:tc>
        <w:tc>
          <w:tcPr>
            <w:tcW w:w="120" w:type="dxa"/>
            <w:vAlign w:val="bottom"/>
            <w:tcBorders>
              <w:bottom w:val="single" w:sz="8" w:color="auto"/>
            </w:tcBorders>
            <w:shd w:val="clear" w:color="auto" w:fill="E5E5E5"/>
          </w:tcPr>
          <w:p>
            <w:pPr>
              <w:spacing w:after="0"/>
              <w:rPr>
                <w:sz w:val="12"/>
                <w:szCs w:val="12"/>
                <w:color w:val="auto"/>
              </w:rPr>
            </w:pPr>
          </w:p>
        </w:tc>
        <w:tc>
          <w:tcPr>
            <w:tcW w:w="12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rPr>
              <w:t>Exercisable</w:t>
            </w:r>
          </w:p>
        </w:tc>
        <w:tc>
          <w:tcPr>
            <w:tcW w:w="120" w:type="dxa"/>
            <w:vAlign w:val="bottom"/>
            <w:tcBorders>
              <w:bottom w:val="single" w:sz="8" w:color="E5E5E5"/>
            </w:tcBorders>
            <w:shd w:val="clear" w:color="auto" w:fill="E5E5E5"/>
          </w:tcPr>
          <w:p>
            <w:pPr>
              <w:spacing w:after="0"/>
              <w:rPr>
                <w:sz w:val="12"/>
                <w:szCs w:val="12"/>
                <w:color w:val="auto"/>
              </w:rPr>
            </w:pPr>
          </w:p>
        </w:tc>
        <w:tc>
          <w:tcPr>
            <w:tcW w:w="1400" w:type="dxa"/>
            <w:vAlign w:val="bottom"/>
            <w:tcBorders>
              <w:bottom w:val="single" w:sz="8" w:color="auto"/>
            </w:tcBorders>
            <w:shd w:val="clear" w:color="auto" w:fill="E5E5E5"/>
          </w:tcPr>
          <w:p>
            <w:pPr>
              <w:jc w:val="center"/>
              <w:ind w:left="48"/>
              <w:spacing w:after="0"/>
              <w:rPr>
                <w:sz w:val="20"/>
                <w:szCs w:val="20"/>
                <w:color w:val="auto"/>
              </w:rPr>
            </w:pPr>
            <w:r>
              <w:rPr>
                <w:rFonts w:ascii="Arial" w:cs="Arial" w:eastAsia="Arial" w:hAnsi="Arial"/>
                <w:sz w:val="10"/>
                <w:szCs w:val="10"/>
                <w:color w:val="auto"/>
              </w:rPr>
              <w:t>Unexercisable</w:t>
            </w:r>
          </w:p>
        </w:tc>
        <w:tc>
          <w:tcPr>
            <w:tcW w:w="120" w:type="dxa"/>
            <w:vAlign w:val="bottom"/>
            <w:tcBorders>
              <w:bottom w:val="single" w:sz="8" w:color="E5E5E5"/>
            </w:tcBorders>
            <w:shd w:val="clear" w:color="auto" w:fill="E5E5E5"/>
          </w:tcPr>
          <w:p>
            <w:pPr>
              <w:spacing w:after="0"/>
              <w:rPr>
                <w:sz w:val="12"/>
                <w:szCs w:val="12"/>
                <w:color w:val="auto"/>
              </w:rPr>
            </w:pPr>
          </w:p>
        </w:tc>
        <w:tc>
          <w:tcPr>
            <w:tcW w:w="4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rPr>
              <w:t>Price ($)</w:t>
            </w:r>
          </w:p>
        </w:tc>
        <w:tc>
          <w:tcPr>
            <w:tcW w:w="4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1500" w:type="dxa"/>
            <w:vAlign w:val="bottom"/>
            <w:tcBorders>
              <w:bottom w:val="single" w:sz="8" w:color="auto"/>
            </w:tcBorders>
            <w:shd w:val="clear" w:color="auto" w:fill="E5E5E5"/>
          </w:tcPr>
          <w:p>
            <w:pPr>
              <w:jc w:val="center"/>
              <w:ind w:left="108"/>
              <w:spacing w:after="0"/>
              <w:rPr>
                <w:sz w:val="20"/>
                <w:szCs w:val="20"/>
                <w:color w:val="auto"/>
              </w:rPr>
            </w:pPr>
            <w:r>
              <w:rPr>
                <w:rFonts w:ascii="Arial" w:cs="Arial" w:eastAsia="Arial" w:hAnsi="Arial"/>
                <w:sz w:val="10"/>
                <w:szCs w:val="10"/>
                <w:color w:val="auto"/>
              </w:rPr>
              <w:t>Date</w:t>
            </w:r>
          </w:p>
        </w:tc>
        <w:tc>
          <w:tcPr>
            <w:tcW w:w="920" w:type="dxa"/>
            <w:vAlign w:val="bottom"/>
            <w:tcBorders>
              <w:bottom w:val="single" w:sz="8" w:color="auto"/>
            </w:tcBorders>
            <w:gridSpan w:val="2"/>
            <w:shd w:val="clear" w:color="auto" w:fill="E5E5E5"/>
          </w:tcPr>
          <w:p>
            <w:pPr>
              <w:jc w:val="center"/>
              <w:ind w:left="76"/>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E5E5E5"/>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center"/>
              <w:ind w:left="48"/>
              <w:spacing w:after="0"/>
              <w:rPr>
                <w:sz w:val="20"/>
                <w:szCs w:val="20"/>
                <w:color w:val="auto"/>
              </w:rPr>
            </w:pPr>
            <w:r>
              <w:rPr>
                <w:rFonts w:ascii="Arial" w:cs="Arial" w:eastAsia="Arial" w:hAnsi="Arial"/>
                <w:sz w:val="10"/>
                <w:szCs w:val="10"/>
                <w:color w:val="auto"/>
                <w:w w:val="97"/>
              </w:rPr>
              <w:t>($)</w:t>
            </w:r>
          </w:p>
        </w:tc>
        <w:tc>
          <w:tcPr>
            <w:tcW w:w="100" w:type="dxa"/>
            <w:vAlign w:val="bottom"/>
            <w:tcBorders>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100"/>
              <w:spacing w:after="0"/>
              <w:rPr>
                <w:sz w:val="20"/>
                <w:szCs w:val="20"/>
                <w:color w:val="auto"/>
              </w:rPr>
            </w:pPr>
            <w:r>
              <w:rPr>
                <w:rFonts w:ascii="Arial" w:cs="Arial" w:eastAsia="Arial" w:hAnsi="Arial"/>
                <w:sz w:val="13"/>
                <w:szCs w:val="13"/>
                <w:color w:val="auto"/>
              </w:rPr>
              <w:t>Eric D. Shaff</w:t>
            </w:r>
          </w:p>
        </w:tc>
        <w:tc>
          <w:tcPr>
            <w:tcW w:w="1500" w:type="dxa"/>
            <w:vAlign w:val="bottom"/>
          </w:tcPr>
          <w:p>
            <w:pPr>
              <w:jc w:val="right"/>
              <w:spacing w:after="0"/>
              <w:rPr>
                <w:sz w:val="20"/>
                <w:szCs w:val="20"/>
                <w:color w:val="auto"/>
              </w:rPr>
            </w:pPr>
            <w:r>
              <w:rPr>
                <w:rFonts w:ascii="Arial" w:cs="Arial" w:eastAsia="Arial" w:hAnsi="Arial"/>
                <w:sz w:val="13"/>
                <w:szCs w:val="13"/>
                <w:color w:val="auto"/>
              </w:rPr>
              <w:t>2/3/2023 (1)</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250,000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5.50</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2/2/2033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175,00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125,000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2/3/2023 (4)</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27,837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38,972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2/4/2022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218,750</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281,250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7.38</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2/3/2032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240,625</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109,375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26.34</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2/3/2031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1/29/2020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937,500</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62,500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3.30</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1/28/2030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1/25/2019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275,000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6.01</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1/24/2029</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1/30/2018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120,000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10.42</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1/29/2028</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1/26/2017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105,000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9.89</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1/25/2027</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2/1/2016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78,500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26.20</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1/31/2026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6/26/2015 (2)</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18.00</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6/25/2025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12/9/2014 (2)</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233,454</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7.79</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12/8/2024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ind w:left="100"/>
              <w:spacing w:after="0"/>
              <w:rPr>
                <w:sz w:val="20"/>
                <w:szCs w:val="20"/>
                <w:color w:val="auto"/>
              </w:rPr>
            </w:pPr>
            <w:r>
              <w:rPr>
                <w:rFonts w:ascii="Arial" w:cs="Arial" w:eastAsia="Arial" w:hAnsi="Arial"/>
                <w:sz w:val="13"/>
                <w:szCs w:val="13"/>
                <w:color w:val="auto"/>
              </w:rPr>
              <w:t>Teresa L. Young, Ph.D.</w:t>
            </w: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(1)</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5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85,000</w:t>
            </w: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5.50</w:t>
            </w:r>
          </w:p>
        </w:tc>
        <w:tc>
          <w:tcPr>
            <w:tcW w:w="1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2/2/2033</w:t>
            </w:r>
          </w:p>
        </w:tc>
        <w:tc>
          <w:tcPr>
            <w:tcW w:w="12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7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4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500" w:type="dxa"/>
            <w:vAlign w:val="bottom"/>
            <w:shd w:val="clear" w:color="auto" w:fill="E7E6E6"/>
          </w:tcPr>
          <w:p>
            <w:pPr>
              <w:spacing w:after="0"/>
              <w:rPr>
                <w:sz w:val="14"/>
                <w:szCs w:val="14"/>
                <w:color w:val="auto"/>
              </w:rPr>
            </w:pPr>
          </w:p>
        </w:tc>
        <w:tc>
          <w:tcPr>
            <w:tcW w:w="9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42,500</w:t>
            </w: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59,500</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(4)</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4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500" w:type="dxa"/>
            <w:vAlign w:val="bottom"/>
            <w:shd w:val="clear" w:color="auto" w:fill="E7E6E6"/>
          </w:tcPr>
          <w:p>
            <w:pPr>
              <w:spacing w:after="0"/>
              <w:rPr>
                <w:sz w:val="14"/>
                <w:szCs w:val="14"/>
                <w:color w:val="auto"/>
              </w:rPr>
            </w:pPr>
          </w:p>
        </w:tc>
        <w:tc>
          <w:tcPr>
            <w:tcW w:w="9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11,360</w:t>
            </w: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15,904</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2/3/2023 (5)</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14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1500" w:type="dxa"/>
            <w:vAlign w:val="bottom"/>
            <w:shd w:val="clear" w:color="auto" w:fill="E7E6E6"/>
          </w:tcPr>
          <w:p>
            <w:pPr>
              <w:spacing w:after="0"/>
              <w:rPr>
                <w:sz w:val="14"/>
                <w:szCs w:val="14"/>
                <w:color w:val="auto"/>
              </w:rPr>
            </w:pPr>
          </w:p>
        </w:tc>
        <w:tc>
          <w:tcPr>
            <w:tcW w:w="9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85,000</w:t>
            </w:r>
          </w:p>
        </w:tc>
        <w:tc>
          <w:tcPr>
            <w:tcW w:w="8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2/4/2022 (1)</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52,500</w:t>
            </w:r>
          </w:p>
        </w:tc>
        <w:tc>
          <w:tcPr>
            <w:tcW w:w="15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67,500</w:t>
            </w: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7.38</w:t>
            </w:r>
          </w:p>
        </w:tc>
        <w:tc>
          <w:tcPr>
            <w:tcW w:w="1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2/3/2032</w:t>
            </w:r>
          </w:p>
        </w:tc>
        <w:tc>
          <w:tcPr>
            <w:tcW w:w="12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7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2/4/2021 (1)</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61,875</w:t>
            </w:r>
          </w:p>
        </w:tc>
        <w:tc>
          <w:tcPr>
            <w:tcW w:w="15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28,125</w:t>
            </w: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26.34</w:t>
            </w:r>
          </w:p>
        </w:tc>
        <w:tc>
          <w:tcPr>
            <w:tcW w:w="1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2/3/2031</w:t>
            </w:r>
          </w:p>
        </w:tc>
        <w:tc>
          <w:tcPr>
            <w:tcW w:w="12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7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E7E6E6"/>
          </w:tcPr>
          <w:p>
            <w:pPr>
              <w:spacing w:after="0"/>
              <w:rPr>
                <w:sz w:val="14"/>
                <w:szCs w:val="14"/>
                <w:color w:val="auto"/>
              </w:rPr>
            </w:pPr>
          </w:p>
        </w:tc>
        <w:tc>
          <w:tcPr>
            <w:tcW w:w="15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6/29/2020 (1)</w:t>
            </w:r>
          </w:p>
        </w:tc>
        <w:tc>
          <w:tcPr>
            <w:tcW w:w="120" w:type="dxa"/>
            <w:vAlign w:val="bottom"/>
            <w:shd w:val="clear" w:color="auto" w:fill="E7E6E6"/>
          </w:tcPr>
          <w:p>
            <w:pPr>
              <w:spacing w:after="0"/>
              <w:rPr>
                <w:sz w:val="14"/>
                <w:szCs w:val="14"/>
                <w:color w:val="auto"/>
              </w:rPr>
            </w:pPr>
          </w:p>
        </w:tc>
        <w:tc>
          <w:tcPr>
            <w:tcW w:w="12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262,500</w:t>
            </w:r>
          </w:p>
        </w:tc>
        <w:tc>
          <w:tcPr>
            <w:tcW w:w="152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37,500</w:t>
            </w:r>
          </w:p>
        </w:tc>
        <w:tc>
          <w:tcPr>
            <w:tcW w:w="120" w:type="dxa"/>
            <w:vAlign w:val="bottom"/>
            <w:shd w:val="clear" w:color="auto" w:fill="E7E6E6"/>
          </w:tcPr>
          <w:p>
            <w:pPr>
              <w:spacing w:after="0"/>
              <w:rPr>
                <w:sz w:val="14"/>
                <w:szCs w:val="14"/>
                <w:color w:val="auto"/>
              </w:rPr>
            </w:pPr>
          </w:p>
        </w:tc>
        <w:tc>
          <w:tcPr>
            <w:tcW w:w="480" w:type="dxa"/>
            <w:vAlign w:val="bottom"/>
            <w:shd w:val="clear" w:color="auto" w:fill="E7E6E6"/>
          </w:tcPr>
          <w:p>
            <w:pPr>
              <w:spacing w:after="0"/>
              <w:rPr>
                <w:sz w:val="14"/>
                <w:szCs w:val="14"/>
                <w:color w:val="auto"/>
              </w:rPr>
            </w:pPr>
          </w:p>
        </w:tc>
        <w:tc>
          <w:tcPr>
            <w:tcW w:w="540" w:type="dxa"/>
            <w:vAlign w:val="bottom"/>
            <w:shd w:val="clear" w:color="auto" w:fill="E7E6E6"/>
          </w:tcPr>
          <w:p>
            <w:pPr>
              <w:spacing w:after="0"/>
              <w:rPr>
                <w:sz w:val="14"/>
                <w:szCs w:val="14"/>
                <w:color w:val="auto"/>
              </w:rPr>
            </w:pPr>
          </w:p>
        </w:tc>
        <w:tc>
          <w:tcPr>
            <w:tcW w:w="4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4.67</w:t>
            </w:r>
          </w:p>
        </w:tc>
        <w:tc>
          <w:tcPr>
            <w:tcW w:w="160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6/28/2030</w:t>
            </w:r>
          </w:p>
        </w:tc>
        <w:tc>
          <w:tcPr>
            <w:tcW w:w="12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20" w:type="dxa"/>
            <w:vAlign w:val="bottom"/>
            <w:shd w:val="clear" w:color="auto" w:fill="E7E6E6"/>
          </w:tcPr>
          <w:p>
            <w:pPr>
              <w:spacing w:after="0"/>
              <w:rPr>
                <w:sz w:val="14"/>
                <w:szCs w:val="14"/>
                <w:color w:val="auto"/>
              </w:rPr>
            </w:pPr>
          </w:p>
        </w:tc>
        <w:tc>
          <w:tcPr>
            <w:tcW w:w="700" w:type="dxa"/>
            <w:vAlign w:val="bottom"/>
            <w:shd w:val="clear" w:color="auto" w:fill="E7E6E6"/>
          </w:tcPr>
          <w:p>
            <w:pPr>
              <w:spacing w:after="0"/>
              <w:rPr>
                <w:sz w:val="14"/>
                <w:szCs w:val="14"/>
                <w:color w:val="auto"/>
              </w:rPr>
            </w:pPr>
          </w:p>
        </w:tc>
        <w:tc>
          <w:tcPr>
            <w:tcW w:w="10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100"/>
              <w:spacing w:after="0"/>
              <w:rPr>
                <w:sz w:val="20"/>
                <w:szCs w:val="20"/>
                <w:color w:val="auto"/>
              </w:rPr>
            </w:pPr>
            <w:r>
              <w:rPr>
                <w:rFonts w:ascii="Arial" w:cs="Arial" w:eastAsia="Arial" w:hAnsi="Arial"/>
                <w:sz w:val="13"/>
                <w:szCs w:val="13"/>
                <w:color w:val="auto"/>
              </w:rPr>
              <w:t>Lisa von Moltke, M.D.</w:t>
            </w:r>
          </w:p>
        </w:tc>
        <w:tc>
          <w:tcPr>
            <w:tcW w:w="1500" w:type="dxa"/>
            <w:vAlign w:val="bottom"/>
          </w:tcPr>
          <w:p>
            <w:pPr>
              <w:jc w:val="right"/>
              <w:spacing w:after="0"/>
              <w:rPr>
                <w:sz w:val="20"/>
                <w:szCs w:val="20"/>
                <w:color w:val="auto"/>
              </w:rPr>
            </w:pPr>
            <w:r>
              <w:rPr>
                <w:rFonts w:ascii="Arial" w:cs="Arial" w:eastAsia="Arial" w:hAnsi="Arial"/>
                <w:sz w:val="13"/>
                <w:szCs w:val="13"/>
                <w:color w:val="auto"/>
              </w:rPr>
              <w:t>2/3/2023 (1)</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95,000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5.50</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2/2/2033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2/3/2023 (3)</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47,500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66,500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2/3/2023 (4)</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13,744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19,242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2/4/2022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76,562</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98,438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7.38</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2/3/2032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2/4/2021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75,625</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34,375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26.34</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2/3/2031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4/6/2020 (1)</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284,375</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40,625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3.32</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4/5/2030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-3423920</wp:posOffset>
            </wp:positionV>
            <wp:extent cx="996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9695" cy="825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-3423920</wp:posOffset>
            </wp:positionV>
            <wp:extent cx="749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5968365</wp:posOffset>
            </wp:positionH>
            <wp:positionV relativeFrom="paragraph">
              <wp:posOffset>-3423920</wp:posOffset>
            </wp:positionV>
            <wp:extent cx="831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3185"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-3423920</wp:posOffset>
            </wp:positionV>
            <wp:extent cx="666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-2800985</wp:posOffset>
            </wp:positionV>
            <wp:extent cx="749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-2800985</wp:posOffset>
            </wp:positionV>
            <wp:extent cx="749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-2800985</wp:posOffset>
            </wp:positionV>
            <wp:extent cx="666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-2800985</wp:posOffset>
            </wp:positionV>
            <wp:extent cx="666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-2800985</wp:posOffset>
            </wp:positionV>
            <wp:extent cx="666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6" w:lineRule="exact"/>
        <w:rPr>
          <w:sz w:val="20"/>
          <w:szCs w:val="20"/>
          <w:color w:val="auto"/>
        </w:rPr>
      </w:pPr>
    </w:p>
    <w:p>
      <w:pPr>
        <w:ind w:left="500" w:right="300" w:hanging="376"/>
        <w:spacing w:after="0" w:line="251"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grant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500" w:right="60" w:hanging="376"/>
        <w:spacing w:after="0" w:line="251"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grant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500" w:right="40" w:hanging="376"/>
        <w:spacing w:after="0" w:line="251"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 award vests as to 25% of the restricted stock units on the first 15th day of the calendar month that immediately follows the first anniversary of the grant date, and as to 6.25% of the restricted stock units upon completion of each three consecutive months of service during the three-year period thereafter,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500" w:right="20" w:hanging="376"/>
        <w:spacing w:after="0" w:line="242"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Performance-based restricted stock unit award vests in two equal installments with the first occurring six months following the date the Compensation and Talent Committee determines that the BLA for VOWST has been approved by the FDA and the remaining 50% of such restricted stock units vesting 12 months thereafter. On April 27, 2023, the Compensation and Talent Committee determined the performance condition had been satisfied. Accordingly, 50% of the restricted stock units vested on October 27, 2023 and the remaining 50% of the restricted stock units vests on October 27, 2024, subject to the holder’s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500" w:right="480" w:hanging="376"/>
        <w:spacing w:after="0" w:line="268"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Restricted stock unit award vests on August 3, 2024, subject to continued employment with us through the applicable vesting date and potential accelerated vesting as described in the section titled “</w:t>
      </w:r>
      <w:r>
        <w:rPr>
          <w:rFonts w:ascii="Arial" w:cs="Arial" w:eastAsia="Arial" w:hAnsi="Arial"/>
          <w:sz w:val="14"/>
          <w:szCs w:val="14"/>
          <w:i w:val="1"/>
          <w:iCs w:val="1"/>
          <w:color w:val="auto"/>
        </w:rPr>
        <w:t>Employment Agreements</w:t>
      </w:r>
      <w:r>
        <w:rPr>
          <w:rFonts w:ascii="Arial" w:cs="Arial" w:eastAsia="Arial" w:hAnsi="Arial"/>
          <w:sz w:val="14"/>
          <w:szCs w:val="14"/>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 Exercises and Stock Vested in Fiscal 2023</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stock vested for our NEOs during fiscal 2023. None of our NEOs exercised stock options during fiscal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shd w:val="clear" w:color="auto" w:fill="D9D9D9"/>
          </w:tcPr>
          <w:p>
            <w:pPr>
              <w:spacing w:after="0"/>
              <w:rPr>
                <w:sz w:val="12"/>
                <w:szCs w:val="12"/>
                <w:color w:val="auto"/>
              </w:rPr>
            </w:pPr>
          </w:p>
        </w:tc>
        <w:tc>
          <w:tcPr>
            <w:tcW w:w="2500" w:type="dxa"/>
            <w:vAlign w:val="bottom"/>
            <w:vMerge w:val="restart"/>
            <w:shd w:val="clear" w:color="auto" w:fill="D9D9D9"/>
          </w:tcPr>
          <w:p>
            <w:pPr>
              <w:jc w:val="center"/>
              <w:ind w:left="495"/>
              <w:spacing w:after="0"/>
              <w:rPr>
                <w:sz w:val="20"/>
                <w:szCs w:val="20"/>
                <w:color w:val="auto"/>
              </w:rPr>
            </w:pPr>
            <w:r>
              <w:rPr>
                <w:rFonts w:ascii="Arial" w:cs="Arial" w:eastAsia="Arial" w:hAnsi="Arial"/>
                <w:sz w:val="13"/>
                <w:szCs w:val="13"/>
                <w:color w:val="auto"/>
              </w:rPr>
              <w:t>Number of Shares Acquired</w:t>
            </w:r>
          </w:p>
        </w:tc>
        <w:tc>
          <w:tcPr>
            <w:tcW w:w="460" w:type="dxa"/>
            <w:vAlign w:val="bottom"/>
            <w:shd w:val="clear" w:color="auto" w:fill="D9D9D9"/>
          </w:tcPr>
          <w:p>
            <w:pPr>
              <w:spacing w:after="0"/>
              <w:rPr>
                <w:sz w:val="12"/>
                <w:szCs w:val="12"/>
                <w:color w:val="auto"/>
              </w:rPr>
            </w:pPr>
          </w:p>
        </w:tc>
        <w:tc>
          <w:tcPr>
            <w:tcW w:w="1180" w:type="dxa"/>
            <w:vAlign w:val="bottom"/>
            <w:gridSpan w:val="4"/>
            <w:shd w:val="clear" w:color="auto" w:fill="D9D9D9"/>
          </w:tcPr>
          <w:p>
            <w:pPr>
              <w:spacing w:after="0"/>
              <w:rPr>
                <w:sz w:val="20"/>
                <w:szCs w:val="20"/>
                <w:color w:val="auto"/>
              </w:rPr>
            </w:pPr>
            <w:r>
              <w:rPr>
                <w:rFonts w:ascii="Arial" w:cs="Arial" w:eastAsia="Arial" w:hAnsi="Arial"/>
                <w:sz w:val="13"/>
                <w:szCs w:val="13"/>
                <w:color w:val="auto"/>
              </w:rPr>
              <w:t>Stock Awards</w:t>
            </w:r>
          </w:p>
        </w:tc>
        <w:tc>
          <w:tcPr>
            <w:tcW w:w="2680" w:type="dxa"/>
            <w:vAlign w:val="bottom"/>
            <w:gridSpan w:val="2"/>
            <w:vMerge w:val="restart"/>
            <w:shd w:val="clear" w:color="auto" w:fill="D9D9D9"/>
          </w:tcPr>
          <w:p>
            <w:pPr>
              <w:jc w:val="center"/>
              <w:ind w:right="1060"/>
              <w:spacing w:after="0"/>
              <w:rPr>
                <w:sz w:val="20"/>
                <w:szCs w:val="20"/>
                <w:color w:val="auto"/>
              </w:rPr>
            </w:pPr>
            <w:r>
              <w:rPr>
                <w:rFonts w:ascii="Arial" w:cs="Arial" w:eastAsia="Arial" w:hAnsi="Arial"/>
                <w:sz w:val="13"/>
                <w:szCs w:val="13"/>
                <w:color w:val="auto"/>
                <w:w w:val="98"/>
              </w:rPr>
              <w:t>Value Realized</w:t>
            </w:r>
          </w:p>
        </w:tc>
        <w:tc>
          <w:tcPr>
            <w:tcW w:w="0" w:type="dxa"/>
            <w:vAlign w:val="bottom"/>
          </w:tcPr>
          <w:p>
            <w:pPr>
              <w:spacing w:after="0"/>
              <w:rPr>
                <w:sz w:val="1"/>
                <w:szCs w:val="1"/>
                <w:color w:val="auto"/>
              </w:rPr>
            </w:pPr>
          </w:p>
        </w:tc>
      </w:tr>
      <w:tr>
        <w:trPr>
          <w:trHeight w:val="151"/>
        </w:trPr>
        <w:tc>
          <w:tcPr>
            <w:tcW w:w="4420" w:type="dxa"/>
            <w:vAlign w:val="bottom"/>
            <w:tcBorders>
              <w:top w:val="single" w:sz="8" w:color="D9D9D9"/>
            </w:tcBorders>
            <w:vMerge w:val="restart"/>
            <w:shd w:val="clear" w:color="auto" w:fill="D9D9D9"/>
          </w:tcPr>
          <w:p>
            <w:pPr>
              <w:ind w:left="2040"/>
              <w:spacing w:after="0"/>
              <w:rPr>
                <w:sz w:val="20"/>
                <w:szCs w:val="20"/>
                <w:color w:val="auto"/>
              </w:rPr>
            </w:pPr>
            <w:r>
              <w:rPr>
                <w:rFonts w:ascii="Arial" w:cs="Arial" w:eastAsia="Arial" w:hAnsi="Arial"/>
                <w:sz w:val="13"/>
                <w:szCs w:val="13"/>
                <w:color w:val="auto"/>
              </w:rPr>
              <w:t>Name</w:t>
            </w:r>
          </w:p>
        </w:tc>
        <w:tc>
          <w:tcPr>
            <w:tcW w:w="2500" w:type="dxa"/>
            <w:vAlign w:val="bottom"/>
            <w:tcBorders>
              <w:top w:val="single" w:sz="8" w:color="D9D9D9"/>
            </w:tcBorders>
            <w:vMerge w:val="continue"/>
            <w:shd w:val="clear" w:color="auto" w:fill="D9D9D9"/>
          </w:tcPr>
          <w:p>
            <w:pPr>
              <w:spacing w:after="0"/>
              <w:rPr>
                <w:sz w:val="13"/>
                <w:szCs w:val="13"/>
                <w:color w:val="auto"/>
              </w:rPr>
            </w:pPr>
          </w:p>
        </w:tc>
        <w:tc>
          <w:tcPr>
            <w:tcW w:w="460" w:type="dxa"/>
            <w:vAlign w:val="bottom"/>
            <w:tcBorders>
              <w:top w:val="single" w:sz="8" w:color="D9D9D9"/>
            </w:tcBorders>
            <w:shd w:val="clear" w:color="auto" w:fill="D9D9D9"/>
          </w:tcPr>
          <w:p>
            <w:pPr>
              <w:spacing w:after="0"/>
              <w:rPr>
                <w:sz w:val="13"/>
                <w:szCs w:val="13"/>
                <w:color w:val="auto"/>
              </w:rPr>
            </w:pPr>
          </w:p>
        </w:tc>
        <w:tc>
          <w:tcPr>
            <w:tcW w:w="100" w:type="dxa"/>
            <w:vAlign w:val="bottom"/>
            <w:tcBorders>
              <w:top w:val="single" w:sz="8" w:color="auto"/>
            </w:tcBorders>
            <w:shd w:val="clear" w:color="auto" w:fill="D9D9D9"/>
          </w:tcPr>
          <w:p>
            <w:pPr>
              <w:spacing w:after="0"/>
              <w:rPr>
                <w:sz w:val="13"/>
                <w:szCs w:val="13"/>
                <w:color w:val="auto"/>
              </w:rPr>
            </w:pPr>
          </w:p>
        </w:tc>
        <w:tc>
          <w:tcPr>
            <w:tcW w:w="120" w:type="dxa"/>
            <w:vAlign w:val="bottom"/>
            <w:tcBorders>
              <w:top w:val="single" w:sz="8" w:color="auto"/>
            </w:tcBorders>
            <w:shd w:val="clear" w:color="auto" w:fill="D9D9D9"/>
          </w:tcPr>
          <w:p>
            <w:pPr>
              <w:spacing w:after="0"/>
              <w:rPr>
                <w:sz w:val="13"/>
                <w:szCs w:val="13"/>
                <w:color w:val="auto"/>
              </w:rPr>
            </w:pPr>
          </w:p>
        </w:tc>
        <w:tc>
          <w:tcPr>
            <w:tcW w:w="580" w:type="dxa"/>
            <w:vAlign w:val="bottom"/>
            <w:tcBorders>
              <w:top w:val="single" w:sz="8" w:color="auto"/>
            </w:tcBorders>
            <w:shd w:val="clear" w:color="auto" w:fill="D9D9D9"/>
          </w:tcPr>
          <w:p>
            <w:pPr>
              <w:spacing w:after="0"/>
              <w:rPr>
                <w:sz w:val="13"/>
                <w:szCs w:val="13"/>
                <w:color w:val="auto"/>
              </w:rPr>
            </w:pPr>
          </w:p>
        </w:tc>
        <w:tc>
          <w:tcPr>
            <w:tcW w:w="380" w:type="dxa"/>
            <w:vAlign w:val="bottom"/>
            <w:tcBorders>
              <w:top w:val="single" w:sz="8" w:color="D9D9D9"/>
            </w:tcBorders>
            <w:shd w:val="clear" w:color="auto" w:fill="D9D9D9"/>
          </w:tcPr>
          <w:p>
            <w:pPr>
              <w:spacing w:after="0"/>
              <w:rPr>
                <w:sz w:val="13"/>
                <w:szCs w:val="13"/>
                <w:color w:val="auto"/>
              </w:rPr>
            </w:pPr>
          </w:p>
        </w:tc>
        <w:tc>
          <w:tcPr>
            <w:tcW w:w="2680" w:type="dxa"/>
            <w:vAlign w:val="bottom"/>
            <w:tcBorders>
              <w:top w:val="single" w:sz="8" w:color="D9D9D9"/>
            </w:tcBorders>
            <w:gridSpan w:val="2"/>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shd w:val="clear" w:color="auto" w:fill="D9D9D9"/>
          </w:tcPr>
          <w:p>
            <w:pPr>
              <w:spacing w:after="0"/>
              <w:rPr>
                <w:sz w:val="8"/>
                <w:szCs w:val="8"/>
                <w:color w:val="auto"/>
              </w:rPr>
            </w:pPr>
          </w:p>
        </w:tc>
        <w:tc>
          <w:tcPr>
            <w:tcW w:w="2500" w:type="dxa"/>
            <w:vAlign w:val="bottom"/>
            <w:vMerge w:val="restart"/>
            <w:shd w:val="clear" w:color="auto" w:fill="D9D9D9"/>
          </w:tcPr>
          <w:p>
            <w:pPr>
              <w:jc w:val="center"/>
              <w:ind w:left="495"/>
              <w:spacing w:after="0"/>
              <w:rPr>
                <w:sz w:val="20"/>
                <w:szCs w:val="20"/>
                <w:color w:val="auto"/>
              </w:rPr>
            </w:pPr>
            <w:r>
              <w:rPr>
                <w:rFonts w:ascii="Arial" w:cs="Arial" w:eastAsia="Arial" w:hAnsi="Arial"/>
                <w:sz w:val="13"/>
                <w:szCs w:val="13"/>
                <w:color w:val="auto"/>
              </w:rPr>
              <w:t>on Vesting (#)(1)</w:t>
            </w:r>
          </w:p>
        </w:tc>
        <w:tc>
          <w:tcPr>
            <w:tcW w:w="46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380" w:type="dxa"/>
            <w:vAlign w:val="bottom"/>
            <w:shd w:val="clear" w:color="auto" w:fill="D9D9D9"/>
          </w:tcPr>
          <w:p>
            <w:pPr>
              <w:spacing w:after="0"/>
              <w:rPr>
                <w:sz w:val="8"/>
                <w:szCs w:val="8"/>
                <w:color w:val="auto"/>
              </w:rPr>
            </w:pPr>
          </w:p>
        </w:tc>
        <w:tc>
          <w:tcPr>
            <w:tcW w:w="2680" w:type="dxa"/>
            <w:vAlign w:val="bottom"/>
            <w:gridSpan w:val="2"/>
            <w:vMerge w:val="restart"/>
            <w:shd w:val="clear" w:color="auto" w:fill="D9D9D9"/>
          </w:tcPr>
          <w:p>
            <w:pPr>
              <w:jc w:val="center"/>
              <w:ind w:right="1060"/>
              <w:spacing w:after="0"/>
              <w:rPr>
                <w:sz w:val="20"/>
                <w:szCs w:val="20"/>
                <w:color w:val="auto"/>
              </w:rPr>
            </w:pPr>
            <w:r>
              <w:rPr>
                <w:rFonts w:ascii="Arial" w:cs="Arial" w:eastAsia="Arial" w:hAnsi="Arial"/>
                <w:sz w:val="13"/>
                <w:szCs w:val="13"/>
                <w:color w:val="auto"/>
              </w:rPr>
              <w:t>on Vesting ($)</w:t>
            </w:r>
          </w:p>
        </w:tc>
        <w:tc>
          <w:tcPr>
            <w:tcW w:w="0" w:type="dxa"/>
            <w:vAlign w:val="bottom"/>
          </w:tcPr>
          <w:p>
            <w:pPr>
              <w:spacing w:after="0"/>
              <w:rPr>
                <w:sz w:val="1"/>
                <w:szCs w:val="1"/>
                <w:color w:val="auto"/>
              </w:rPr>
            </w:pPr>
          </w:p>
        </w:tc>
      </w:tr>
      <w:tr>
        <w:trPr>
          <w:trHeight w:val="76"/>
        </w:trPr>
        <w:tc>
          <w:tcPr>
            <w:tcW w:w="4420" w:type="dxa"/>
            <w:vAlign w:val="bottom"/>
            <w:shd w:val="clear" w:color="auto" w:fill="D9D9D9"/>
          </w:tcPr>
          <w:p>
            <w:pPr>
              <w:spacing w:after="0"/>
              <w:rPr>
                <w:sz w:val="6"/>
                <w:szCs w:val="6"/>
                <w:color w:val="auto"/>
              </w:rPr>
            </w:pPr>
          </w:p>
        </w:tc>
        <w:tc>
          <w:tcPr>
            <w:tcW w:w="2500" w:type="dxa"/>
            <w:vAlign w:val="bottom"/>
            <w:vMerge w:val="continue"/>
            <w:shd w:val="clear" w:color="auto" w:fill="D9D9D9"/>
          </w:tcPr>
          <w:p>
            <w:pPr>
              <w:spacing w:after="0"/>
              <w:rPr>
                <w:sz w:val="6"/>
                <w:szCs w:val="6"/>
                <w:color w:val="auto"/>
              </w:rPr>
            </w:pPr>
          </w:p>
        </w:tc>
        <w:tc>
          <w:tcPr>
            <w:tcW w:w="460" w:type="dxa"/>
            <w:vAlign w:val="bottom"/>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80" w:type="dxa"/>
            <w:vAlign w:val="bottom"/>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2680" w:type="dxa"/>
            <w:vAlign w:val="bottom"/>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Eric D. Shaff</w:t>
            </w:r>
          </w:p>
        </w:tc>
        <w:tc>
          <w:tcPr>
            <w:tcW w:w="25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27,838</w:t>
            </w:r>
          </w:p>
        </w:tc>
        <w:tc>
          <w:tcPr>
            <w:tcW w:w="120" w:type="dxa"/>
            <w:vAlign w:val="bottom"/>
            <w:tcBorders>
              <w:top w:val="single" w:sz="8" w:color="D9D9D9"/>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38,416</w:t>
            </w:r>
          </w:p>
        </w:tc>
        <w:tc>
          <w:tcPr>
            <w:tcW w:w="100" w:type="dxa"/>
            <w:vAlign w:val="bottom"/>
            <w:tcBorders>
              <w:top w:val="single" w:sz="8" w:color="D9D9D9"/>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D9D9D9"/>
          </w:tcPr>
          <w:p>
            <w:pPr>
              <w:ind w:left="20"/>
              <w:spacing w:after="0"/>
              <w:rPr>
                <w:sz w:val="20"/>
                <w:szCs w:val="20"/>
                <w:color w:val="auto"/>
              </w:rPr>
            </w:pPr>
            <w:r>
              <w:rPr>
                <w:rFonts w:ascii="Arial" w:cs="Arial" w:eastAsia="Arial" w:hAnsi="Arial"/>
                <w:sz w:val="13"/>
                <w:szCs w:val="13"/>
                <w:color w:val="auto"/>
              </w:rPr>
              <w:t>Teresa L. Young, Ph.D.</w:t>
            </w:r>
          </w:p>
        </w:tc>
        <w:tc>
          <w:tcPr>
            <w:tcW w:w="2500" w:type="dxa"/>
            <w:vAlign w:val="bottom"/>
            <w:shd w:val="clear" w:color="auto" w:fill="D9D9D9"/>
          </w:tcPr>
          <w:p>
            <w:pPr>
              <w:spacing w:after="0"/>
              <w:rPr>
                <w:sz w:val="14"/>
                <w:szCs w:val="14"/>
                <w:color w:val="auto"/>
              </w:rPr>
            </w:pPr>
          </w:p>
        </w:tc>
        <w:tc>
          <w:tcPr>
            <w:tcW w:w="56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11,361</w:t>
            </w:r>
          </w:p>
        </w:tc>
        <w:tc>
          <w:tcPr>
            <w:tcW w:w="12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25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15,678</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20" w:type="dxa"/>
            <w:vAlign w:val="bottom"/>
          </w:tcPr>
          <w:p>
            <w:pPr>
              <w:ind w:left="20"/>
              <w:spacing w:after="0"/>
              <w:rPr>
                <w:sz w:val="20"/>
                <w:szCs w:val="20"/>
                <w:color w:val="auto"/>
              </w:rPr>
            </w:pPr>
            <w:r>
              <w:rPr>
                <w:rFonts w:ascii="Arial" w:cs="Arial" w:eastAsia="Arial" w:hAnsi="Arial"/>
                <w:sz w:val="13"/>
                <w:szCs w:val="13"/>
                <w:color w:val="auto"/>
              </w:rPr>
              <w:t>Lisa von Moltke, M.D.</w:t>
            </w:r>
          </w:p>
        </w:tc>
        <w:tc>
          <w:tcPr>
            <w:tcW w:w="25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13,745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Arial" w:cs="Arial" w:eastAsia="Arial" w:hAnsi="Arial"/>
                <w:sz w:val="13"/>
                <w:szCs w:val="13"/>
                <w:color w:val="auto"/>
              </w:rPr>
              <w:t>18,968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-333375</wp:posOffset>
            </wp:positionV>
            <wp:extent cx="749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-333375</wp:posOffset>
            </wp:positionV>
            <wp:extent cx="666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 w:lineRule="exact"/>
        <w:rPr>
          <w:sz w:val="20"/>
          <w:szCs w:val="20"/>
          <w:color w:val="auto"/>
        </w:rPr>
      </w:pPr>
    </w:p>
    <w:p>
      <w:pPr>
        <w:ind w:left="500" w:right="40" w:hanging="376"/>
        <w:spacing w:after="0" w:line="268"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restricted stock unit awards vested on October 27, 2023, the date that was six months following the Compensation and Talent Committee's determination that the BLA for VOWST had been approved by the FDA.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employment agreements with each of our NEOs. Certain key terms of these agreements are described below.</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Eric D. Shaff</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Under the terms of our employment agreement with Mr. Shaff, if we terminate Mr. Shaff’s employment without cause or he resigns for good reason, each within the meaning of his employment agreement, he will be entitled to receive 18 months of continued base salary, up to 18 months of continued medical, dental or vision coverage pursuant to COBRA, if elected, and immediate vesting of any time-based equity awards that would have otherwise become vested solely as a result of Mr. Shaff’s continued service during the twelve month period following his termination of employment. Mr. Shaff’s employment agreement provides that, upon any such termination within 60 days prior to or 12 months following a change in control, in lieu of the benefits described in the previous sentence, Mr. Shaff is entitled to accelerated vesting of his time-based equity awards, 18 months of continued base salary, up to 18 months of continued medical, dental or vision coverage pursuant to COBRA, if elected, and a lump sum cash amount equal to 1.5 times his target bonus for the year of termination.</w:t>
      </w:r>
    </w:p>
    <w:p>
      <w:pPr>
        <w:spacing w:after="0" w:line="160"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Mr. Shaff’s employment agreement contains a parachute payment “best pay” provision, under which payments and benefits in connection with a change in control made pursuant to the employment agreement or otherwise will either be made to Mr. Shaff in full or as to such lesser amount as which would result in no portion of the payments and benefits being subject to an excise tax under Section 4999 of the Code, whichever of the foregoing amounts is greater on an after-tax basis.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Teresa L. Young, Ph.D. and Lisa von Moltke, M.D.</w:t>
      </w:r>
    </w:p>
    <w:p>
      <w:pPr>
        <w:spacing w:after="0" w:line="1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Under the terms of our employment agreement with each respective executive, if we terminate the executive other than for cause or the executive resigns for good reason, each within the meaning of the respective employment agreement, the executive will be entitled to receive 12 months of continued base salary and up to 12 months of continued medical, dental or vision coverage pursuant to COBRA, if elected. Each executive's employment agreement provides that, upon any such termination within 60 days prior to or 12 months following a change in control, in lieu of the benefits described in the previous sentence, the executive is entitled to accelerated vesting of the executive's time-based equity awards, 12 months of continued base salary, up to 12 months of continued medical, dental or vision coverage pursuant to COBRA, if elected, and a lump sum cash amount equal to 1.0 times the executive's target bonus for the year of termination.</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Each of the employment agreements contains a parachute payment “best pay” provision, under which payments and benefits in connection with a change in control made pursuant to the employment agreement or otherwise will either be made to the NEO in full or as to such lesser amount as which would result in no portion of the payments and benefits being subject to an excise tax under Section 4999 of the Code, whichever of the foregoing amounts is greater on an after-tax basis.</w:t>
      </w:r>
    </w:p>
    <w:p>
      <w:pPr>
        <w:spacing w:after="0" w:line="150" w:lineRule="exact"/>
        <w:rPr>
          <w:sz w:val="20"/>
          <w:szCs w:val="20"/>
          <w:color w:val="auto"/>
        </w:rPr>
      </w:pPr>
    </w:p>
    <w:p>
      <w:pPr>
        <w:jc w:val="both"/>
        <w:ind w:right="80"/>
        <w:spacing w:after="0" w:line="283" w:lineRule="auto"/>
        <w:rPr>
          <w:sz w:val="20"/>
          <w:szCs w:val="20"/>
          <w:color w:val="auto"/>
        </w:rPr>
      </w:pPr>
      <w:r>
        <w:rPr>
          <w:rFonts w:ascii="Arial" w:cs="Arial" w:eastAsia="Arial" w:hAnsi="Arial"/>
          <w:sz w:val="17"/>
          <w:szCs w:val="17"/>
          <w:color w:val="auto"/>
        </w:rPr>
        <w:t>Each executive has also agreed to refrain from disclosing our confidential information during or at any time following the executive's employment with us and from competing with us or soliciting our employees or consultants for 12 months following termination of the executive's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7"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In accordance with SEC rules, the following table summarizes the payments that would be made to certain of our NEOs upon the occurrence of certain qualifying terminations of employment, assuming such NEO’s termination of employment with the Company occurred on December 31, 2023 and, where relevant, that a change in control of the Company occurred on December 31, 2023. Amounts shown in the table below do not include (1) accrued but unpaid salary and (2) other benefits earned or accrued by the NEOs during employment that are available to all salaried employees, such as accrued vacation.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1780" w:type="dxa"/>
            <w:vAlign w:val="bottom"/>
            <w:vMerge w:val="restart"/>
            <w:shd w:val="clear" w:color="auto" w:fill="D9D9D9"/>
          </w:tcPr>
          <w:p>
            <w:pPr>
              <w:ind w:left="720"/>
              <w:spacing w:after="0"/>
              <w:rPr>
                <w:sz w:val="20"/>
                <w:szCs w:val="20"/>
                <w:color w:val="auto"/>
              </w:rPr>
            </w:pPr>
            <w:r>
              <w:rPr>
                <w:rFonts w:ascii="Arial" w:cs="Arial" w:eastAsia="Arial" w:hAnsi="Arial"/>
                <w:sz w:val="13"/>
                <w:szCs w:val="13"/>
                <w:color w:val="auto"/>
              </w:rPr>
              <w:t>Name</w:t>
            </w:r>
          </w:p>
        </w:tc>
        <w:tc>
          <w:tcPr>
            <w:tcW w:w="2400" w:type="dxa"/>
            <w:vAlign w:val="bottom"/>
            <w:vMerge w:val="restart"/>
            <w:shd w:val="clear" w:color="auto" w:fill="D9D9D9"/>
          </w:tcPr>
          <w:p>
            <w:pPr>
              <w:ind w:left="1000"/>
              <w:spacing w:after="0"/>
              <w:rPr>
                <w:sz w:val="20"/>
                <w:szCs w:val="20"/>
                <w:color w:val="auto"/>
              </w:rPr>
            </w:pPr>
            <w:r>
              <w:rPr>
                <w:rFonts w:ascii="Arial" w:cs="Arial" w:eastAsia="Arial" w:hAnsi="Arial"/>
                <w:sz w:val="13"/>
                <w:szCs w:val="13"/>
                <w:color w:val="auto"/>
              </w:rPr>
              <w:t>Benefit</w:t>
            </w:r>
          </w:p>
        </w:tc>
        <w:tc>
          <w:tcPr>
            <w:tcW w:w="3120" w:type="dxa"/>
            <w:vAlign w:val="bottom"/>
            <w:gridSpan w:val="2"/>
            <w:shd w:val="clear" w:color="auto" w:fill="D9D9D9"/>
          </w:tcPr>
          <w:p>
            <w:pPr>
              <w:jc w:val="right"/>
              <w:ind w:right="31"/>
              <w:spacing w:after="0"/>
              <w:rPr>
                <w:sz w:val="20"/>
                <w:szCs w:val="20"/>
                <w:color w:val="auto"/>
              </w:rPr>
            </w:pPr>
            <w:r>
              <w:rPr>
                <w:rFonts w:ascii="Arial" w:cs="Arial" w:eastAsia="Arial" w:hAnsi="Arial"/>
                <w:sz w:val="13"/>
                <w:szCs w:val="13"/>
                <w:color w:val="auto"/>
              </w:rPr>
              <w:t>Termination Without Cause or for Good Reason (no</w:t>
            </w:r>
          </w:p>
        </w:tc>
        <w:tc>
          <w:tcPr>
            <w:tcW w:w="100" w:type="dxa"/>
            <w:vAlign w:val="bottom"/>
            <w:shd w:val="clear" w:color="auto" w:fill="D9D9D9"/>
          </w:tcPr>
          <w:p>
            <w:pPr>
              <w:spacing w:after="0"/>
              <w:rPr>
                <w:sz w:val="13"/>
                <w:szCs w:val="13"/>
                <w:color w:val="auto"/>
              </w:rPr>
            </w:pPr>
          </w:p>
        </w:tc>
        <w:tc>
          <w:tcPr>
            <w:tcW w:w="3840" w:type="dxa"/>
            <w:vAlign w:val="bottom"/>
            <w:gridSpan w:val="2"/>
            <w:shd w:val="clear" w:color="auto" w:fill="D9D9D9"/>
          </w:tcPr>
          <w:p>
            <w:pPr>
              <w:ind w:left="60"/>
              <w:spacing w:after="0"/>
              <w:rPr>
                <w:sz w:val="20"/>
                <w:szCs w:val="20"/>
                <w:color w:val="auto"/>
              </w:rPr>
            </w:pPr>
            <w:r>
              <w:rPr>
                <w:rFonts w:ascii="Arial" w:cs="Arial" w:eastAsia="Arial" w:hAnsi="Arial"/>
                <w:sz w:val="13"/>
                <w:szCs w:val="13"/>
                <w:color w:val="auto"/>
              </w:rPr>
              <w:t>Termination Without Cause or for Good Reason in Connection</w:t>
            </w:r>
          </w:p>
        </w:tc>
        <w:tc>
          <w:tcPr>
            <w:tcW w:w="0" w:type="dxa"/>
            <w:vAlign w:val="bottom"/>
          </w:tcPr>
          <w:p>
            <w:pPr>
              <w:spacing w:after="0"/>
              <w:rPr>
                <w:sz w:val="1"/>
                <w:szCs w:val="1"/>
                <w:color w:val="auto"/>
              </w:rPr>
            </w:pPr>
          </w:p>
        </w:tc>
      </w:tr>
      <w:tr>
        <w:trPr>
          <w:trHeight w:val="94"/>
        </w:trPr>
        <w:tc>
          <w:tcPr>
            <w:tcW w:w="1780" w:type="dxa"/>
            <w:vAlign w:val="bottom"/>
            <w:vMerge w:val="continue"/>
            <w:shd w:val="clear" w:color="auto" w:fill="D9D9D9"/>
          </w:tcPr>
          <w:p>
            <w:pPr>
              <w:spacing w:after="0"/>
              <w:rPr>
                <w:sz w:val="8"/>
                <w:szCs w:val="8"/>
                <w:color w:val="auto"/>
              </w:rPr>
            </w:pPr>
          </w:p>
        </w:tc>
        <w:tc>
          <w:tcPr>
            <w:tcW w:w="2400" w:type="dxa"/>
            <w:vAlign w:val="bottom"/>
            <w:vMerge w:val="continue"/>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3000" w:type="dxa"/>
            <w:vAlign w:val="bottom"/>
            <w:vMerge w:val="restart"/>
            <w:shd w:val="clear" w:color="auto" w:fill="D9D9D9"/>
          </w:tcPr>
          <w:p>
            <w:pPr>
              <w:jc w:val="right"/>
              <w:ind w:right="851"/>
              <w:spacing w:after="0"/>
              <w:rPr>
                <w:sz w:val="20"/>
                <w:szCs w:val="20"/>
                <w:color w:val="auto"/>
              </w:rPr>
            </w:pPr>
            <w:r>
              <w:rPr>
                <w:rFonts w:ascii="Arial" w:cs="Arial" w:eastAsia="Arial" w:hAnsi="Arial"/>
                <w:sz w:val="13"/>
                <w:szCs w:val="13"/>
                <w:color w:val="auto"/>
              </w:rPr>
              <w:t>Change in Control) ($)</w:t>
            </w:r>
          </w:p>
        </w:tc>
        <w:tc>
          <w:tcPr>
            <w:tcW w:w="100" w:type="dxa"/>
            <w:vAlign w:val="bottom"/>
            <w:shd w:val="clear" w:color="auto" w:fill="D9D9D9"/>
          </w:tcPr>
          <w:p>
            <w:pPr>
              <w:spacing w:after="0"/>
              <w:rPr>
                <w:sz w:val="8"/>
                <w:szCs w:val="8"/>
                <w:color w:val="auto"/>
              </w:rPr>
            </w:pPr>
          </w:p>
        </w:tc>
        <w:tc>
          <w:tcPr>
            <w:tcW w:w="3740" w:type="dxa"/>
            <w:vAlign w:val="bottom"/>
            <w:vMerge w:val="restart"/>
            <w:shd w:val="clear" w:color="auto" w:fill="D9D9D9"/>
          </w:tcPr>
          <w:p>
            <w:pPr>
              <w:jc w:val="right"/>
              <w:ind w:right="893"/>
              <w:spacing w:after="0"/>
              <w:rPr>
                <w:sz w:val="20"/>
                <w:szCs w:val="20"/>
                <w:color w:val="auto"/>
              </w:rPr>
            </w:pPr>
            <w:r>
              <w:rPr>
                <w:rFonts w:ascii="Arial" w:cs="Arial" w:eastAsia="Arial" w:hAnsi="Arial"/>
                <w:sz w:val="13"/>
                <w:szCs w:val="13"/>
                <w:color w:val="auto"/>
              </w:rPr>
              <w:t>with a Change in Control) ($)(1)</w:t>
            </w:r>
          </w:p>
        </w:tc>
        <w:tc>
          <w:tcPr>
            <w:tcW w:w="100" w:type="dxa"/>
            <w:vAlign w:val="bottom"/>
            <w:vMerge w:val="restart"/>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80" w:type="dxa"/>
            <w:vAlign w:val="bottom"/>
            <w:tcBorders>
              <w:bottom w:val="single" w:sz="8" w:color="auto"/>
            </w:tcBorders>
            <w:shd w:val="clear" w:color="auto" w:fill="D9D9D9"/>
          </w:tcPr>
          <w:p>
            <w:pPr>
              <w:spacing w:after="0"/>
              <w:rPr>
                <w:sz w:val="6"/>
                <w:szCs w:val="6"/>
                <w:color w:val="auto"/>
              </w:rPr>
            </w:pPr>
          </w:p>
        </w:tc>
        <w:tc>
          <w:tcPr>
            <w:tcW w:w="240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auto"/>
            </w:tcBorders>
            <w:shd w:val="clear" w:color="auto" w:fill="D9D9D9"/>
          </w:tcPr>
          <w:p>
            <w:pPr>
              <w:spacing w:after="0"/>
              <w:rPr>
                <w:sz w:val="6"/>
                <w:szCs w:val="6"/>
                <w:color w:val="auto"/>
              </w:rPr>
            </w:pPr>
          </w:p>
        </w:tc>
        <w:tc>
          <w:tcPr>
            <w:tcW w:w="3000" w:type="dxa"/>
            <w:vAlign w:val="bottom"/>
            <w:tcBorders>
              <w:bottom w:val="single" w:sz="8" w:color="auto"/>
            </w:tcBorders>
            <w:vMerge w:val="continue"/>
            <w:shd w:val="clear" w:color="auto" w:fill="D9D9D9"/>
          </w:tcPr>
          <w:p>
            <w:pPr>
              <w:spacing w:after="0"/>
              <w:rPr>
                <w:sz w:val="6"/>
                <w:szCs w:val="6"/>
                <w:color w:val="auto"/>
              </w:rPr>
            </w:pPr>
          </w:p>
        </w:tc>
        <w:tc>
          <w:tcPr>
            <w:tcW w:w="100" w:type="dxa"/>
            <w:vAlign w:val="bottom"/>
            <w:tcBorders>
              <w:bottom w:val="single" w:sz="8" w:color="D9D9D9"/>
            </w:tcBorders>
            <w:shd w:val="clear" w:color="auto" w:fill="D9D9D9"/>
          </w:tcPr>
          <w:p>
            <w:pPr>
              <w:spacing w:after="0"/>
              <w:rPr>
                <w:sz w:val="6"/>
                <w:szCs w:val="6"/>
                <w:color w:val="auto"/>
              </w:rPr>
            </w:pPr>
          </w:p>
        </w:tc>
        <w:tc>
          <w:tcPr>
            <w:tcW w:w="3740" w:type="dxa"/>
            <w:vAlign w:val="bottom"/>
            <w:tcBorders>
              <w:bottom w:val="single" w:sz="8" w:color="auto"/>
            </w:tcBorders>
            <w:vMerge w:val="continue"/>
            <w:shd w:val="clear" w:color="auto" w:fill="D9D9D9"/>
          </w:tcPr>
          <w:p>
            <w:pPr>
              <w:spacing w:after="0"/>
              <w:rPr>
                <w:sz w:val="6"/>
                <w:szCs w:val="6"/>
                <w:color w:val="auto"/>
              </w:rPr>
            </w:pPr>
          </w:p>
        </w:tc>
        <w:tc>
          <w:tcPr>
            <w:tcW w:w="100" w:type="dxa"/>
            <w:vAlign w:val="bottom"/>
            <w:tcBorders>
              <w:bottom w:val="single" w:sz="8" w:color="D9D9D9"/>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780" w:type="dxa"/>
            <w:vAlign w:val="bottom"/>
          </w:tcPr>
          <w:p>
            <w:pPr>
              <w:ind w:left="20"/>
              <w:spacing w:after="0"/>
              <w:rPr>
                <w:sz w:val="20"/>
                <w:szCs w:val="20"/>
                <w:color w:val="auto"/>
              </w:rPr>
            </w:pPr>
            <w:r>
              <w:rPr>
                <w:rFonts w:ascii="Arial" w:cs="Arial" w:eastAsia="Arial" w:hAnsi="Arial"/>
                <w:sz w:val="13"/>
                <w:szCs w:val="13"/>
                <w:color w:val="auto"/>
              </w:rPr>
              <w:t>Eric Shaff</w:t>
            </w:r>
          </w:p>
        </w:tc>
        <w:tc>
          <w:tcPr>
            <w:tcW w:w="2400" w:type="dxa"/>
            <w:vAlign w:val="bottom"/>
          </w:tcPr>
          <w:p>
            <w:pPr>
              <w:ind w:left="20"/>
              <w:spacing w:after="0"/>
              <w:rPr>
                <w:sz w:val="20"/>
                <w:szCs w:val="20"/>
                <w:color w:val="auto"/>
              </w:rPr>
            </w:pPr>
            <w:r>
              <w:rPr>
                <w:rFonts w:ascii="Arial" w:cs="Arial" w:eastAsia="Arial" w:hAnsi="Arial"/>
                <w:sz w:val="13"/>
                <w:szCs w:val="13"/>
                <w:color w:val="auto"/>
              </w:rPr>
              <w:t>Continued Base Salary</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1,027,500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1,027,500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Bonus Lump Sum</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493,200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Continued Healthcare</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54,417</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54,417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Equity Acceleration (2)</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115,534</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213,972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Total (3)</w:t>
            </w: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1,197,450</w:t>
            </w: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1,789,089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D9D9D9"/>
          </w:tcPr>
          <w:p>
            <w:pPr>
              <w:ind w:left="20"/>
              <w:spacing w:after="0"/>
              <w:rPr>
                <w:sz w:val="20"/>
                <w:szCs w:val="20"/>
                <w:color w:val="auto"/>
              </w:rPr>
            </w:pPr>
            <w:r>
              <w:rPr>
                <w:rFonts w:ascii="Arial" w:cs="Arial" w:eastAsia="Arial" w:hAnsi="Arial"/>
                <w:sz w:val="13"/>
                <w:szCs w:val="13"/>
                <w:color w:val="auto"/>
              </w:rPr>
              <w:t>Teresa L. Young, Ph.D.</w:t>
            </w:r>
          </w:p>
        </w:tc>
        <w:tc>
          <w:tcPr>
            <w:tcW w:w="2400" w:type="dxa"/>
            <w:vAlign w:val="bottom"/>
            <w:shd w:val="clear" w:color="auto" w:fill="D9D9D9"/>
          </w:tcPr>
          <w:p>
            <w:pPr>
              <w:ind w:left="20"/>
              <w:spacing w:after="0"/>
              <w:rPr>
                <w:sz w:val="20"/>
                <w:szCs w:val="20"/>
                <w:color w:val="auto"/>
              </w:rPr>
            </w:pPr>
            <w:r>
              <w:rPr>
                <w:rFonts w:ascii="Arial" w:cs="Arial" w:eastAsia="Arial" w:hAnsi="Arial"/>
                <w:sz w:val="13"/>
                <w:szCs w:val="13"/>
                <w:color w:val="auto"/>
              </w:rPr>
              <w:t>Continued Base Salary</w:t>
            </w:r>
          </w:p>
        </w:tc>
        <w:tc>
          <w:tcPr>
            <w:tcW w:w="31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437,000</w:t>
            </w:r>
          </w:p>
        </w:tc>
        <w:tc>
          <w:tcPr>
            <w:tcW w:w="38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437,000</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D9D9D9"/>
          </w:tcPr>
          <w:p>
            <w:pPr>
              <w:spacing w:after="0"/>
              <w:rPr>
                <w:sz w:val="15"/>
                <w:szCs w:val="15"/>
                <w:color w:val="auto"/>
              </w:rPr>
            </w:pPr>
          </w:p>
        </w:tc>
        <w:tc>
          <w:tcPr>
            <w:tcW w:w="2400" w:type="dxa"/>
            <w:vAlign w:val="bottom"/>
            <w:shd w:val="clear" w:color="auto" w:fill="D9D9D9"/>
          </w:tcPr>
          <w:p>
            <w:pPr>
              <w:ind w:left="20"/>
              <w:spacing w:after="0"/>
              <w:rPr>
                <w:sz w:val="20"/>
                <w:szCs w:val="20"/>
                <w:color w:val="auto"/>
              </w:rPr>
            </w:pPr>
            <w:r>
              <w:rPr>
                <w:rFonts w:ascii="Arial" w:cs="Arial" w:eastAsia="Arial" w:hAnsi="Arial"/>
                <w:sz w:val="13"/>
                <w:szCs w:val="13"/>
                <w:color w:val="auto"/>
              </w:rPr>
              <w:t>Bonus Lump Sum</w:t>
            </w:r>
          </w:p>
        </w:tc>
        <w:tc>
          <w:tcPr>
            <w:tcW w:w="31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8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167,808</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D9D9D9"/>
          </w:tcPr>
          <w:p>
            <w:pPr>
              <w:spacing w:after="0"/>
              <w:rPr>
                <w:sz w:val="15"/>
                <w:szCs w:val="15"/>
                <w:color w:val="auto"/>
              </w:rPr>
            </w:pPr>
          </w:p>
        </w:tc>
        <w:tc>
          <w:tcPr>
            <w:tcW w:w="2400" w:type="dxa"/>
            <w:vAlign w:val="bottom"/>
            <w:shd w:val="clear" w:color="auto" w:fill="D9D9D9"/>
          </w:tcPr>
          <w:p>
            <w:pPr>
              <w:ind w:left="20"/>
              <w:spacing w:after="0"/>
              <w:rPr>
                <w:sz w:val="20"/>
                <w:szCs w:val="20"/>
                <w:color w:val="auto"/>
              </w:rPr>
            </w:pPr>
            <w:r>
              <w:rPr>
                <w:rFonts w:ascii="Arial" w:cs="Arial" w:eastAsia="Arial" w:hAnsi="Arial"/>
                <w:sz w:val="13"/>
                <w:szCs w:val="13"/>
                <w:color w:val="auto"/>
              </w:rPr>
              <w:t>Continued Healthcare</w:t>
            </w:r>
          </w:p>
        </w:tc>
        <w:tc>
          <w:tcPr>
            <w:tcW w:w="120" w:type="dxa"/>
            <w:vAlign w:val="bottom"/>
            <w:shd w:val="clear" w:color="auto" w:fill="D9D9D9"/>
          </w:tcPr>
          <w:p>
            <w:pPr>
              <w:spacing w:after="0"/>
              <w:rPr>
                <w:sz w:val="15"/>
                <w:szCs w:val="15"/>
                <w:color w:val="auto"/>
              </w:rPr>
            </w:pPr>
          </w:p>
        </w:tc>
        <w:tc>
          <w:tcPr>
            <w:tcW w:w="3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12,453</w:t>
            </w:r>
          </w:p>
        </w:tc>
        <w:tc>
          <w:tcPr>
            <w:tcW w:w="38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12,453</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D9D9D9"/>
          </w:tcPr>
          <w:p>
            <w:pPr>
              <w:spacing w:after="0"/>
              <w:rPr>
                <w:sz w:val="15"/>
                <w:szCs w:val="15"/>
                <w:color w:val="auto"/>
              </w:rPr>
            </w:pPr>
          </w:p>
        </w:tc>
        <w:tc>
          <w:tcPr>
            <w:tcW w:w="2400" w:type="dxa"/>
            <w:vAlign w:val="bottom"/>
            <w:shd w:val="clear" w:color="auto" w:fill="D9D9D9"/>
          </w:tcPr>
          <w:p>
            <w:pPr>
              <w:ind w:left="20"/>
              <w:spacing w:after="0"/>
              <w:rPr>
                <w:sz w:val="20"/>
                <w:szCs w:val="20"/>
                <w:color w:val="auto"/>
              </w:rPr>
            </w:pPr>
            <w:r>
              <w:rPr>
                <w:rFonts w:ascii="Arial" w:cs="Arial" w:eastAsia="Arial" w:hAnsi="Arial"/>
                <w:sz w:val="13"/>
                <w:szCs w:val="13"/>
                <w:color w:val="auto"/>
              </w:rPr>
              <w:t>Equity Acceleration (2)</w:t>
            </w:r>
          </w:p>
        </w:tc>
        <w:tc>
          <w:tcPr>
            <w:tcW w:w="120" w:type="dxa"/>
            <w:vAlign w:val="bottom"/>
            <w:shd w:val="clear" w:color="auto" w:fill="D9D9D9"/>
          </w:tcPr>
          <w:p>
            <w:pPr>
              <w:spacing w:after="0"/>
              <w:rPr>
                <w:sz w:val="15"/>
                <w:szCs w:val="15"/>
                <w:color w:val="auto"/>
              </w:rPr>
            </w:pPr>
          </w:p>
        </w:tc>
        <w:tc>
          <w:tcPr>
            <w:tcW w:w="3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8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194,404</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D9D9D9"/>
          </w:tcPr>
          <w:p>
            <w:pPr>
              <w:spacing w:after="0"/>
              <w:rPr>
                <w:sz w:val="15"/>
                <w:szCs w:val="15"/>
                <w:color w:val="auto"/>
              </w:rPr>
            </w:pPr>
          </w:p>
        </w:tc>
        <w:tc>
          <w:tcPr>
            <w:tcW w:w="2400" w:type="dxa"/>
            <w:vAlign w:val="bottom"/>
            <w:shd w:val="clear" w:color="auto" w:fill="D9D9D9"/>
          </w:tcPr>
          <w:p>
            <w:pPr>
              <w:ind w:left="20"/>
              <w:spacing w:after="0"/>
              <w:rPr>
                <w:sz w:val="20"/>
                <w:szCs w:val="20"/>
                <w:color w:val="auto"/>
              </w:rPr>
            </w:pPr>
            <w:r>
              <w:rPr>
                <w:rFonts w:ascii="Arial" w:cs="Arial" w:eastAsia="Arial" w:hAnsi="Arial"/>
                <w:sz w:val="13"/>
                <w:szCs w:val="13"/>
                <w:b w:val="1"/>
                <w:bCs w:val="1"/>
                <w:color w:val="auto"/>
              </w:rPr>
              <w:t>Total (3)</w:t>
            </w:r>
          </w:p>
        </w:tc>
        <w:tc>
          <w:tcPr>
            <w:tcW w:w="120" w:type="dxa"/>
            <w:vAlign w:val="bottom"/>
            <w:shd w:val="clear" w:color="auto" w:fill="D9D9D9"/>
          </w:tcPr>
          <w:p>
            <w:pPr>
              <w:spacing w:after="0"/>
              <w:rPr>
                <w:sz w:val="15"/>
                <w:szCs w:val="15"/>
                <w:color w:val="auto"/>
              </w:rPr>
            </w:pPr>
          </w:p>
        </w:tc>
        <w:tc>
          <w:tcPr>
            <w:tcW w:w="30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449,453</w:t>
            </w:r>
          </w:p>
        </w:tc>
        <w:tc>
          <w:tcPr>
            <w:tcW w:w="384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811,665</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tcPr>
          <w:p>
            <w:pPr>
              <w:ind w:left="20"/>
              <w:spacing w:after="0"/>
              <w:rPr>
                <w:sz w:val="20"/>
                <w:szCs w:val="20"/>
                <w:color w:val="auto"/>
              </w:rPr>
            </w:pPr>
            <w:r>
              <w:rPr>
                <w:rFonts w:ascii="Arial" w:cs="Arial" w:eastAsia="Arial" w:hAnsi="Arial"/>
                <w:sz w:val="13"/>
                <w:szCs w:val="13"/>
                <w:color w:val="auto"/>
              </w:rPr>
              <w:t>Lisa von Moltke, M.D.</w:t>
            </w:r>
          </w:p>
        </w:tc>
        <w:tc>
          <w:tcPr>
            <w:tcW w:w="2400" w:type="dxa"/>
            <w:vAlign w:val="bottom"/>
          </w:tcPr>
          <w:p>
            <w:pPr>
              <w:ind w:left="20"/>
              <w:spacing w:after="0"/>
              <w:rPr>
                <w:sz w:val="20"/>
                <w:szCs w:val="20"/>
                <w:color w:val="auto"/>
              </w:rPr>
            </w:pPr>
            <w:r>
              <w:rPr>
                <w:rFonts w:ascii="Arial" w:cs="Arial" w:eastAsia="Arial" w:hAnsi="Arial"/>
                <w:sz w:val="13"/>
                <w:szCs w:val="13"/>
                <w:color w:val="auto"/>
              </w:rPr>
              <w:t>Continued Base Salary</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515,000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515,000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Bonus Lump Sum</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201,880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Continued Healthcare</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13,116</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13,116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Equity Acceleration (2)</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85,742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(3)</w:t>
            </w:r>
          </w:p>
        </w:tc>
        <w:tc>
          <w:tcPr>
            <w:tcW w:w="3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528,116</w:t>
            </w:r>
          </w:p>
        </w:tc>
        <w:tc>
          <w:tcPr>
            <w:tcW w:w="100" w:type="dxa"/>
            <w:vAlign w:val="bottom"/>
          </w:tcPr>
          <w:p>
            <w:pPr>
              <w:spacing w:after="0"/>
              <w:rPr>
                <w:sz w:val="15"/>
                <w:szCs w:val="15"/>
                <w:color w:val="auto"/>
              </w:rPr>
            </w:pP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-1760855</wp:posOffset>
            </wp:positionV>
            <wp:extent cx="666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-1760855</wp:posOffset>
            </wp:positionV>
            <wp:extent cx="666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88" w:lineRule="exact"/>
        <w:rPr>
          <w:sz w:val="20"/>
          <w:szCs w:val="20"/>
          <w:color w:val="auto"/>
        </w:rPr>
      </w:pPr>
    </w:p>
    <w:p>
      <w:pPr>
        <w:ind w:left="500" w:hanging="376"/>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awards are not assumed or substituted in connection with the change in control.</w:t>
      </w:r>
    </w:p>
    <w:p>
      <w:pPr>
        <w:spacing w:after="0" w:line="48" w:lineRule="exact"/>
        <w:rPr>
          <w:rFonts w:ascii="Arial" w:cs="Arial" w:eastAsia="Arial" w:hAnsi="Arial"/>
          <w:sz w:val="14"/>
          <w:szCs w:val="14"/>
          <w:color w:val="auto"/>
        </w:rPr>
      </w:pPr>
    </w:p>
    <w:p>
      <w:pPr>
        <w:ind w:left="500" w:right="100" w:hanging="376"/>
        <w:spacing w:after="0" w:line="245"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options, the value of equity acceleration was calculated by multiplying (i) the number of accelerated shares of common stock underlying the options by (ii) the excess, if any, of $1.40, the closing trading price of our common stock on December 29, 2023, over the exercise price for the options. With respect to RSUs and PSUs, the value of equity acceleration was calculated by multiplying the number of accelerated RSUs and/or PSUs, as applicable, by $1.40, the closing trading price of our common stock on December 29, 2023.</w:t>
      </w:r>
    </w:p>
    <w:p>
      <w:pPr>
        <w:spacing w:after="0" w:line="22" w:lineRule="exact"/>
        <w:rPr>
          <w:rFonts w:ascii="Arial" w:cs="Arial" w:eastAsia="Arial" w:hAnsi="Arial"/>
          <w:sz w:val="14"/>
          <w:szCs w:val="14"/>
          <w:color w:val="auto"/>
        </w:rPr>
      </w:pPr>
    </w:p>
    <w:p>
      <w:pPr>
        <w:ind w:left="500" w:right="440" w:hanging="376"/>
        <w:spacing w:after="0" w:line="268"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NEO would have received as of December 31, 2023. Amounts of any reduction pursuant to the 280G best pay provision, if any, would be calculated upon actual termination of employment.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6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accordance with the SEC’s disclosure requirements regarding pay versus performance, this section presents the SEC-defined “Compensation Actually Paid,” or CAP. Also required by the SEC, this section compares CAP to various measures used to gauge our performance. CAP is a supplemental measure to be viewed alongside performance measures as an addition to the philosophy and strategy of compensation-setting discussed elsewhere in this proxy statement, not in replacement.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Versus Performance Table</w:t>
      </w:r>
    </w:p>
    <w:p>
      <w:pPr>
        <w:spacing w:after="0" w:line="1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following table sets forth information concerning the compensation of our NEOs for each of the fiscal years ended December 31, 2021, 2022 and 2023, and our financial performance for each such fiscal year: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shd w:val="clear" w:color="auto" w:fill="D9D9D9"/>
          </w:tcPr>
          <w:p>
            <w:pPr>
              <w:spacing w:after="0"/>
              <w:rPr>
                <w:sz w:val="12"/>
                <w:szCs w:val="12"/>
                <w:color w:val="auto"/>
              </w:rPr>
            </w:pPr>
          </w:p>
        </w:tc>
        <w:tc>
          <w:tcPr>
            <w:tcW w:w="1700" w:type="dxa"/>
            <w:vAlign w:val="bottom"/>
            <w:shd w:val="clear" w:color="auto" w:fill="D9D9D9"/>
          </w:tcPr>
          <w:p>
            <w:pPr>
              <w:spacing w:after="0"/>
              <w:rPr>
                <w:sz w:val="12"/>
                <w:szCs w:val="12"/>
                <w:color w:val="auto"/>
              </w:rPr>
            </w:pPr>
          </w:p>
        </w:tc>
        <w:tc>
          <w:tcPr>
            <w:tcW w:w="1680" w:type="dxa"/>
            <w:vAlign w:val="bottom"/>
            <w:shd w:val="clear" w:color="auto" w:fill="D9D9D9"/>
          </w:tcPr>
          <w:p>
            <w:pPr>
              <w:spacing w:after="0"/>
              <w:rPr>
                <w:sz w:val="12"/>
                <w:szCs w:val="12"/>
                <w:color w:val="auto"/>
              </w:rPr>
            </w:pPr>
          </w:p>
        </w:tc>
        <w:tc>
          <w:tcPr>
            <w:tcW w:w="1920" w:type="dxa"/>
            <w:vAlign w:val="bottom"/>
            <w:shd w:val="clear" w:color="auto" w:fill="D9D9D9"/>
          </w:tcPr>
          <w:p>
            <w:pPr>
              <w:spacing w:after="0"/>
              <w:rPr>
                <w:sz w:val="12"/>
                <w:szCs w:val="12"/>
                <w:color w:val="auto"/>
              </w:rPr>
            </w:pPr>
          </w:p>
        </w:tc>
        <w:tc>
          <w:tcPr>
            <w:tcW w:w="1740" w:type="dxa"/>
            <w:vAlign w:val="bottom"/>
            <w:shd w:val="clear" w:color="auto" w:fill="D9D9D9"/>
          </w:tcPr>
          <w:p>
            <w:pPr>
              <w:spacing w:after="0"/>
              <w:rPr>
                <w:sz w:val="12"/>
                <w:szCs w:val="12"/>
                <w:color w:val="auto"/>
              </w:rPr>
            </w:pPr>
          </w:p>
        </w:tc>
        <w:tc>
          <w:tcPr>
            <w:tcW w:w="1480" w:type="dxa"/>
            <w:vAlign w:val="bottom"/>
            <w:shd w:val="clear" w:color="auto" w:fill="D9D9D9"/>
          </w:tcPr>
          <w:p>
            <w:pPr>
              <w:jc w:val="center"/>
              <w:ind w:right="135"/>
              <w:spacing w:after="0"/>
              <w:rPr>
                <w:sz w:val="20"/>
                <w:szCs w:val="20"/>
                <w:color w:val="auto"/>
              </w:rPr>
            </w:pPr>
            <w:r>
              <w:rPr>
                <w:rFonts w:ascii="Arial" w:cs="Arial" w:eastAsia="Arial" w:hAnsi="Arial"/>
                <w:sz w:val="13"/>
                <w:szCs w:val="13"/>
                <w:color w:val="auto"/>
                <w:w w:val="99"/>
              </w:rPr>
              <w:t>Value of Initial Fixed</w:t>
            </w:r>
          </w:p>
        </w:tc>
        <w:tc>
          <w:tcPr>
            <w:tcW w:w="16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shd w:val="clear" w:color="auto" w:fill="D9D9D9"/>
          </w:tcPr>
          <w:p>
            <w:pPr>
              <w:spacing w:after="0"/>
              <w:rPr>
                <w:sz w:val="12"/>
                <w:szCs w:val="12"/>
                <w:color w:val="auto"/>
              </w:rPr>
            </w:pPr>
          </w:p>
        </w:tc>
        <w:tc>
          <w:tcPr>
            <w:tcW w:w="1700" w:type="dxa"/>
            <w:vAlign w:val="bottom"/>
            <w:shd w:val="clear" w:color="auto" w:fill="D9D9D9"/>
          </w:tcPr>
          <w:p>
            <w:pPr>
              <w:jc w:val="center"/>
              <w:spacing w:after="0" w:line="144" w:lineRule="exact"/>
              <w:rPr>
                <w:sz w:val="20"/>
                <w:szCs w:val="20"/>
                <w:color w:val="auto"/>
              </w:rPr>
            </w:pPr>
            <w:r>
              <w:rPr>
                <w:rFonts w:ascii="Arial" w:cs="Arial" w:eastAsia="Arial" w:hAnsi="Arial"/>
                <w:sz w:val="13"/>
                <w:szCs w:val="13"/>
                <w:color w:val="auto"/>
              </w:rPr>
              <w:t>Summary</w:t>
            </w:r>
          </w:p>
        </w:tc>
        <w:tc>
          <w:tcPr>
            <w:tcW w:w="1680" w:type="dxa"/>
            <w:vAlign w:val="bottom"/>
            <w:vMerge w:val="restart"/>
            <w:shd w:val="clear" w:color="auto" w:fill="D9D9D9"/>
          </w:tcPr>
          <w:p>
            <w:pPr>
              <w:jc w:val="right"/>
              <w:ind w:right="175"/>
              <w:spacing w:after="0"/>
              <w:rPr>
                <w:sz w:val="20"/>
                <w:szCs w:val="20"/>
                <w:color w:val="auto"/>
              </w:rPr>
            </w:pPr>
            <w:r>
              <w:rPr>
                <w:rFonts w:ascii="Arial" w:cs="Arial" w:eastAsia="Arial" w:hAnsi="Arial"/>
                <w:sz w:val="13"/>
                <w:szCs w:val="13"/>
                <w:color w:val="auto"/>
              </w:rPr>
              <w:t>Compensation Actually</w:t>
            </w:r>
          </w:p>
        </w:tc>
        <w:tc>
          <w:tcPr>
            <w:tcW w:w="1920" w:type="dxa"/>
            <w:vAlign w:val="bottom"/>
            <w:shd w:val="clear" w:color="auto" w:fill="D9D9D9"/>
          </w:tcPr>
          <w:p>
            <w:pPr>
              <w:jc w:val="center"/>
              <w:ind w:right="15"/>
              <w:spacing w:after="0" w:line="144" w:lineRule="exact"/>
              <w:rPr>
                <w:sz w:val="20"/>
                <w:szCs w:val="20"/>
                <w:color w:val="auto"/>
              </w:rPr>
            </w:pPr>
            <w:r>
              <w:rPr>
                <w:rFonts w:ascii="Arial" w:cs="Arial" w:eastAsia="Arial" w:hAnsi="Arial"/>
                <w:sz w:val="13"/>
                <w:szCs w:val="13"/>
                <w:color w:val="auto"/>
              </w:rPr>
              <w:t>Average Summary</w:t>
            </w:r>
          </w:p>
        </w:tc>
        <w:tc>
          <w:tcPr>
            <w:tcW w:w="1740" w:type="dxa"/>
            <w:vAlign w:val="bottom"/>
            <w:shd w:val="clear" w:color="auto" w:fill="D9D9D9"/>
          </w:tcPr>
          <w:p>
            <w:pPr>
              <w:jc w:val="center"/>
              <w:ind w:right="15"/>
              <w:spacing w:after="0" w:line="144" w:lineRule="exact"/>
              <w:rPr>
                <w:sz w:val="20"/>
                <w:szCs w:val="20"/>
                <w:color w:val="auto"/>
              </w:rPr>
            </w:pPr>
            <w:r>
              <w:rPr>
                <w:rFonts w:ascii="Arial" w:cs="Arial" w:eastAsia="Arial" w:hAnsi="Arial"/>
                <w:sz w:val="13"/>
                <w:szCs w:val="13"/>
                <w:color w:val="auto"/>
              </w:rPr>
              <w:t>Average Compensation</w:t>
            </w:r>
          </w:p>
        </w:tc>
        <w:tc>
          <w:tcPr>
            <w:tcW w:w="1480" w:type="dxa"/>
            <w:vAlign w:val="bottom"/>
            <w:shd w:val="clear" w:color="auto" w:fill="D9D9D9"/>
          </w:tcPr>
          <w:p>
            <w:pPr>
              <w:jc w:val="center"/>
              <w:ind w:right="135"/>
              <w:spacing w:after="0" w:line="144" w:lineRule="exact"/>
              <w:rPr>
                <w:sz w:val="20"/>
                <w:szCs w:val="20"/>
                <w:color w:val="auto"/>
              </w:rPr>
            </w:pPr>
            <w:r>
              <w:rPr>
                <w:rFonts w:ascii="Arial" w:cs="Arial" w:eastAsia="Arial" w:hAnsi="Arial"/>
                <w:sz w:val="13"/>
                <w:szCs w:val="13"/>
                <w:color w:val="auto"/>
                <w:w w:val="99"/>
              </w:rPr>
              <w:t>$100 Investment</w:t>
            </w:r>
          </w:p>
        </w:tc>
        <w:tc>
          <w:tcPr>
            <w:tcW w:w="16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080" w:type="dxa"/>
            <w:vAlign w:val="bottom"/>
            <w:vMerge w:val="restart"/>
            <w:shd w:val="clear" w:color="auto" w:fill="D9D9D9"/>
          </w:tcPr>
          <w:p>
            <w:pPr>
              <w:ind w:left="520"/>
              <w:spacing w:after="0" w:line="144" w:lineRule="exact"/>
              <w:rPr>
                <w:sz w:val="20"/>
                <w:szCs w:val="20"/>
                <w:color w:val="auto"/>
              </w:rPr>
            </w:pPr>
            <w:r>
              <w:rPr>
                <w:rFonts w:ascii="Arial" w:cs="Arial" w:eastAsia="Arial" w:hAnsi="Arial"/>
                <w:sz w:val="13"/>
                <w:szCs w:val="13"/>
                <w:color w:val="auto"/>
              </w:rPr>
              <w:t>Year</w:t>
            </w:r>
          </w:p>
        </w:tc>
        <w:tc>
          <w:tcPr>
            <w:tcW w:w="170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Compensation Table</w:t>
            </w:r>
          </w:p>
        </w:tc>
        <w:tc>
          <w:tcPr>
            <w:tcW w:w="1680" w:type="dxa"/>
            <w:vAlign w:val="bottom"/>
            <w:vMerge w:val="continue"/>
            <w:shd w:val="clear" w:color="auto" w:fill="D9D9D9"/>
          </w:tcPr>
          <w:p>
            <w:pPr>
              <w:spacing w:after="0"/>
              <w:rPr>
                <w:sz w:val="5"/>
                <w:szCs w:val="5"/>
                <w:color w:val="auto"/>
              </w:rPr>
            </w:pPr>
          </w:p>
        </w:tc>
        <w:tc>
          <w:tcPr>
            <w:tcW w:w="1920" w:type="dxa"/>
            <w:vAlign w:val="bottom"/>
            <w:vMerge w:val="restart"/>
            <w:shd w:val="clear" w:color="auto" w:fill="D9D9D9"/>
          </w:tcPr>
          <w:p>
            <w:pPr>
              <w:jc w:val="center"/>
              <w:ind w:right="35"/>
              <w:spacing w:after="0" w:line="144" w:lineRule="exact"/>
              <w:rPr>
                <w:sz w:val="20"/>
                <w:szCs w:val="20"/>
                <w:color w:val="auto"/>
              </w:rPr>
            </w:pPr>
            <w:r>
              <w:rPr>
                <w:rFonts w:ascii="Arial" w:cs="Arial" w:eastAsia="Arial" w:hAnsi="Arial"/>
                <w:sz w:val="13"/>
                <w:szCs w:val="13"/>
                <w:color w:val="auto"/>
                <w:w w:val="99"/>
              </w:rPr>
              <w:t>Compensation Table Total for</w:t>
            </w:r>
          </w:p>
        </w:tc>
        <w:tc>
          <w:tcPr>
            <w:tcW w:w="1740" w:type="dxa"/>
            <w:vAlign w:val="bottom"/>
            <w:vMerge w:val="restart"/>
            <w:shd w:val="clear" w:color="auto" w:fill="D9D9D9"/>
          </w:tcPr>
          <w:p>
            <w:pPr>
              <w:jc w:val="center"/>
              <w:ind w:right="15"/>
              <w:spacing w:after="0" w:line="144" w:lineRule="exact"/>
              <w:rPr>
                <w:sz w:val="20"/>
                <w:szCs w:val="20"/>
                <w:color w:val="auto"/>
              </w:rPr>
            </w:pPr>
            <w:r>
              <w:rPr>
                <w:rFonts w:ascii="Arial" w:cs="Arial" w:eastAsia="Arial" w:hAnsi="Arial"/>
                <w:sz w:val="13"/>
                <w:szCs w:val="13"/>
                <w:color w:val="auto"/>
              </w:rPr>
              <w:t>Actually Paid to Non-PEO</w:t>
            </w:r>
          </w:p>
        </w:tc>
        <w:tc>
          <w:tcPr>
            <w:tcW w:w="1480" w:type="dxa"/>
            <w:vAlign w:val="bottom"/>
            <w:vMerge w:val="restart"/>
            <w:shd w:val="clear" w:color="auto" w:fill="D9D9D9"/>
          </w:tcPr>
          <w:p>
            <w:pPr>
              <w:jc w:val="center"/>
              <w:ind w:right="115"/>
              <w:spacing w:after="0" w:line="144" w:lineRule="exact"/>
              <w:rPr>
                <w:sz w:val="20"/>
                <w:szCs w:val="20"/>
                <w:color w:val="auto"/>
              </w:rPr>
            </w:pPr>
            <w:r>
              <w:rPr>
                <w:rFonts w:ascii="Arial" w:cs="Arial" w:eastAsia="Arial" w:hAnsi="Arial"/>
                <w:sz w:val="13"/>
                <w:szCs w:val="13"/>
                <w:color w:val="auto"/>
                <w:w w:val="98"/>
              </w:rPr>
              <w:t>Based on Total</w:t>
            </w:r>
          </w:p>
        </w:tc>
        <w:tc>
          <w:tcPr>
            <w:tcW w:w="1640" w:type="dxa"/>
            <w:vAlign w:val="bottom"/>
            <w:vMerge w:val="restart"/>
            <w:shd w:val="clear" w:color="auto" w:fill="D9D9D9"/>
          </w:tcPr>
          <w:p>
            <w:pPr>
              <w:jc w:val="right"/>
              <w:ind w:right="455"/>
              <w:spacing w:after="0" w:line="144" w:lineRule="exact"/>
              <w:rPr>
                <w:sz w:val="20"/>
                <w:szCs w:val="20"/>
                <w:color w:val="auto"/>
              </w:rPr>
            </w:pPr>
            <w:r>
              <w:rPr>
                <w:rFonts w:ascii="Arial" w:cs="Arial" w:eastAsia="Arial" w:hAnsi="Arial"/>
                <w:sz w:val="13"/>
                <w:szCs w:val="13"/>
                <w:color w:val="auto"/>
              </w:rPr>
              <w:t>Net Income ($)</w:t>
            </w:r>
          </w:p>
        </w:tc>
        <w:tc>
          <w:tcPr>
            <w:tcW w:w="0" w:type="dxa"/>
            <w:vAlign w:val="bottom"/>
          </w:tcPr>
          <w:p>
            <w:pPr>
              <w:spacing w:after="0"/>
              <w:rPr>
                <w:sz w:val="1"/>
                <w:szCs w:val="1"/>
                <w:color w:val="auto"/>
              </w:rPr>
            </w:pPr>
          </w:p>
        </w:tc>
      </w:tr>
      <w:tr>
        <w:trPr>
          <w:trHeight w:val="79"/>
        </w:trPr>
        <w:tc>
          <w:tcPr>
            <w:tcW w:w="1080" w:type="dxa"/>
            <w:vAlign w:val="bottom"/>
            <w:vMerge w:val="continue"/>
            <w:shd w:val="clear" w:color="auto" w:fill="D9D9D9"/>
          </w:tcPr>
          <w:p>
            <w:pPr>
              <w:spacing w:after="0"/>
              <w:rPr>
                <w:sz w:val="6"/>
                <w:szCs w:val="6"/>
                <w:color w:val="auto"/>
              </w:rPr>
            </w:pPr>
          </w:p>
        </w:tc>
        <w:tc>
          <w:tcPr>
            <w:tcW w:w="1700" w:type="dxa"/>
            <w:vAlign w:val="bottom"/>
            <w:vMerge w:val="continue"/>
            <w:shd w:val="clear" w:color="auto" w:fill="D9D9D9"/>
          </w:tcPr>
          <w:p>
            <w:pPr>
              <w:spacing w:after="0"/>
              <w:rPr>
                <w:sz w:val="6"/>
                <w:szCs w:val="6"/>
                <w:color w:val="auto"/>
              </w:rPr>
            </w:pPr>
          </w:p>
        </w:tc>
        <w:tc>
          <w:tcPr>
            <w:tcW w:w="1680" w:type="dxa"/>
            <w:vAlign w:val="bottom"/>
            <w:vMerge w:val="restart"/>
            <w:shd w:val="clear" w:color="auto" w:fill="D9D9D9"/>
          </w:tcPr>
          <w:p>
            <w:pPr>
              <w:jc w:val="right"/>
              <w:ind w:right="215"/>
              <w:spacing w:after="0"/>
              <w:rPr>
                <w:sz w:val="20"/>
                <w:szCs w:val="20"/>
                <w:color w:val="auto"/>
              </w:rPr>
            </w:pPr>
            <w:r>
              <w:rPr>
                <w:rFonts w:ascii="Arial" w:cs="Arial" w:eastAsia="Arial" w:hAnsi="Arial"/>
                <w:sz w:val="13"/>
                <w:szCs w:val="13"/>
                <w:color w:val="auto"/>
              </w:rPr>
              <w:t>Paid to PEO ($)(1)(2)</w:t>
            </w:r>
          </w:p>
        </w:tc>
        <w:tc>
          <w:tcPr>
            <w:tcW w:w="1920" w:type="dxa"/>
            <w:vAlign w:val="bottom"/>
            <w:vMerge w:val="continue"/>
            <w:shd w:val="clear" w:color="auto" w:fill="D9D9D9"/>
          </w:tcPr>
          <w:p>
            <w:pPr>
              <w:spacing w:after="0"/>
              <w:rPr>
                <w:sz w:val="6"/>
                <w:szCs w:val="6"/>
                <w:color w:val="auto"/>
              </w:rPr>
            </w:pPr>
          </w:p>
        </w:tc>
        <w:tc>
          <w:tcPr>
            <w:tcW w:w="1740" w:type="dxa"/>
            <w:vAlign w:val="bottom"/>
            <w:vMerge w:val="continue"/>
            <w:shd w:val="clear" w:color="auto" w:fill="D9D9D9"/>
          </w:tcPr>
          <w:p>
            <w:pPr>
              <w:spacing w:after="0"/>
              <w:rPr>
                <w:sz w:val="6"/>
                <w:szCs w:val="6"/>
                <w:color w:val="auto"/>
              </w:rPr>
            </w:pPr>
          </w:p>
        </w:tc>
        <w:tc>
          <w:tcPr>
            <w:tcW w:w="1480" w:type="dxa"/>
            <w:vAlign w:val="bottom"/>
            <w:vMerge w:val="continue"/>
            <w:shd w:val="clear" w:color="auto" w:fill="D9D9D9"/>
          </w:tcPr>
          <w:p>
            <w:pPr>
              <w:spacing w:after="0"/>
              <w:rPr>
                <w:sz w:val="6"/>
                <w:szCs w:val="6"/>
                <w:color w:val="auto"/>
              </w:rPr>
            </w:pPr>
          </w:p>
        </w:tc>
        <w:tc>
          <w:tcPr>
            <w:tcW w:w="164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080" w:type="dxa"/>
            <w:vAlign w:val="bottom"/>
            <w:shd w:val="clear" w:color="auto" w:fill="D9D9D9"/>
          </w:tcPr>
          <w:p>
            <w:pPr>
              <w:spacing w:after="0"/>
              <w:rPr>
                <w:sz w:val="8"/>
                <w:szCs w:val="8"/>
                <w:color w:val="auto"/>
              </w:rPr>
            </w:pPr>
          </w:p>
        </w:tc>
        <w:tc>
          <w:tcPr>
            <w:tcW w:w="1700" w:type="dxa"/>
            <w:vAlign w:val="bottom"/>
            <w:vMerge w:val="restart"/>
            <w:shd w:val="clear" w:color="auto" w:fill="D9D9D9"/>
          </w:tcPr>
          <w:p>
            <w:pPr>
              <w:jc w:val="center"/>
              <w:ind w:left="35"/>
              <w:spacing w:after="0" w:line="144" w:lineRule="exact"/>
              <w:rPr>
                <w:sz w:val="20"/>
                <w:szCs w:val="20"/>
                <w:color w:val="auto"/>
              </w:rPr>
            </w:pPr>
            <w:r>
              <w:rPr>
                <w:rFonts w:ascii="Arial" w:cs="Arial" w:eastAsia="Arial" w:hAnsi="Arial"/>
                <w:sz w:val="13"/>
                <w:szCs w:val="13"/>
                <w:color w:val="auto"/>
                <w:w w:val="97"/>
              </w:rPr>
              <w:t>Total for PEO ($)</w:t>
            </w:r>
          </w:p>
        </w:tc>
        <w:tc>
          <w:tcPr>
            <w:tcW w:w="1680" w:type="dxa"/>
            <w:vAlign w:val="bottom"/>
            <w:vMerge w:val="continue"/>
            <w:shd w:val="clear" w:color="auto" w:fill="D9D9D9"/>
          </w:tcPr>
          <w:p>
            <w:pPr>
              <w:spacing w:after="0"/>
              <w:rPr>
                <w:sz w:val="8"/>
                <w:szCs w:val="8"/>
                <w:color w:val="auto"/>
              </w:rPr>
            </w:pPr>
          </w:p>
        </w:tc>
        <w:tc>
          <w:tcPr>
            <w:tcW w:w="192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Non-PEO NEOs ($)</w:t>
            </w:r>
          </w:p>
        </w:tc>
        <w:tc>
          <w:tcPr>
            <w:tcW w:w="1740" w:type="dxa"/>
            <w:vAlign w:val="bottom"/>
            <w:vMerge w:val="restart"/>
            <w:shd w:val="clear" w:color="auto" w:fill="D9D9D9"/>
          </w:tcPr>
          <w:p>
            <w:pPr>
              <w:jc w:val="center"/>
              <w:spacing w:after="0" w:line="144" w:lineRule="exact"/>
              <w:rPr>
                <w:sz w:val="20"/>
                <w:szCs w:val="20"/>
                <w:color w:val="auto"/>
              </w:rPr>
            </w:pPr>
            <w:r>
              <w:rPr>
                <w:rFonts w:ascii="Arial" w:cs="Arial" w:eastAsia="Arial" w:hAnsi="Arial"/>
                <w:sz w:val="13"/>
                <w:szCs w:val="13"/>
                <w:color w:val="auto"/>
              </w:rPr>
              <w:t>NEOs ($)(1)(2)</w:t>
            </w:r>
          </w:p>
        </w:tc>
        <w:tc>
          <w:tcPr>
            <w:tcW w:w="1480" w:type="dxa"/>
            <w:vAlign w:val="bottom"/>
            <w:vMerge w:val="restart"/>
            <w:shd w:val="clear" w:color="auto" w:fill="D9D9D9"/>
          </w:tcPr>
          <w:p>
            <w:pPr>
              <w:jc w:val="center"/>
              <w:ind w:right="115"/>
              <w:spacing w:after="0" w:line="144" w:lineRule="exact"/>
              <w:rPr>
                <w:sz w:val="20"/>
                <w:szCs w:val="20"/>
                <w:color w:val="auto"/>
              </w:rPr>
            </w:pPr>
            <w:r>
              <w:rPr>
                <w:rFonts w:ascii="Arial" w:cs="Arial" w:eastAsia="Arial" w:hAnsi="Arial"/>
                <w:sz w:val="13"/>
                <w:szCs w:val="13"/>
                <w:color w:val="auto"/>
              </w:rPr>
              <w:t>Shareholder Return</w:t>
            </w:r>
          </w:p>
        </w:tc>
        <w:tc>
          <w:tcPr>
            <w:tcW w:w="16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080" w:type="dxa"/>
            <w:vAlign w:val="bottom"/>
            <w:shd w:val="clear" w:color="auto" w:fill="D9D9D9"/>
          </w:tcPr>
          <w:p>
            <w:pPr>
              <w:spacing w:after="0"/>
              <w:rPr>
                <w:sz w:val="4"/>
                <w:szCs w:val="4"/>
                <w:color w:val="auto"/>
              </w:rPr>
            </w:pPr>
          </w:p>
        </w:tc>
        <w:tc>
          <w:tcPr>
            <w:tcW w:w="1700" w:type="dxa"/>
            <w:vAlign w:val="bottom"/>
            <w:vMerge w:val="continue"/>
            <w:shd w:val="clear" w:color="auto" w:fill="D9D9D9"/>
          </w:tcPr>
          <w:p>
            <w:pPr>
              <w:spacing w:after="0"/>
              <w:rPr>
                <w:sz w:val="4"/>
                <w:szCs w:val="4"/>
                <w:color w:val="auto"/>
              </w:rPr>
            </w:pPr>
          </w:p>
        </w:tc>
        <w:tc>
          <w:tcPr>
            <w:tcW w:w="1680" w:type="dxa"/>
            <w:vAlign w:val="bottom"/>
            <w:shd w:val="clear" w:color="auto" w:fill="D9D9D9"/>
          </w:tcPr>
          <w:p>
            <w:pPr>
              <w:spacing w:after="0"/>
              <w:rPr>
                <w:sz w:val="4"/>
                <w:szCs w:val="4"/>
                <w:color w:val="auto"/>
              </w:rPr>
            </w:pPr>
          </w:p>
        </w:tc>
        <w:tc>
          <w:tcPr>
            <w:tcW w:w="1920" w:type="dxa"/>
            <w:vAlign w:val="bottom"/>
            <w:vMerge w:val="continue"/>
            <w:shd w:val="clear" w:color="auto" w:fill="D9D9D9"/>
          </w:tcPr>
          <w:p>
            <w:pPr>
              <w:spacing w:after="0"/>
              <w:rPr>
                <w:sz w:val="4"/>
                <w:szCs w:val="4"/>
                <w:color w:val="auto"/>
              </w:rPr>
            </w:pPr>
          </w:p>
        </w:tc>
        <w:tc>
          <w:tcPr>
            <w:tcW w:w="1740" w:type="dxa"/>
            <w:vAlign w:val="bottom"/>
            <w:vMerge w:val="continue"/>
            <w:shd w:val="clear" w:color="auto" w:fill="D9D9D9"/>
          </w:tcPr>
          <w:p>
            <w:pPr>
              <w:spacing w:after="0"/>
              <w:rPr>
                <w:sz w:val="4"/>
                <w:szCs w:val="4"/>
                <w:color w:val="auto"/>
              </w:rPr>
            </w:pPr>
          </w:p>
        </w:tc>
        <w:tc>
          <w:tcPr>
            <w:tcW w:w="1480" w:type="dxa"/>
            <w:vAlign w:val="bottom"/>
            <w:vMerge w:val="continue"/>
            <w:shd w:val="clear" w:color="auto" w:fill="D9D9D9"/>
          </w:tcPr>
          <w:p>
            <w:pPr>
              <w:spacing w:after="0"/>
              <w:rPr>
                <w:sz w:val="4"/>
                <w:szCs w:val="4"/>
                <w:color w:val="auto"/>
              </w:rPr>
            </w:pPr>
          </w:p>
        </w:tc>
        <w:tc>
          <w:tcPr>
            <w:tcW w:w="164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080" w:type="dxa"/>
            <w:vAlign w:val="bottom"/>
            <w:shd w:val="clear" w:color="auto" w:fill="D9D9D9"/>
          </w:tcPr>
          <w:p>
            <w:pPr>
              <w:spacing w:after="0"/>
              <w:rPr>
                <w:sz w:val="14"/>
                <w:szCs w:val="14"/>
                <w:color w:val="auto"/>
              </w:rPr>
            </w:pPr>
          </w:p>
        </w:tc>
        <w:tc>
          <w:tcPr>
            <w:tcW w:w="1700" w:type="dxa"/>
            <w:vAlign w:val="bottom"/>
            <w:shd w:val="clear" w:color="auto" w:fill="D9D9D9"/>
          </w:tcPr>
          <w:p>
            <w:pPr>
              <w:spacing w:after="0"/>
              <w:rPr>
                <w:sz w:val="14"/>
                <w:szCs w:val="14"/>
                <w:color w:val="auto"/>
              </w:rPr>
            </w:pPr>
          </w:p>
        </w:tc>
        <w:tc>
          <w:tcPr>
            <w:tcW w:w="1680" w:type="dxa"/>
            <w:vAlign w:val="bottom"/>
            <w:shd w:val="clear" w:color="auto" w:fill="D9D9D9"/>
          </w:tcPr>
          <w:p>
            <w:pPr>
              <w:spacing w:after="0"/>
              <w:rPr>
                <w:sz w:val="14"/>
                <w:szCs w:val="14"/>
                <w:color w:val="auto"/>
              </w:rPr>
            </w:pPr>
          </w:p>
        </w:tc>
        <w:tc>
          <w:tcPr>
            <w:tcW w:w="1920" w:type="dxa"/>
            <w:vAlign w:val="bottom"/>
            <w:shd w:val="clear" w:color="auto" w:fill="D9D9D9"/>
          </w:tcPr>
          <w:p>
            <w:pPr>
              <w:spacing w:after="0"/>
              <w:rPr>
                <w:sz w:val="14"/>
                <w:szCs w:val="14"/>
                <w:color w:val="auto"/>
              </w:rPr>
            </w:pPr>
          </w:p>
        </w:tc>
        <w:tc>
          <w:tcPr>
            <w:tcW w:w="1740" w:type="dxa"/>
            <w:vAlign w:val="bottom"/>
            <w:shd w:val="clear" w:color="auto" w:fill="D9D9D9"/>
          </w:tcPr>
          <w:p>
            <w:pPr>
              <w:spacing w:after="0"/>
              <w:rPr>
                <w:sz w:val="14"/>
                <w:szCs w:val="14"/>
                <w:color w:val="auto"/>
              </w:rPr>
            </w:pPr>
          </w:p>
        </w:tc>
        <w:tc>
          <w:tcPr>
            <w:tcW w:w="1480" w:type="dxa"/>
            <w:vAlign w:val="bottom"/>
            <w:shd w:val="clear" w:color="auto" w:fill="D9D9D9"/>
          </w:tcPr>
          <w:p>
            <w:pPr>
              <w:jc w:val="center"/>
              <w:ind w:right="95"/>
              <w:spacing w:after="0"/>
              <w:rPr>
                <w:sz w:val="20"/>
                <w:szCs w:val="20"/>
                <w:color w:val="auto"/>
              </w:rPr>
            </w:pPr>
            <w:r>
              <w:rPr>
                <w:rFonts w:ascii="Arial" w:cs="Arial" w:eastAsia="Arial" w:hAnsi="Arial"/>
                <w:sz w:val="13"/>
                <w:szCs w:val="13"/>
                <w:color w:val="auto"/>
              </w:rPr>
              <w:t>($)</w:t>
            </w:r>
          </w:p>
        </w:tc>
        <w:tc>
          <w:tcPr>
            <w:tcW w:w="16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80" w:type="dxa"/>
            <w:vAlign w:val="bottom"/>
          </w:tcPr>
          <w:p>
            <w:pPr>
              <w:ind w:left="500"/>
              <w:spacing w:after="0"/>
              <w:rPr>
                <w:sz w:val="20"/>
                <w:szCs w:val="20"/>
                <w:color w:val="auto"/>
              </w:rPr>
            </w:pPr>
            <w:r>
              <w:rPr>
                <w:rFonts w:ascii="Arial" w:cs="Arial" w:eastAsia="Arial" w:hAnsi="Arial"/>
                <w:sz w:val="13"/>
                <w:szCs w:val="13"/>
                <w:color w:val="auto"/>
              </w:rPr>
              <w:t>2023</w:t>
            </w:r>
          </w:p>
        </w:tc>
        <w:tc>
          <w:tcPr>
            <w:tcW w:w="1700" w:type="dxa"/>
            <w:vAlign w:val="bottom"/>
          </w:tcPr>
          <w:p>
            <w:pPr>
              <w:jc w:val="right"/>
              <w:ind w:right="55"/>
              <w:spacing w:after="0"/>
              <w:rPr>
                <w:sz w:val="20"/>
                <w:szCs w:val="20"/>
                <w:color w:val="auto"/>
              </w:rPr>
            </w:pPr>
            <w:r>
              <w:rPr>
                <w:rFonts w:ascii="Arial" w:cs="Arial" w:eastAsia="Arial" w:hAnsi="Arial"/>
                <w:sz w:val="13"/>
                <w:szCs w:val="13"/>
                <w:color w:val="auto"/>
              </w:rPr>
              <w:t>3,158,336</w:t>
            </w:r>
          </w:p>
        </w:tc>
        <w:tc>
          <w:tcPr>
            <w:tcW w:w="1680" w:type="dxa"/>
            <w:vAlign w:val="bottom"/>
          </w:tcPr>
          <w:p>
            <w:pPr>
              <w:jc w:val="right"/>
              <w:spacing w:after="0"/>
              <w:rPr>
                <w:sz w:val="20"/>
                <w:szCs w:val="20"/>
                <w:color w:val="auto"/>
              </w:rPr>
            </w:pPr>
            <w:r>
              <w:rPr>
                <w:rFonts w:ascii="Arial" w:cs="Arial" w:eastAsia="Arial" w:hAnsi="Arial"/>
                <w:sz w:val="13"/>
                <w:szCs w:val="13"/>
                <w:color w:val="auto"/>
              </w:rPr>
              <w:t>(517,565 )</w:t>
            </w:r>
          </w:p>
        </w:tc>
        <w:tc>
          <w:tcPr>
            <w:tcW w:w="1920" w:type="dxa"/>
            <w:vAlign w:val="bottom"/>
          </w:tcPr>
          <w:p>
            <w:pPr>
              <w:jc w:val="right"/>
              <w:spacing w:after="0"/>
              <w:rPr>
                <w:sz w:val="20"/>
                <w:szCs w:val="20"/>
                <w:color w:val="auto"/>
              </w:rPr>
            </w:pPr>
            <w:r>
              <w:rPr>
                <w:rFonts w:ascii="Arial" w:cs="Arial" w:eastAsia="Arial" w:hAnsi="Arial"/>
                <w:sz w:val="13"/>
                <w:szCs w:val="13"/>
                <w:color w:val="auto"/>
              </w:rPr>
              <w:t>1,695,800</w:t>
            </w:r>
          </w:p>
        </w:tc>
        <w:tc>
          <w:tcPr>
            <w:tcW w:w="1740" w:type="dxa"/>
            <w:vAlign w:val="bottom"/>
          </w:tcPr>
          <w:p>
            <w:pPr>
              <w:jc w:val="right"/>
              <w:ind w:right="55"/>
              <w:spacing w:after="0"/>
              <w:rPr>
                <w:sz w:val="20"/>
                <w:szCs w:val="20"/>
                <w:color w:val="auto"/>
              </w:rPr>
            </w:pPr>
            <w:r>
              <w:rPr>
                <w:rFonts w:ascii="Arial" w:cs="Arial" w:eastAsia="Arial" w:hAnsi="Arial"/>
                <w:sz w:val="13"/>
                <w:szCs w:val="13"/>
                <w:color w:val="auto"/>
              </w:rPr>
              <w:t>260,831</w:t>
            </w:r>
          </w:p>
        </w:tc>
        <w:tc>
          <w:tcPr>
            <w:tcW w:w="1480" w:type="dxa"/>
            <w:vAlign w:val="bottom"/>
          </w:tcPr>
          <w:p>
            <w:pPr>
              <w:jc w:val="center"/>
              <w:ind w:right="75"/>
              <w:spacing w:after="0"/>
              <w:rPr>
                <w:sz w:val="20"/>
                <w:szCs w:val="20"/>
                <w:color w:val="auto"/>
              </w:rPr>
            </w:pPr>
            <w:r>
              <w:rPr>
                <w:rFonts w:ascii="Arial" w:cs="Arial" w:eastAsia="Arial" w:hAnsi="Arial"/>
                <w:sz w:val="13"/>
                <w:szCs w:val="13"/>
                <w:color w:val="auto"/>
                <w:w w:val="96"/>
              </w:rPr>
              <w:t>41</w:t>
            </w:r>
          </w:p>
        </w:tc>
        <w:tc>
          <w:tcPr>
            <w:tcW w:w="1640" w:type="dxa"/>
            <w:vAlign w:val="bottom"/>
          </w:tcPr>
          <w:p>
            <w:pPr>
              <w:jc w:val="right"/>
              <w:spacing w:after="0"/>
              <w:rPr>
                <w:sz w:val="20"/>
                <w:szCs w:val="20"/>
                <w:color w:val="auto"/>
              </w:rPr>
            </w:pPr>
            <w:r>
              <w:rPr>
                <w:rFonts w:ascii="Arial" w:cs="Arial" w:eastAsia="Arial" w:hAnsi="Arial"/>
                <w:sz w:val="13"/>
                <w:szCs w:val="13"/>
                <w:color w:val="auto"/>
              </w:rPr>
              <w:t>(119,548,000 )</w:t>
            </w:r>
          </w:p>
        </w:tc>
        <w:tc>
          <w:tcPr>
            <w:tcW w:w="0" w:type="dxa"/>
            <w:vAlign w:val="bottom"/>
          </w:tcPr>
          <w:p>
            <w:pPr>
              <w:spacing w:after="0"/>
              <w:rPr>
                <w:sz w:val="1"/>
                <w:szCs w:val="1"/>
                <w:color w:val="auto"/>
              </w:rPr>
            </w:pPr>
          </w:p>
        </w:tc>
      </w:tr>
      <w:tr>
        <w:trPr>
          <w:trHeight w:val="170"/>
        </w:trPr>
        <w:tc>
          <w:tcPr>
            <w:tcW w:w="1080" w:type="dxa"/>
            <w:vAlign w:val="bottom"/>
            <w:shd w:val="clear" w:color="auto" w:fill="D9D9D9"/>
          </w:tcPr>
          <w:p>
            <w:pPr>
              <w:ind w:left="500"/>
              <w:spacing w:after="0"/>
              <w:rPr>
                <w:sz w:val="20"/>
                <w:szCs w:val="20"/>
                <w:color w:val="auto"/>
              </w:rPr>
            </w:pPr>
            <w:r>
              <w:rPr>
                <w:rFonts w:ascii="Arial" w:cs="Arial" w:eastAsia="Arial" w:hAnsi="Arial"/>
                <w:sz w:val="13"/>
                <w:szCs w:val="13"/>
                <w:color w:val="auto"/>
              </w:rPr>
              <w:t>2022</w:t>
            </w:r>
          </w:p>
        </w:tc>
        <w:tc>
          <w:tcPr>
            <w:tcW w:w="170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4,006,248</w:t>
            </w:r>
          </w:p>
        </w:tc>
        <w:tc>
          <w:tcPr>
            <w:tcW w:w="168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1,574,321</w:t>
            </w:r>
          </w:p>
        </w:tc>
        <w:tc>
          <w:tcPr>
            <w:tcW w:w="19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1,706,633</w:t>
            </w:r>
          </w:p>
        </w:tc>
        <w:tc>
          <w:tcPr>
            <w:tcW w:w="1740" w:type="dxa"/>
            <w:vAlign w:val="bottom"/>
            <w:shd w:val="clear" w:color="auto" w:fill="D9D9D9"/>
          </w:tcPr>
          <w:p>
            <w:pPr>
              <w:jc w:val="right"/>
              <w:ind w:right="55"/>
              <w:spacing w:after="0"/>
              <w:rPr>
                <w:sz w:val="20"/>
                <w:szCs w:val="20"/>
                <w:color w:val="auto"/>
              </w:rPr>
            </w:pPr>
            <w:r>
              <w:rPr>
                <w:rFonts w:ascii="Arial" w:cs="Arial" w:eastAsia="Arial" w:hAnsi="Arial"/>
                <w:sz w:val="13"/>
                <w:szCs w:val="13"/>
                <w:color w:val="auto"/>
              </w:rPr>
              <w:t>1,109,334</w:t>
            </w:r>
          </w:p>
        </w:tc>
        <w:tc>
          <w:tcPr>
            <w:tcW w:w="1480" w:type="dxa"/>
            <w:vAlign w:val="bottom"/>
            <w:shd w:val="clear" w:color="auto" w:fill="D9D9D9"/>
          </w:tcPr>
          <w:p>
            <w:pPr>
              <w:jc w:val="center"/>
              <w:ind w:right="75"/>
              <w:spacing w:after="0"/>
              <w:rPr>
                <w:sz w:val="20"/>
                <w:szCs w:val="20"/>
                <w:color w:val="auto"/>
              </w:rPr>
            </w:pPr>
            <w:r>
              <w:rPr>
                <w:rFonts w:ascii="Arial" w:cs="Arial" w:eastAsia="Arial" w:hAnsi="Arial"/>
                <w:sz w:val="13"/>
                <w:szCs w:val="13"/>
                <w:color w:val="auto"/>
              </w:rPr>
              <w:t>162</w:t>
            </w:r>
          </w:p>
        </w:tc>
        <w:tc>
          <w:tcPr>
            <w:tcW w:w="16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(250,157,000 )</w:t>
            </w:r>
          </w:p>
        </w:tc>
        <w:tc>
          <w:tcPr>
            <w:tcW w:w="0" w:type="dxa"/>
            <w:vAlign w:val="bottom"/>
          </w:tcPr>
          <w:p>
            <w:pPr>
              <w:spacing w:after="0"/>
              <w:rPr>
                <w:sz w:val="1"/>
                <w:szCs w:val="1"/>
                <w:color w:val="auto"/>
              </w:rPr>
            </w:pPr>
          </w:p>
        </w:tc>
      </w:tr>
      <w:tr>
        <w:trPr>
          <w:trHeight w:val="173"/>
        </w:trPr>
        <w:tc>
          <w:tcPr>
            <w:tcW w:w="1080" w:type="dxa"/>
            <w:vAlign w:val="bottom"/>
          </w:tcPr>
          <w:p>
            <w:pPr>
              <w:ind w:left="500"/>
              <w:spacing w:after="0"/>
              <w:rPr>
                <w:sz w:val="20"/>
                <w:szCs w:val="20"/>
                <w:color w:val="auto"/>
              </w:rPr>
            </w:pPr>
            <w:r>
              <w:rPr>
                <w:rFonts w:ascii="Arial" w:cs="Arial" w:eastAsia="Arial" w:hAnsi="Arial"/>
                <w:sz w:val="13"/>
                <w:szCs w:val="13"/>
                <w:color w:val="auto"/>
              </w:rPr>
              <w:t>2021</w:t>
            </w:r>
          </w:p>
        </w:tc>
        <w:tc>
          <w:tcPr>
            <w:tcW w:w="1700" w:type="dxa"/>
            <w:vAlign w:val="bottom"/>
          </w:tcPr>
          <w:p>
            <w:pPr>
              <w:jc w:val="right"/>
              <w:ind w:right="55"/>
              <w:spacing w:after="0"/>
              <w:rPr>
                <w:sz w:val="20"/>
                <w:szCs w:val="20"/>
                <w:color w:val="auto"/>
              </w:rPr>
            </w:pPr>
            <w:r>
              <w:rPr>
                <w:rFonts w:ascii="Arial" w:cs="Arial" w:eastAsia="Arial" w:hAnsi="Arial"/>
                <w:sz w:val="13"/>
                <w:szCs w:val="13"/>
                <w:color w:val="auto"/>
              </w:rPr>
              <w:t>9,711,680</w:t>
            </w:r>
          </w:p>
        </w:tc>
        <w:tc>
          <w:tcPr>
            <w:tcW w:w="1680" w:type="dxa"/>
            <w:vAlign w:val="bottom"/>
          </w:tcPr>
          <w:p>
            <w:pPr>
              <w:jc w:val="right"/>
              <w:spacing w:after="0"/>
              <w:rPr>
                <w:sz w:val="20"/>
                <w:szCs w:val="20"/>
                <w:color w:val="auto"/>
              </w:rPr>
            </w:pPr>
            <w:r>
              <w:rPr>
                <w:rFonts w:ascii="Arial" w:cs="Arial" w:eastAsia="Arial" w:hAnsi="Arial"/>
                <w:sz w:val="13"/>
                <w:szCs w:val="13"/>
                <w:color w:val="auto"/>
              </w:rPr>
              <w:t>(10,683,446 )</w:t>
            </w:r>
          </w:p>
        </w:tc>
        <w:tc>
          <w:tcPr>
            <w:tcW w:w="1920" w:type="dxa"/>
            <w:vAlign w:val="bottom"/>
          </w:tcPr>
          <w:p>
            <w:pPr>
              <w:jc w:val="right"/>
              <w:spacing w:after="0"/>
              <w:rPr>
                <w:sz w:val="20"/>
                <w:szCs w:val="20"/>
                <w:color w:val="auto"/>
              </w:rPr>
            </w:pPr>
            <w:r>
              <w:rPr>
                <w:rFonts w:ascii="Arial" w:cs="Arial" w:eastAsia="Arial" w:hAnsi="Arial"/>
                <w:sz w:val="13"/>
                <w:szCs w:val="13"/>
                <w:color w:val="auto"/>
              </w:rPr>
              <w:t>4,389,244</w:t>
            </w:r>
          </w:p>
        </w:tc>
        <w:tc>
          <w:tcPr>
            <w:tcW w:w="1740" w:type="dxa"/>
            <w:vAlign w:val="bottom"/>
          </w:tcPr>
          <w:p>
            <w:pPr>
              <w:jc w:val="right"/>
              <w:spacing w:after="0"/>
              <w:rPr>
                <w:sz w:val="20"/>
                <w:szCs w:val="20"/>
                <w:color w:val="auto"/>
              </w:rPr>
            </w:pPr>
            <w:r>
              <w:rPr>
                <w:rFonts w:ascii="Arial" w:cs="Arial" w:eastAsia="Arial" w:hAnsi="Arial"/>
                <w:sz w:val="13"/>
                <w:szCs w:val="13"/>
                <w:color w:val="auto"/>
              </w:rPr>
              <w:t>(448,135 )</w:t>
            </w:r>
          </w:p>
        </w:tc>
        <w:tc>
          <w:tcPr>
            <w:tcW w:w="1480" w:type="dxa"/>
            <w:vAlign w:val="bottom"/>
          </w:tcPr>
          <w:p>
            <w:pPr>
              <w:jc w:val="center"/>
              <w:ind w:right="75"/>
              <w:spacing w:after="0"/>
              <w:rPr>
                <w:sz w:val="20"/>
                <w:szCs w:val="20"/>
                <w:color w:val="auto"/>
              </w:rPr>
            </w:pPr>
            <w:r>
              <w:rPr>
                <w:rFonts w:ascii="Arial" w:cs="Arial" w:eastAsia="Arial" w:hAnsi="Arial"/>
                <w:sz w:val="13"/>
                <w:szCs w:val="13"/>
                <w:color w:val="auto"/>
              </w:rPr>
              <w:t>241</w:t>
            </w:r>
          </w:p>
        </w:tc>
        <w:tc>
          <w:tcPr>
            <w:tcW w:w="1640" w:type="dxa"/>
            <w:vAlign w:val="bottom"/>
          </w:tcPr>
          <w:p>
            <w:pPr>
              <w:jc w:val="right"/>
              <w:spacing w:after="0"/>
              <w:rPr>
                <w:sz w:val="20"/>
                <w:szCs w:val="20"/>
                <w:color w:val="auto"/>
              </w:rPr>
            </w:pPr>
            <w:r>
              <w:rPr>
                <w:rFonts w:ascii="Arial" w:cs="Arial" w:eastAsia="Arial" w:hAnsi="Arial"/>
                <w:sz w:val="13"/>
                <w:szCs w:val="13"/>
                <w:color w:val="auto"/>
              </w:rPr>
              <w:t>(65,578,000 )</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00" w:right="260" w:hanging="376"/>
        <w:spacing w:after="0" w:line="267"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112"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76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3"/>
                <w:szCs w:val="13"/>
                <w:color w:val="auto"/>
              </w:rPr>
              <w:t>Year</w:t>
            </w:r>
          </w:p>
        </w:tc>
        <w:tc>
          <w:tcPr>
            <w:tcW w:w="12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3"/>
                <w:szCs w:val="13"/>
                <w:color w:val="auto"/>
              </w:rPr>
              <w:t>PEO</w:t>
            </w:r>
          </w:p>
        </w:tc>
        <w:tc>
          <w:tcPr>
            <w:tcW w:w="4820" w:type="dxa"/>
            <w:vAlign w:val="bottom"/>
            <w:tcBorders>
              <w:bottom w:val="single" w:sz="8" w:color="auto"/>
            </w:tcBorders>
            <w:shd w:val="clear" w:color="auto" w:fill="E5E5E5"/>
          </w:tcPr>
          <w:p>
            <w:pPr>
              <w:ind w:left="2060"/>
              <w:spacing w:after="0"/>
              <w:rPr>
                <w:sz w:val="20"/>
                <w:szCs w:val="20"/>
                <w:color w:val="auto"/>
              </w:rPr>
            </w:pPr>
            <w:r>
              <w:rPr>
                <w:rFonts w:ascii="Arial" w:cs="Arial" w:eastAsia="Arial" w:hAnsi="Arial"/>
                <w:sz w:val="13"/>
                <w:szCs w:val="13"/>
                <w:color w:val="auto"/>
              </w:rPr>
              <w:t>Non-PEO NEOs</w:t>
            </w:r>
          </w:p>
        </w:tc>
      </w:tr>
      <w:tr>
        <w:trPr>
          <w:trHeight w:val="163"/>
        </w:trPr>
        <w:tc>
          <w:tcPr>
            <w:tcW w:w="760" w:type="dxa"/>
            <w:vAlign w:val="bottom"/>
          </w:tcPr>
          <w:p>
            <w:pPr>
              <w:ind w:left="320"/>
              <w:spacing w:after="0"/>
              <w:rPr>
                <w:sz w:val="20"/>
                <w:szCs w:val="20"/>
                <w:color w:val="auto"/>
              </w:rPr>
            </w:pPr>
            <w:r>
              <w:rPr>
                <w:rFonts w:ascii="Arial" w:cs="Arial" w:eastAsia="Arial" w:hAnsi="Arial"/>
                <w:sz w:val="13"/>
                <w:szCs w:val="13"/>
                <w:color w:val="auto"/>
              </w:rPr>
              <w:t>2023</w:t>
            </w:r>
          </w:p>
        </w:tc>
        <w:tc>
          <w:tcPr>
            <w:tcW w:w="1200" w:type="dxa"/>
            <w:vAlign w:val="bottom"/>
          </w:tcPr>
          <w:p>
            <w:pPr>
              <w:ind w:left="180"/>
              <w:spacing w:after="0"/>
              <w:rPr>
                <w:sz w:val="20"/>
                <w:szCs w:val="20"/>
                <w:color w:val="auto"/>
              </w:rPr>
            </w:pPr>
            <w:r>
              <w:rPr>
                <w:rFonts w:ascii="Arial" w:cs="Arial" w:eastAsia="Arial" w:hAnsi="Arial"/>
                <w:sz w:val="13"/>
                <w:szCs w:val="13"/>
                <w:color w:val="auto"/>
              </w:rPr>
              <w:t>Eric Shaff</w:t>
            </w:r>
          </w:p>
        </w:tc>
        <w:tc>
          <w:tcPr>
            <w:tcW w:w="4820" w:type="dxa"/>
            <w:vAlign w:val="bottom"/>
          </w:tcPr>
          <w:p>
            <w:pPr>
              <w:ind w:left="260"/>
              <w:spacing w:after="0"/>
              <w:rPr>
                <w:sz w:val="20"/>
                <w:szCs w:val="20"/>
                <w:color w:val="auto"/>
              </w:rPr>
            </w:pPr>
            <w:r>
              <w:rPr>
                <w:rFonts w:ascii="Arial" w:cs="Arial" w:eastAsia="Arial" w:hAnsi="Arial"/>
                <w:sz w:val="13"/>
                <w:szCs w:val="13"/>
                <w:color w:val="auto"/>
              </w:rPr>
              <w:t>Teresa L. Young, Ph.D. and Lisa von Moltke, M.D.</w:t>
            </w:r>
          </w:p>
        </w:tc>
      </w:tr>
      <w:tr>
        <w:trPr>
          <w:trHeight w:val="144"/>
        </w:trPr>
        <w:tc>
          <w:tcPr>
            <w:tcW w:w="760" w:type="dxa"/>
            <w:vAlign w:val="bottom"/>
            <w:shd w:val="clear" w:color="auto" w:fill="D9D9D9"/>
          </w:tcPr>
          <w:p>
            <w:pPr>
              <w:ind w:left="320"/>
              <w:spacing w:after="0" w:line="144" w:lineRule="exact"/>
              <w:rPr>
                <w:sz w:val="20"/>
                <w:szCs w:val="20"/>
                <w:color w:val="auto"/>
              </w:rPr>
            </w:pPr>
            <w:r>
              <w:rPr>
                <w:rFonts w:ascii="Arial" w:cs="Arial" w:eastAsia="Arial" w:hAnsi="Arial"/>
                <w:sz w:val="13"/>
                <w:szCs w:val="13"/>
                <w:color w:val="auto"/>
              </w:rPr>
              <w:t>2022</w:t>
            </w:r>
          </w:p>
        </w:tc>
        <w:tc>
          <w:tcPr>
            <w:tcW w:w="1200" w:type="dxa"/>
            <w:vAlign w:val="bottom"/>
            <w:shd w:val="clear" w:color="auto" w:fill="D9D9D9"/>
          </w:tcPr>
          <w:p>
            <w:pPr>
              <w:ind w:left="180"/>
              <w:spacing w:after="0" w:line="144" w:lineRule="exact"/>
              <w:rPr>
                <w:sz w:val="20"/>
                <w:szCs w:val="20"/>
                <w:color w:val="auto"/>
              </w:rPr>
            </w:pPr>
            <w:r>
              <w:rPr>
                <w:rFonts w:ascii="Arial" w:cs="Arial" w:eastAsia="Arial" w:hAnsi="Arial"/>
                <w:sz w:val="13"/>
                <w:szCs w:val="13"/>
                <w:color w:val="auto"/>
              </w:rPr>
              <w:t>Eric Shaff</w:t>
            </w:r>
          </w:p>
        </w:tc>
        <w:tc>
          <w:tcPr>
            <w:tcW w:w="4820" w:type="dxa"/>
            <w:vAlign w:val="bottom"/>
            <w:shd w:val="clear" w:color="auto" w:fill="D9D9D9"/>
          </w:tcPr>
          <w:p>
            <w:pPr>
              <w:ind w:left="260"/>
              <w:spacing w:after="0" w:line="144" w:lineRule="exact"/>
              <w:rPr>
                <w:sz w:val="20"/>
                <w:szCs w:val="20"/>
                <w:color w:val="auto"/>
              </w:rPr>
            </w:pPr>
            <w:r>
              <w:rPr>
                <w:rFonts w:ascii="Arial" w:cs="Arial" w:eastAsia="Arial" w:hAnsi="Arial"/>
                <w:sz w:val="13"/>
                <w:szCs w:val="13"/>
                <w:color w:val="auto"/>
              </w:rPr>
              <w:t>David Arkowitz, Lisa von Moltke, M.D., Matthew Henn, Ph.D., and Paula A.</w:t>
            </w:r>
          </w:p>
        </w:tc>
      </w:tr>
      <w:tr>
        <w:trPr>
          <w:trHeight w:val="170"/>
        </w:trPr>
        <w:tc>
          <w:tcPr>
            <w:tcW w:w="76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4820" w:type="dxa"/>
            <w:vAlign w:val="bottom"/>
            <w:shd w:val="clear" w:color="auto" w:fill="D9D9D9"/>
          </w:tcPr>
          <w:p>
            <w:pPr>
              <w:ind w:left="260"/>
              <w:spacing w:after="0"/>
              <w:rPr>
                <w:sz w:val="20"/>
                <w:szCs w:val="20"/>
                <w:color w:val="auto"/>
              </w:rPr>
            </w:pPr>
            <w:r>
              <w:rPr>
                <w:rFonts w:ascii="Arial" w:cs="Arial" w:eastAsia="Arial" w:hAnsi="Arial"/>
                <w:sz w:val="13"/>
                <w:szCs w:val="13"/>
                <w:color w:val="auto"/>
              </w:rPr>
              <w:t>Cloghessy</w:t>
            </w:r>
          </w:p>
        </w:tc>
      </w:tr>
      <w:tr>
        <w:trPr>
          <w:trHeight w:val="173"/>
        </w:trPr>
        <w:tc>
          <w:tcPr>
            <w:tcW w:w="760" w:type="dxa"/>
            <w:vAlign w:val="bottom"/>
          </w:tcPr>
          <w:p>
            <w:pPr>
              <w:ind w:left="320"/>
              <w:spacing w:after="0"/>
              <w:rPr>
                <w:sz w:val="20"/>
                <w:szCs w:val="20"/>
                <w:color w:val="auto"/>
              </w:rPr>
            </w:pPr>
            <w:r>
              <w:rPr>
                <w:rFonts w:ascii="Arial" w:cs="Arial" w:eastAsia="Arial" w:hAnsi="Arial"/>
                <w:sz w:val="13"/>
                <w:szCs w:val="13"/>
                <w:color w:val="auto"/>
              </w:rPr>
              <w:t>2021</w:t>
            </w:r>
          </w:p>
        </w:tc>
        <w:tc>
          <w:tcPr>
            <w:tcW w:w="1200" w:type="dxa"/>
            <w:vAlign w:val="bottom"/>
          </w:tcPr>
          <w:p>
            <w:pPr>
              <w:ind w:left="180"/>
              <w:spacing w:after="0"/>
              <w:rPr>
                <w:sz w:val="20"/>
                <w:szCs w:val="20"/>
                <w:color w:val="auto"/>
              </w:rPr>
            </w:pPr>
            <w:r>
              <w:rPr>
                <w:rFonts w:ascii="Arial" w:cs="Arial" w:eastAsia="Arial" w:hAnsi="Arial"/>
                <w:sz w:val="13"/>
                <w:szCs w:val="13"/>
                <w:color w:val="auto"/>
              </w:rPr>
              <w:t>Eric Shaff</w:t>
            </w:r>
          </w:p>
        </w:tc>
        <w:tc>
          <w:tcPr>
            <w:tcW w:w="4820" w:type="dxa"/>
            <w:vAlign w:val="bottom"/>
          </w:tcPr>
          <w:p>
            <w:pPr>
              <w:ind w:left="260"/>
              <w:spacing w:after="0"/>
              <w:rPr>
                <w:sz w:val="20"/>
                <w:szCs w:val="20"/>
                <w:color w:val="auto"/>
              </w:rPr>
            </w:pPr>
            <w:r>
              <w:rPr>
                <w:rFonts w:ascii="Arial" w:cs="Arial" w:eastAsia="Arial" w:hAnsi="Arial"/>
                <w:sz w:val="13"/>
                <w:szCs w:val="13"/>
                <w:color w:val="auto"/>
              </w:rPr>
              <w:t>David Arkowitz and Matthew Henn, Ph.D.</w:t>
            </w:r>
          </w:p>
        </w:tc>
      </w:tr>
    </w:tbl>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Compensation actually paid to our NEOs represents the “Total” compensation reported in the Summary Compensation Table for the applicable fiscal year, as adjusted as follows: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8160" w:type="dxa"/>
            <w:vAlign w:val="bottom"/>
            <w:tcBorders>
              <w:bottom w:val="single" w:sz="8" w:color="D9D9D9"/>
            </w:tcBorders>
            <w:shd w:val="clear" w:color="auto" w:fill="D9D9D9"/>
          </w:tcPr>
          <w:p>
            <w:pPr>
              <w:ind w:left="3700"/>
              <w:spacing w:after="0"/>
              <w:rPr>
                <w:sz w:val="20"/>
                <w:szCs w:val="20"/>
                <w:color w:val="auto"/>
              </w:rPr>
            </w:pPr>
            <w:r>
              <w:rPr>
                <w:rFonts w:ascii="Arial" w:cs="Arial" w:eastAsia="Arial" w:hAnsi="Arial"/>
                <w:sz w:val="13"/>
                <w:szCs w:val="13"/>
                <w:b w:val="1"/>
                <w:bCs w:val="1"/>
                <w:color w:val="auto"/>
              </w:rPr>
              <w:t>Adjustments</w:t>
            </w:r>
          </w:p>
        </w:tc>
        <w:tc>
          <w:tcPr>
            <w:tcW w:w="2980" w:type="dxa"/>
            <w:vAlign w:val="bottom"/>
            <w:tcBorders>
              <w:bottom w:val="single" w:sz="8" w:color="auto"/>
            </w:tcBorders>
            <w:shd w:val="clear" w:color="auto" w:fill="D9D9D9"/>
          </w:tcPr>
          <w:p>
            <w:pPr>
              <w:jc w:val="right"/>
              <w:ind w:right="127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D9D9D9"/>
            </w:tcBorders>
            <w:shd w:val="clear" w:color="auto" w:fill="D9D9D9"/>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737235</wp:posOffset>
            </wp:positionV>
            <wp:extent cx="5184140" cy="323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4140" cy="32385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-7620</wp:posOffset>
            </wp:positionV>
            <wp:extent cx="66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1400" w:type="dxa"/>
            <w:vAlign w:val="bottom"/>
            <w:vMerge w:val="restart"/>
            <w:shd w:val="clear" w:color="auto" w:fill="D9D9D9"/>
          </w:tcPr>
          <w:p>
            <w:pPr>
              <w:ind w:left="580"/>
              <w:spacing w:after="0"/>
              <w:rPr>
                <w:sz w:val="20"/>
                <w:szCs w:val="20"/>
                <w:color w:val="auto"/>
              </w:rPr>
            </w:pPr>
            <w:r>
              <w:rPr>
                <w:rFonts w:ascii="Arial" w:cs="Arial" w:eastAsia="Arial" w:hAnsi="Arial"/>
                <w:sz w:val="13"/>
                <w:szCs w:val="13"/>
                <w:b w:val="1"/>
                <w:bCs w:val="1"/>
                <w:color w:val="auto"/>
              </w:rPr>
              <w:t>PEO</w:t>
            </w:r>
          </w:p>
        </w:tc>
        <w:tc>
          <w:tcPr>
            <w:tcW w:w="120" w:type="dxa"/>
            <w:vAlign w:val="bottom"/>
            <w:shd w:val="clear" w:color="auto" w:fill="D9D9D9"/>
          </w:tcPr>
          <w:p>
            <w:pPr>
              <w:spacing w:after="0"/>
              <w:rPr>
                <w:sz w:val="12"/>
                <w:szCs w:val="12"/>
                <w:color w:val="auto"/>
              </w:rPr>
            </w:pPr>
          </w:p>
        </w:tc>
        <w:tc>
          <w:tcPr>
            <w:tcW w:w="1560" w:type="dxa"/>
            <w:vAlign w:val="bottom"/>
            <w:gridSpan w:val="2"/>
            <w:shd w:val="clear" w:color="auto" w:fill="D9D9D9"/>
          </w:tcPr>
          <w:p>
            <w:pPr>
              <w:jc w:val="center"/>
              <w:ind w:right="120"/>
              <w:spacing w:after="0" w:line="144" w:lineRule="exact"/>
              <w:rPr>
                <w:sz w:val="20"/>
                <w:szCs w:val="20"/>
                <w:color w:val="auto"/>
              </w:rPr>
            </w:pPr>
            <w:r>
              <w:rPr>
                <w:rFonts w:ascii="Arial" w:cs="Arial" w:eastAsia="Arial" w:hAnsi="Arial"/>
                <w:sz w:val="13"/>
                <w:szCs w:val="13"/>
                <w:b w:val="1"/>
                <w:bCs w:val="1"/>
                <w:color w:val="auto"/>
                <w:w w:val="99"/>
              </w:rPr>
              <w:t>Average Non-PEO</w:t>
            </w:r>
          </w:p>
        </w:tc>
        <w:tc>
          <w:tcPr>
            <w:tcW w:w="0" w:type="dxa"/>
            <w:vAlign w:val="bottom"/>
          </w:tcPr>
          <w:p>
            <w:pPr>
              <w:spacing w:after="0"/>
              <w:rPr>
                <w:sz w:val="1"/>
                <w:szCs w:val="1"/>
                <w:color w:val="auto"/>
              </w:rPr>
            </w:pPr>
          </w:p>
        </w:tc>
      </w:tr>
      <w:tr>
        <w:trPr>
          <w:trHeight w:val="100"/>
        </w:trPr>
        <w:tc>
          <w:tcPr>
            <w:tcW w:w="8160" w:type="dxa"/>
            <w:vAlign w:val="bottom"/>
          </w:tcPr>
          <w:p>
            <w:pPr>
              <w:spacing w:after="0"/>
              <w:rPr>
                <w:sz w:val="8"/>
                <w:szCs w:val="8"/>
                <w:color w:val="auto"/>
              </w:rPr>
            </w:pPr>
          </w:p>
        </w:tc>
        <w:tc>
          <w:tcPr>
            <w:tcW w:w="1400" w:type="dxa"/>
            <w:vAlign w:val="bottom"/>
            <w:vMerge w:val="continue"/>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460" w:type="dxa"/>
            <w:vAlign w:val="bottom"/>
            <w:vMerge w:val="restart"/>
            <w:shd w:val="clear" w:color="auto" w:fill="D9D9D9"/>
          </w:tcPr>
          <w:p>
            <w:pPr>
              <w:jc w:val="center"/>
              <w:spacing w:after="0"/>
              <w:rPr>
                <w:sz w:val="20"/>
                <w:szCs w:val="20"/>
                <w:color w:val="auto"/>
              </w:rPr>
            </w:pPr>
            <w:r>
              <w:rPr>
                <w:rFonts w:ascii="Arial" w:cs="Arial" w:eastAsia="Arial" w:hAnsi="Arial"/>
                <w:sz w:val="13"/>
                <w:szCs w:val="13"/>
                <w:b w:val="1"/>
                <w:bCs w:val="1"/>
                <w:color w:val="auto"/>
              </w:rPr>
              <w:t>NEOs</w:t>
            </w:r>
          </w:p>
        </w:tc>
        <w:tc>
          <w:tcPr>
            <w:tcW w:w="100" w:type="dxa"/>
            <w:vAlign w:val="bottom"/>
            <w:vMerge w:val="restart"/>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D9D9D9"/>
            </w:tcBorders>
            <w:shd w:val="clear" w:color="auto" w:fill="D9D9D9"/>
          </w:tcPr>
          <w:p>
            <w:pPr>
              <w:spacing w:after="0"/>
              <w:rPr>
                <w:sz w:val="6"/>
                <w:szCs w:val="6"/>
                <w:color w:val="auto"/>
              </w:rPr>
            </w:pPr>
          </w:p>
        </w:tc>
        <w:tc>
          <w:tcPr>
            <w:tcW w:w="1460" w:type="dxa"/>
            <w:vAlign w:val="bottom"/>
            <w:tcBorders>
              <w:bottom w:val="single" w:sz="8" w:color="auto"/>
            </w:tcBorders>
            <w:vMerge w:val="continue"/>
            <w:shd w:val="clear" w:color="auto" w:fill="D9D9D9"/>
          </w:tcPr>
          <w:p>
            <w:pPr>
              <w:spacing w:after="0"/>
              <w:rPr>
                <w:sz w:val="6"/>
                <w:szCs w:val="6"/>
                <w:color w:val="auto"/>
              </w:rPr>
            </w:pPr>
          </w:p>
        </w:tc>
        <w:tc>
          <w:tcPr>
            <w:tcW w:w="100" w:type="dxa"/>
            <w:vAlign w:val="bottom"/>
            <w:tcBorders>
              <w:bottom w:val="single" w:sz="8" w:color="D9D9D9"/>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6076315</wp:posOffset>
            </wp:positionH>
            <wp:positionV relativeFrom="paragraph">
              <wp:posOffset>-7620</wp:posOffset>
            </wp:positionV>
            <wp:extent cx="749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-7620</wp:posOffset>
            </wp:positionV>
            <wp:extent cx="666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p>
      <w:pPr>
        <w:ind w:left="20" w:right="620"/>
        <w:spacing w:after="0" w:line="253" w:lineRule="auto"/>
        <w:rPr>
          <w:sz w:val="20"/>
          <w:szCs w:val="20"/>
          <w:color w:val="auto"/>
        </w:rPr>
      </w:pPr>
      <w:r>
        <w:rPr>
          <w:rFonts w:ascii="Arial" w:cs="Arial" w:eastAsia="Arial" w:hAnsi="Arial"/>
          <w:sz w:val="13"/>
          <w:szCs w:val="13"/>
          <w:color w:val="auto"/>
        </w:rPr>
        <w:t>Deduction for Amounts Reported under the “Stock Awards” and “Option Awards” Columns in the Summary Compensation Table for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36765" cy="1993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765" cy="199390"/>
                    </a:xfrm>
                    <a:prstGeom prst="rect">
                      <a:avLst/>
                    </a:prstGeom>
                    <a:noFill/>
                  </pic:spPr>
                </pic:pic>
              </a:graphicData>
            </a:graphic>
          </wp:anchor>
        </w:drawing>
      </w:r>
    </w:p>
    <w:p>
      <w:pPr>
        <w:ind w:left="20" w:right="760"/>
        <w:spacing w:after="0" w:line="252" w:lineRule="auto"/>
        <w:rPr>
          <w:sz w:val="20"/>
          <w:szCs w:val="20"/>
          <w:color w:val="auto"/>
        </w:rPr>
      </w:pPr>
      <w:r>
        <w:rPr>
          <w:rFonts w:ascii="Arial" w:cs="Arial" w:eastAsia="Arial" w:hAnsi="Arial"/>
          <w:sz w:val="13"/>
          <w:szCs w:val="13"/>
          <w:color w:val="auto"/>
        </w:rPr>
        <w:t>Increase Based on ASC 718 Fair Value of Awards Granted during Applicable FY that Remain Unvested as of Applicable FY End, Determined as of Applicable FY End</w:t>
      </w:r>
    </w:p>
    <w:p>
      <w:pPr>
        <w:ind w:left="20" w:right="100"/>
        <w:spacing w:after="0" w:line="252" w:lineRule="auto"/>
        <w:rPr>
          <w:sz w:val="20"/>
          <w:szCs w:val="20"/>
          <w:color w:val="auto"/>
        </w:rPr>
      </w:pPr>
      <w:r>
        <w:rPr>
          <w:rFonts w:ascii="Arial" w:cs="Arial" w:eastAsia="Arial" w:hAnsi="Arial"/>
          <w:sz w:val="13"/>
          <w:szCs w:val="13"/>
          <w:color w:val="auto"/>
        </w:rPr>
        <w:t>Increase Based on ASC 718 Fair Value of Awards Granted during Applicable FY that Vested during Applicable FY, Determined as of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765" cy="1993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765" cy="199390"/>
                    </a:xfrm>
                    <a:prstGeom prst="rect">
                      <a:avLst/>
                    </a:prstGeom>
                    <a:noFill/>
                  </pic:spPr>
                </pic:pic>
              </a:graphicData>
            </a:graphic>
          </wp:anchor>
        </w:drawing>
      </w:r>
    </w:p>
    <w:p>
      <w:pPr>
        <w:ind w:left="20" w:right="80"/>
        <w:spacing w:after="0" w:line="252" w:lineRule="auto"/>
        <w:rPr>
          <w:sz w:val="20"/>
          <w:szCs w:val="20"/>
          <w:color w:val="auto"/>
        </w:rPr>
      </w:pPr>
      <w:r>
        <w:rPr>
          <w:rFonts w:ascii="Arial" w:cs="Arial" w:eastAsia="Arial" w:hAnsi="Arial"/>
          <w:sz w:val="13"/>
          <w:szCs w:val="13"/>
          <w:color w:val="auto"/>
        </w:rPr>
        <w:t>Increase/deduction for Awards Granted during Prior FY that were Outstanding and Unvested as of Applicable FY End, Determined Based on Change in ASC 718 Fair Value from Prior FY End to Applicable FY End</w:t>
      </w:r>
    </w:p>
    <w:p>
      <w:pPr>
        <w:ind w:left="20" w:right="280"/>
        <w:spacing w:after="0" w:line="252" w:lineRule="auto"/>
        <w:rPr>
          <w:sz w:val="20"/>
          <w:szCs w:val="20"/>
          <w:color w:val="auto"/>
        </w:rPr>
      </w:pPr>
      <w:r>
        <w:rPr>
          <w:rFonts w:ascii="Arial" w:cs="Arial" w:eastAsia="Arial" w:hAnsi="Arial"/>
          <w:sz w:val="13"/>
          <w:szCs w:val="13"/>
          <w:color w:val="auto"/>
        </w:rPr>
        <w:t>Increase/deduction for Awards Granted during Prior FY that Vested During Applicable FY, Determined Based on Change in ASC 718 Fair Value from Prior FY End to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765" cy="1993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765" cy="199390"/>
                    </a:xfrm>
                    <a:prstGeom prst="rect">
                      <a:avLst/>
                    </a:prstGeom>
                    <a:noFill/>
                  </pic:spPr>
                </pic:pic>
              </a:graphicData>
            </a:graphic>
          </wp:anchor>
        </w:drawing>
      </w:r>
    </w:p>
    <w:p>
      <w:pPr>
        <w:ind w:left="20" w:right="300"/>
        <w:spacing w:after="0" w:line="252" w:lineRule="auto"/>
        <w:rPr>
          <w:sz w:val="20"/>
          <w:szCs w:val="20"/>
          <w:color w:val="auto"/>
        </w:rPr>
      </w:pPr>
      <w:r>
        <w:rPr>
          <w:rFonts w:ascii="Arial" w:cs="Arial" w:eastAsia="Arial" w:hAnsi="Arial"/>
          <w:sz w:val="13"/>
          <w:szCs w:val="13"/>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color w:val="auto"/>
        </w:rPr>
        <w:t>(2,134,638 )</w:t>
      </w:r>
      <w:r>
        <w:rPr>
          <w:sz w:val="20"/>
          <w:szCs w:val="20"/>
          <w:color w:val="auto"/>
        </w:rPr>
        <w:tab/>
      </w:r>
      <w:r>
        <w:rPr>
          <w:rFonts w:ascii="Arial" w:cs="Arial" w:eastAsia="Arial" w:hAnsi="Arial"/>
          <w:sz w:val="12"/>
          <w:szCs w:val="12"/>
          <w:color w:val="auto"/>
        </w:rPr>
        <w:t>(1,030,062 )</w:t>
      </w:r>
    </w:p>
    <w:p>
      <w:pPr>
        <w:spacing w:after="0" w:line="165"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3"/>
          <w:szCs w:val="13"/>
          <w:color w:val="auto"/>
        </w:rPr>
        <w:t>508,247</w:t>
      </w:r>
      <w:r>
        <w:rPr>
          <w:sz w:val="20"/>
          <w:szCs w:val="20"/>
          <w:color w:val="auto"/>
        </w:rPr>
        <w:tab/>
      </w:r>
      <w:r>
        <w:rPr>
          <w:rFonts w:ascii="Arial" w:cs="Arial" w:eastAsia="Arial" w:hAnsi="Arial"/>
          <w:sz w:val="13"/>
          <w:szCs w:val="13"/>
          <w:color w:val="auto"/>
        </w:rPr>
        <w:t>246,012</w:t>
      </w:r>
    </w:p>
    <w:p>
      <w:pPr>
        <w:spacing w:after="0" w:line="165"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3"/>
          <w:szCs w:val="13"/>
          <w:color w:val="auto"/>
        </w:rPr>
        <w:t>38,416</w:t>
      </w:r>
      <w:r>
        <w:rPr>
          <w:sz w:val="20"/>
          <w:szCs w:val="20"/>
          <w:color w:val="auto"/>
        </w:rPr>
        <w:tab/>
      </w:r>
      <w:r>
        <w:rPr>
          <w:rFonts w:ascii="Arial" w:cs="Arial" w:eastAsia="Arial" w:hAnsi="Arial"/>
          <w:sz w:val="13"/>
          <w:szCs w:val="13"/>
          <w:color w:val="auto"/>
        </w:rPr>
        <w:t>17,323</w:t>
      </w:r>
    </w:p>
    <w:p>
      <w:pPr>
        <w:spacing w:after="0" w:line="165" w:lineRule="exact"/>
        <w:rPr>
          <w:sz w:val="20"/>
          <w:szCs w:val="20"/>
          <w:color w:val="auto"/>
        </w:rPr>
      </w:pPr>
    </w:p>
    <w:p>
      <w:pPr>
        <w:spacing w:after="0"/>
        <w:tabs>
          <w:tab w:leader="none" w:pos="1640" w:val="left"/>
        </w:tabs>
        <w:rPr>
          <w:sz w:val="20"/>
          <w:szCs w:val="20"/>
          <w:color w:val="auto"/>
        </w:rPr>
      </w:pPr>
      <w:r>
        <w:rPr>
          <w:rFonts w:ascii="Arial" w:cs="Arial" w:eastAsia="Arial" w:hAnsi="Arial"/>
          <w:sz w:val="13"/>
          <w:szCs w:val="13"/>
          <w:color w:val="auto"/>
        </w:rPr>
        <w:t>(1,456,981 )</w:t>
      </w:r>
      <w:r>
        <w:rPr>
          <w:sz w:val="20"/>
          <w:szCs w:val="20"/>
          <w:color w:val="auto"/>
        </w:rPr>
        <w:tab/>
      </w:r>
      <w:r>
        <w:rPr>
          <w:rFonts w:ascii="Arial" w:cs="Arial" w:eastAsia="Arial" w:hAnsi="Arial"/>
          <w:sz w:val="13"/>
          <w:szCs w:val="13"/>
          <w:color w:val="auto"/>
        </w:rPr>
        <w:t>(498,826 )</w:t>
      </w:r>
    </w:p>
    <w:p>
      <w:pPr>
        <w:spacing w:after="0" w:line="165"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13"/>
          <w:szCs w:val="13"/>
          <w:color w:val="auto"/>
        </w:rPr>
        <w:t>(630,945 )</w:t>
      </w:r>
      <w:r>
        <w:rPr>
          <w:sz w:val="20"/>
          <w:szCs w:val="20"/>
          <w:color w:val="auto"/>
        </w:rPr>
        <w:tab/>
      </w:r>
      <w:r>
        <w:rPr>
          <w:rFonts w:ascii="Arial" w:cs="Arial" w:eastAsia="Arial" w:hAnsi="Arial"/>
          <w:sz w:val="13"/>
          <w:szCs w:val="13"/>
          <w:color w:val="auto"/>
        </w:rPr>
        <w:t>(169,416 )</w:t>
      </w:r>
    </w:p>
    <w:p>
      <w:pPr>
        <w:spacing w:after="0" w:line="165"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3"/>
          <w:szCs w:val="13"/>
          <w:color w:val="auto"/>
        </w:rPr>
        <w:t>0</w:t>
      </w:r>
      <w:r>
        <w:rPr>
          <w:sz w:val="20"/>
          <w:szCs w:val="20"/>
          <w:color w:val="auto"/>
        </w:rPr>
        <w:tab/>
      </w:r>
      <w:r>
        <w:rPr>
          <w:rFonts w:ascii="Arial" w:cs="Arial" w:eastAsia="Arial" w:hAnsi="Arial"/>
          <w:sz w:val="13"/>
          <w:szCs w:val="13"/>
          <w:color w:val="auto"/>
        </w:rPr>
        <w:t>0</w:t>
      </w:r>
    </w:p>
    <w:p>
      <w:pPr>
        <w:spacing w:after="0" w:line="102" w:lineRule="exact"/>
        <w:rPr>
          <w:sz w:val="20"/>
          <w:szCs w:val="20"/>
          <w:color w:val="auto"/>
        </w:rPr>
      </w:pPr>
    </w:p>
    <w:p>
      <w:pPr>
        <w:sectPr>
          <w:pgSz w:w="11900" w:h="16838" w:orient="portrait"/>
          <w:cols w:equalWidth="0" w:num="2">
            <w:col w:w="8220" w:space="720"/>
            <w:col w:w="2300"/>
          </w:cols>
          <w:pgMar w:left="320" w:top="1160" w:right="339" w:bottom="1440" w:gutter="0" w:footer="0" w:header="0"/>
          <w:type w:val="continuous"/>
        </w:sectPr>
      </w:pPr>
    </w:p>
    <w:p>
      <w:pPr>
        <w:ind w:left="20" w:right="3200"/>
        <w:spacing w:after="0" w:line="273" w:lineRule="auto"/>
        <w:rPr>
          <w:sz w:val="20"/>
          <w:szCs w:val="20"/>
          <w:color w:val="auto"/>
        </w:rPr>
      </w:pPr>
      <w:r>
        <w:rPr>
          <w:rFonts w:ascii="Arial" w:cs="Arial" w:eastAsia="Arial" w:hAnsi="Arial"/>
          <w:sz w:val="13"/>
          <w:szCs w:val="13"/>
          <w:color w:val="auto"/>
        </w:rPr>
        <w:t>Increase Based on Dividends or Other Earnings Paid during Applicable FY prior to Vesting Date 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36765" cy="107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765" cy="107950"/>
                    </a:xfrm>
                    <a:prstGeom prst="rect">
                      <a:avLst/>
                    </a:prstGeom>
                    <a:noFill/>
                  </pic:spPr>
                </pic:pic>
              </a:graphicData>
            </a:graphic>
          </wp:anchor>
        </w:drawing>
      </w:r>
    </w:p>
    <w:p>
      <w:pPr>
        <w:ind w:left="20" w:right="1380"/>
        <w:spacing w:after="0" w:line="259" w:lineRule="auto"/>
        <w:rPr>
          <w:sz w:val="20"/>
          <w:szCs w:val="20"/>
          <w:color w:val="auto"/>
        </w:rPr>
      </w:pPr>
      <w:r>
        <w:rPr>
          <w:rFonts w:ascii="Arial" w:cs="Arial" w:eastAsia="Arial" w:hAnsi="Arial"/>
          <w:sz w:val="13"/>
          <w:szCs w:val="13"/>
          <w:color w:val="auto"/>
        </w:rPr>
        <w:t>Deduction for Change in the Actuarial Present Values Reported under the “Change in Pension Value and Nonqualified Deferred Compensation Earnings” Column of the Summary Compensation Table for Applicable FY</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0"/>
          <w:szCs w:val="10"/>
          <w:color w:val="auto"/>
        </w:rPr>
        <w:t>0</w:t>
      </w:r>
      <w:r>
        <w:rPr>
          <w:sz w:val="20"/>
          <w:szCs w:val="20"/>
          <w:color w:val="auto"/>
        </w:rPr>
        <w:tab/>
      </w:r>
      <w:r>
        <w:rPr>
          <w:rFonts w:ascii="Arial" w:cs="Arial" w:eastAsia="Arial" w:hAnsi="Arial"/>
          <w:sz w:val="10"/>
          <w:szCs w:val="10"/>
          <w:color w:val="auto"/>
        </w:rPr>
        <w:t>0</w:t>
      </w:r>
    </w:p>
    <w:p>
      <w:pPr>
        <w:spacing w:after="0" w:line="55" w:lineRule="exact"/>
        <w:rPr>
          <w:sz w:val="20"/>
          <w:szCs w:val="20"/>
          <w:color w:val="auto"/>
        </w:rPr>
      </w:pPr>
    </w:p>
    <w:p>
      <w:pPr>
        <w:spacing w:after="0"/>
        <w:tabs>
          <w:tab w:leader="none" w:pos="1560" w:val="left"/>
        </w:tabs>
        <w:rPr>
          <w:sz w:val="20"/>
          <w:szCs w:val="20"/>
          <w:color w:val="auto"/>
        </w:rPr>
      </w:pPr>
      <w:r>
        <w:rPr>
          <w:rFonts w:ascii="Arial" w:cs="Arial" w:eastAsia="Arial" w:hAnsi="Arial"/>
          <w:sz w:val="10"/>
          <w:szCs w:val="10"/>
          <w:color w:val="auto"/>
        </w:rPr>
        <w:t>0</w:t>
      </w:r>
      <w:r>
        <w:rPr>
          <w:sz w:val="20"/>
          <w:szCs w:val="20"/>
          <w:color w:val="auto"/>
        </w:rPr>
        <w:tab/>
      </w:r>
      <w:r>
        <w:rPr>
          <w:rFonts w:ascii="Arial" w:cs="Arial" w:eastAsia="Arial" w:hAnsi="Arial"/>
          <w:sz w:val="10"/>
          <w:szCs w:val="10"/>
          <w:color w:val="auto"/>
        </w:rPr>
        <w:t>0</w:t>
      </w:r>
    </w:p>
    <w:p>
      <w:pPr>
        <w:spacing w:after="0" w:line="118" w:lineRule="exact"/>
        <w:rPr>
          <w:sz w:val="20"/>
          <w:szCs w:val="20"/>
          <w:color w:val="auto"/>
        </w:rPr>
      </w:pPr>
    </w:p>
    <w:p>
      <w:pPr>
        <w:spacing w:after="0"/>
        <w:tabs>
          <w:tab w:leader="none" w:pos="1560" w:val="left"/>
        </w:tabs>
        <w:rPr>
          <w:sz w:val="20"/>
          <w:szCs w:val="20"/>
          <w:color w:val="auto"/>
        </w:rPr>
      </w:pPr>
      <w:r>
        <w:rPr>
          <w:rFonts w:ascii="Arial" w:cs="Arial" w:eastAsia="Arial" w:hAnsi="Arial"/>
          <w:sz w:val="10"/>
          <w:szCs w:val="10"/>
          <w:color w:val="auto"/>
        </w:rPr>
        <w:t>0</w:t>
      </w:r>
      <w:r>
        <w:rPr>
          <w:sz w:val="20"/>
          <w:szCs w:val="20"/>
          <w:color w:val="auto"/>
        </w:rPr>
        <w:tab/>
      </w:r>
      <w:r>
        <w:rPr>
          <w:rFonts w:ascii="Arial" w:cs="Arial" w:eastAsia="Arial" w:hAnsi="Arial"/>
          <w:sz w:val="10"/>
          <w:szCs w:val="10"/>
          <w:color w:val="auto"/>
        </w:rPr>
        <w:t>0</w:t>
      </w:r>
    </w:p>
    <w:p>
      <w:pPr>
        <w:spacing w:after="0" w:line="153" w:lineRule="exact"/>
        <w:rPr>
          <w:sz w:val="20"/>
          <w:szCs w:val="20"/>
          <w:color w:val="auto"/>
        </w:rPr>
      </w:pPr>
    </w:p>
    <w:p>
      <w:pPr>
        <w:sectPr>
          <w:pgSz w:w="11900" w:h="16838" w:orient="portrait"/>
          <w:cols w:equalWidth="0" w:num="2">
            <w:col w:w="8760" w:space="720"/>
            <w:col w:w="1760"/>
          </w:cols>
          <w:pgMar w:left="320" w:top="1160"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8540" w:type="dxa"/>
            <w:vAlign w:val="bottom"/>
            <w:shd w:val="clear" w:color="auto" w:fill="D9D9D9"/>
          </w:tcPr>
          <w:p>
            <w:pPr>
              <w:ind w:left="20"/>
              <w:spacing w:after="0"/>
              <w:rPr>
                <w:sz w:val="20"/>
                <w:szCs w:val="20"/>
                <w:color w:val="auto"/>
              </w:rPr>
            </w:pPr>
            <w:r>
              <w:rPr>
                <w:rFonts w:ascii="Arial" w:cs="Arial" w:eastAsia="Arial" w:hAnsi="Arial"/>
                <w:sz w:val="13"/>
                <w:szCs w:val="13"/>
                <w:color w:val="auto"/>
              </w:rPr>
              <w:t>Increase for Service Cost and, if Applicable, Prior Service Cost for Pension Plans</w:t>
            </w: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D9D9D9"/>
          </w:tcPr>
          <w:p>
            <w:pPr>
              <w:spacing w:after="0"/>
              <w:rPr>
                <w:sz w:val="13"/>
                <w:szCs w:val="13"/>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D9D9D9"/>
          </w:tcPr>
          <w:p>
            <w:pPr>
              <w:spacing w:after="0"/>
              <w:rPr>
                <w:sz w:val="13"/>
                <w:szCs w:val="13"/>
                <w:color w:val="auto"/>
              </w:rPr>
            </w:pPr>
          </w:p>
        </w:tc>
      </w:tr>
      <w:tr>
        <w:trPr>
          <w:trHeight w:val="170"/>
        </w:trPr>
        <w:tc>
          <w:tcPr>
            <w:tcW w:w="8540" w:type="dxa"/>
            <w:vAlign w:val="bottom"/>
          </w:tcPr>
          <w:p>
            <w:pPr>
              <w:ind w:left="6720"/>
              <w:spacing w:after="0"/>
              <w:rPr>
                <w:sz w:val="20"/>
                <w:szCs w:val="20"/>
                <w:color w:val="auto"/>
              </w:rPr>
            </w:pPr>
            <w:r>
              <w:rPr>
                <w:rFonts w:ascii="Arial" w:cs="Arial" w:eastAsia="Arial" w:hAnsi="Arial"/>
                <w:sz w:val="13"/>
                <w:szCs w:val="13"/>
                <w:b w:val="1"/>
                <w:bCs w:val="1"/>
                <w:color w:val="auto"/>
              </w:rPr>
              <w:t>TOTAL ADJUSTMENTS</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(3,675,901 )</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(1,434,969 )</w:t>
            </w:r>
          </w:p>
        </w:tc>
      </w:tr>
      <w:tr>
        <w:trPr>
          <w:trHeight w:val="20"/>
        </w:trPr>
        <w:tc>
          <w:tcPr>
            <w:tcW w:w="8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hanging="376"/>
        <w:spacing w:after="0" w:line="236"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(ii) for performance-based RSU awards, the same valuation methodology as RSU awards above except that the year-end values are multiplied by the probability of achievement of the applicable performance objective as of the applicable date; and (iii)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set equal to the original expected life determined at grant, reduced by the amount of time elapsed from the grant date to the revaluation date, and adjusted based on relevant factors, including taking into account the stock price on the applicable revaluation date relative to the option’s strike price determined at grant,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December 31, 2022 and prior fiscal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Narrative Disclosure to Pay Versus Performance Table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Financial Performance Measures</w:t>
      </w:r>
    </w:p>
    <w:p>
      <w:pPr>
        <w:spacing w:after="0" w:line="19" w:lineRule="exact"/>
        <w:rPr>
          <w:sz w:val="20"/>
          <w:szCs w:val="20"/>
          <w:color w:val="auto"/>
        </w:rPr>
      </w:pPr>
    </w:p>
    <w:p>
      <w:pPr>
        <w:jc w:val="both"/>
        <w:ind w:right="340"/>
        <w:spacing w:after="0" w:line="252" w:lineRule="auto"/>
        <w:rPr>
          <w:sz w:val="20"/>
          <w:szCs w:val="20"/>
          <w:color w:val="auto"/>
        </w:rPr>
      </w:pPr>
      <w:r>
        <w:rPr>
          <w:rFonts w:ascii="Arial" w:cs="Arial" w:eastAsia="Arial" w:hAnsi="Arial"/>
          <w:sz w:val="17"/>
          <w:szCs w:val="17"/>
          <w:color w:val="auto"/>
        </w:rPr>
        <w:t>The graphs below compares the compensation actually paid to our PEO and the average of the compensation actually paid to our remaining NEOs, with (i) our cumulative TSR, and (ii) our net income, in each case, for the fiscal years ended December 31, 2021, 2022 and 2023.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107950</wp:posOffset>
            </wp:positionV>
            <wp:extent cx="4445000" cy="2268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45000" cy="226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636905</wp:posOffset>
            </wp:positionV>
            <wp:extent cx="4536440" cy="22599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4536440" cy="225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463550</wp:posOffset>
            </wp:positionV>
            <wp:extent cx="716216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765" cy="825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Directors who are also our employees do not receive compensation for their service on our Board. Mr. Shaff served as a director and executive officer of our company during 2023. Refer to the 2023 Summary Compensation Table and related narrative disclosure above for information regarding the compensation Mr. Shaff received from us during 2023.</w:t>
      </w:r>
    </w:p>
    <w:p>
      <w:pPr>
        <w:spacing w:after="0" w:line="145"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We maintain a compensation program for our non-employee directors providing for each non-employee director to receive the following amounts for serving on our Board:</w:t>
      </w:r>
    </w:p>
    <w:p>
      <w:pPr>
        <w:spacing w:after="0" w:line="128" w:lineRule="exact"/>
        <w:rPr>
          <w:sz w:val="20"/>
          <w:szCs w:val="20"/>
          <w:color w:val="auto"/>
        </w:rPr>
      </w:pPr>
    </w:p>
    <w:p>
      <w:pPr>
        <w:ind w:left="880" w:right="420" w:hanging="246"/>
        <w:spacing w:after="0" w:line="250" w:lineRule="auto"/>
        <w:tabs>
          <w:tab w:leader="none" w:pos="8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an option to purchase shares of our Common Stock upon the director’s initial election or appointment to our Board in an amount determined by the Compensation and Talent Committee (the “Initial Award”);</w:t>
      </w:r>
    </w:p>
    <w:p>
      <w:pPr>
        <w:ind w:left="880" w:right="540" w:hanging="246"/>
        <w:spacing w:after="0"/>
        <w:tabs>
          <w:tab w:leader="none" w:pos="8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if the director has served on our Board for at least six months as of the date of an annual meeting of stockholders, an option to purchase 35,000 shares of our Common Stock on the date of the annual meeting (the “Subsequent Award”);</w:t>
      </w:r>
    </w:p>
    <w:p>
      <w:pPr>
        <w:ind w:left="880" w:right="200" w:hanging="246"/>
        <w:spacing w:after="0"/>
        <w:tabs>
          <w:tab w:leader="none" w:pos="8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an annual director fee of $45,000, and if the director serves as chairperson of our Board or lead independent director, an additional annual director fee of $35,000; and</w:t>
      </w:r>
    </w:p>
    <w:p>
      <w:pPr>
        <w:ind w:left="880" w:hanging="246"/>
        <w:spacing w:after="0"/>
        <w:tabs>
          <w:tab w:leader="none" w:pos="8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if the director serves on a committee of our Board, an additional annual fee as follows:</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chairperson of the Audit Committee—$20,000;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Audit Committee member other than the chairperson—$10,000;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chairperson of the Compensation and Talent Committee—$15,000;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Compensation and Talent Committee member other than the chairperson—$7,500;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chairperson of the Nominating and Corporate Governance Committee—$10,000;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Nominating and Corporate Governance Committee member other than the chairperson—$5,000;</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effective February 17, 2023, chairperson of the Science and Clinical Development Committee—$15,000; and</w:t>
      </w:r>
    </w:p>
    <w:p>
      <w:pPr>
        <w:spacing w:after="0" w:line="13" w:lineRule="exact"/>
        <w:rPr>
          <w:rFonts w:ascii="Times New Roman" w:cs="Times New Roman" w:eastAsia="Times New Roman" w:hAnsi="Times New Roman"/>
          <w:sz w:val="17"/>
          <w:szCs w:val="17"/>
          <w:color w:val="auto"/>
        </w:rPr>
      </w:pPr>
    </w:p>
    <w:p>
      <w:pPr>
        <w:ind w:left="1400" w:hanging="257"/>
        <w:spacing w:after="0"/>
        <w:tabs>
          <w:tab w:leader="none" w:pos="1400" w:val="left"/>
        </w:tabs>
        <w:numPr>
          <w:ilvl w:val="1"/>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effective February 17, 2023, Science and Clinical Development Committee member other than the chairperson—$7,500.</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50"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Each member of our Board is entitled to be reimbursed for reasonable travel and other expenses incurred in connection with attending meetings of the Board and any committee of the Board on which he or she serves.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1367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173990</wp:posOffset>
            </wp:positionV>
            <wp:extent cx="83820" cy="2578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3820" cy="257810"/>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173990</wp:posOffset>
            </wp:positionV>
            <wp:extent cx="83820" cy="2578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3820" cy="257810"/>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173990</wp:posOffset>
            </wp:positionV>
            <wp:extent cx="75565" cy="2578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5565" cy="257810"/>
                    </a:xfrm>
                    <a:prstGeom prst="rect">
                      <a:avLst/>
                    </a:prstGeom>
                    <a:noFill/>
                  </pic:spPr>
                </pic:pic>
              </a:graphicData>
            </a:graphic>
          </wp:anchor>
        </w:drawing>
      </w: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160" w:type="dxa"/>
            <w:vAlign w:val="bottom"/>
            <w:shd w:val="clear" w:color="auto" w:fill="E5E5E5"/>
          </w:tcPr>
          <w:p>
            <w:pPr>
              <w:spacing w:after="0"/>
              <w:rPr>
                <w:sz w:val="15"/>
                <w:szCs w:val="15"/>
                <w:color w:val="auto"/>
              </w:rPr>
            </w:pPr>
          </w:p>
        </w:tc>
        <w:tc>
          <w:tcPr>
            <w:tcW w:w="120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Fees Earned or</w:t>
            </w:r>
          </w:p>
        </w:tc>
        <w:tc>
          <w:tcPr>
            <w:tcW w:w="80" w:type="dxa"/>
            <w:vAlign w:val="bottom"/>
            <w:shd w:val="clear" w:color="auto" w:fill="E5E5E5"/>
          </w:tcPr>
          <w:p>
            <w:pPr>
              <w:spacing w:after="0"/>
              <w:rPr>
                <w:sz w:val="15"/>
                <w:szCs w:val="15"/>
                <w:color w:val="auto"/>
              </w:rPr>
            </w:pP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3"/>
                <w:szCs w:val="13"/>
                <w:color w:val="auto"/>
              </w:rPr>
              <w:t>Option Awards</w:t>
            </w:r>
          </w:p>
        </w:tc>
        <w:tc>
          <w:tcPr>
            <w:tcW w:w="8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r>
      <w:tr>
        <w:trPr>
          <w:trHeight w:val="170"/>
        </w:trPr>
        <w:tc>
          <w:tcPr>
            <w:tcW w:w="51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3"/>
                <w:szCs w:val="13"/>
                <w:color w:val="auto"/>
              </w:rPr>
              <w:t>Name</w:t>
            </w:r>
          </w:p>
        </w:tc>
        <w:tc>
          <w:tcPr>
            <w:tcW w:w="12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3"/>
                <w:szCs w:val="13"/>
                <w:color w:val="auto"/>
              </w:rPr>
              <w:t>Paid in Cash ($)</w:t>
            </w:r>
          </w:p>
        </w:tc>
        <w:tc>
          <w:tcPr>
            <w:tcW w:w="80" w:type="dxa"/>
            <w:vAlign w:val="bottom"/>
            <w:tcBorders>
              <w:bottom w:val="single" w:sz="8" w:color="E5E5E5"/>
            </w:tcBorders>
            <w:shd w:val="clear" w:color="auto" w:fill="E5E5E5"/>
          </w:tcPr>
          <w:p>
            <w:pPr>
              <w:spacing w:after="0"/>
              <w:rPr>
                <w:sz w:val="14"/>
                <w:szCs w:val="14"/>
                <w:color w:val="auto"/>
              </w:rPr>
            </w:pP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E5E5E5"/>
            </w:tcBorders>
            <w:shd w:val="clear" w:color="auto" w:fill="E5E5E5"/>
          </w:tcPr>
          <w:p>
            <w:pPr>
              <w:spacing w:after="0"/>
              <w:rPr>
                <w:sz w:val="14"/>
                <w:szCs w:val="14"/>
                <w:color w:val="auto"/>
              </w:rPr>
            </w:pPr>
          </w:p>
        </w:tc>
        <w:tc>
          <w:tcPr>
            <w:tcW w:w="12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3"/>
                <w:szCs w:val="13"/>
                <w:color w:val="auto"/>
              </w:rPr>
              <w:t>Total ($)</w:t>
            </w:r>
          </w:p>
        </w:tc>
        <w:tc>
          <w:tcPr>
            <w:tcW w:w="80" w:type="dxa"/>
            <w:vAlign w:val="bottom"/>
            <w:tcBorders>
              <w:bottom w:val="single" w:sz="8" w:color="E5E5E5"/>
            </w:tcBorders>
            <w:shd w:val="clear" w:color="auto" w:fill="E5E5E5"/>
          </w:tcPr>
          <w:p>
            <w:pPr>
              <w:spacing w:after="0"/>
              <w:rPr>
                <w:sz w:val="14"/>
                <w:szCs w:val="14"/>
                <w:color w:val="auto"/>
              </w:rPr>
            </w:pPr>
          </w:p>
        </w:tc>
      </w:tr>
      <w:tr>
        <w:trPr>
          <w:trHeight w:val="163"/>
        </w:trPr>
        <w:tc>
          <w:tcPr>
            <w:tcW w:w="5160" w:type="dxa"/>
            <w:vAlign w:val="bottom"/>
          </w:tcPr>
          <w:p>
            <w:pPr>
              <w:ind w:left="120"/>
              <w:spacing w:after="0"/>
              <w:rPr>
                <w:sz w:val="20"/>
                <w:szCs w:val="20"/>
                <w:color w:val="auto"/>
              </w:rPr>
            </w:pPr>
            <w:r>
              <w:rPr>
                <w:rFonts w:ascii="Arial" w:cs="Arial" w:eastAsia="Arial" w:hAnsi="Arial"/>
                <w:sz w:val="13"/>
                <w:szCs w:val="13"/>
                <w:color w:val="auto"/>
              </w:rPr>
              <w:t>Dennis A. Ausiello, M.D.</w:t>
            </w:r>
          </w:p>
        </w:tc>
        <w:tc>
          <w:tcPr>
            <w:tcW w:w="1200" w:type="dxa"/>
            <w:vAlign w:val="bottom"/>
          </w:tcPr>
          <w:p>
            <w:pPr>
              <w:jc w:val="right"/>
              <w:spacing w:after="0"/>
              <w:rPr>
                <w:sz w:val="20"/>
                <w:szCs w:val="20"/>
                <w:color w:val="auto"/>
              </w:rPr>
            </w:pPr>
            <w:r>
              <w:rPr>
                <w:rFonts w:ascii="Arial" w:cs="Arial" w:eastAsia="Arial" w:hAnsi="Arial"/>
                <w:sz w:val="13"/>
                <w:szCs w:val="13"/>
                <w:color w:val="auto"/>
              </w:rPr>
              <w:t>63,042</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222,268</w:t>
            </w:r>
          </w:p>
        </w:tc>
        <w:tc>
          <w:tcPr>
            <w:tcW w:w="80" w:type="dxa"/>
            <w:vAlign w:val="bottom"/>
          </w:tcPr>
          <w:p>
            <w:pPr>
              <w:spacing w:after="0"/>
              <w:rPr>
                <w:sz w:val="14"/>
                <w:szCs w:val="14"/>
                <w:color w:val="auto"/>
              </w:rPr>
            </w:pPr>
          </w:p>
        </w:tc>
      </w:tr>
      <w:tr>
        <w:trPr>
          <w:trHeight w:val="170"/>
        </w:trPr>
        <w:tc>
          <w:tcPr>
            <w:tcW w:w="5160" w:type="dxa"/>
            <w:vAlign w:val="bottom"/>
            <w:shd w:val="clear" w:color="auto" w:fill="E7E6E6"/>
          </w:tcPr>
          <w:p>
            <w:pPr>
              <w:ind w:left="120"/>
              <w:spacing w:after="0"/>
              <w:rPr>
                <w:sz w:val="20"/>
                <w:szCs w:val="20"/>
                <w:color w:val="auto"/>
              </w:rPr>
            </w:pPr>
            <w:r>
              <w:rPr>
                <w:rFonts w:ascii="Arial" w:cs="Arial" w:eastAsia="Arial" w:hAnsi="Arial"/>
                <w:sz w:val="13"/>
                <w:szCs w:val="13"/>
                <w:color w:val="auto"/>
              </w:rPr>
              <w:t>Grégory Behar(2)</w:t>
            </w:r>
          </w:p>
        </w:tc>
        <w:tc>
          <w:tcPr>
            <w:tcW w:w="12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37,500</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196,726</w:t>
            </w:r>
          </w:p>
        </w:tc>
        <w:tc>
          <w:tcPr>
            <w:tcW w:w="80" w:type="dxa"/>
            <w:vAlign w:val="bottom"/>
            <w:shd w:val="clear" w:color="auto" w:fill="E7E6E6"/>
          </w:tcPr>
          <w:p>
            <w:pPr>
              <w:spacing w:after="0"/>
              <w:rPr>
                <w:sz w:val="14"/>
                <w:szCs w:val="14"/>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3"/>
                <w:szCs w:val="13"/>
                <w:color w:val="auto"/>
              </w:rPr>
              <w:t>Stephen A. Berenson</w:t>
            </w:r>
          </w:p>
        </w:tc>
        <w:tc>
          <w:tcPr>
            <w:tcW w:w="1200" w:type="dxa"/>
            <w:vAlign w:val="bottom"/>
          </w:tcPr>
          <w:p>
            <w:pPr>
              <w:jc w:val="right"/>
              <w:spacing w:after="0"/>
              <w:rPr>
                <w:sz w:val="20"/>
                <w:szCs w:val="20"/>
                <w:color w:val="auto"/>
              </w:rPr>
            </w:pPr>
            <w:r>
              <w:rPr>
                <w:rFonts w:ascii="Arial" w:cs="Arial" w:eastAsia="Arial" w:hAnsi="Arial"/>
                <w:sz w:val="13"/>
                <w:szCs w:val="13"/>
                <w:color w:val="auto"/>
              </w:rPr>
              <w:t>90,000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249,226</w:t>
            </w:r>
          </w:p>
        </w:tc>
        <w:tc>
          <w:tcPr>
            <w:tcW w:w="80" w:type="dxa"/>
            <w:vAlign w:val="bottom"/>
          </w:tcPr>
          <w:p>
            <w:pPr>
              <w:spacing w:after="0"/>
              <w:rPr>
                <w:sz w:val="14"/>
                <w:szCs w:val="14"/>
                <w:color w:val="auto"/>
              </w:rPr>
            </w:pPr>
          </w:p>
        </w:tc>
      </w:tr>
      <w:tr>
        <w:trPr>
          <w:trHeight w:val="170"/>
        </w:trPr>
        <w:tc>
          <w:tcPr>
            <w:tcW w:w="5160" w:type="dxa"/>
            <w:vAlign w:val="bottom"/>
            <w:shd w:val="clear" w:color="auto" w:fill="E7E6E6"/>
          </w:tcPr>
          <w:p>
            <w:pPr>
              <w:ind w:left="120"/>
              <w:spacing w:after="0"/>
              <w:rPr>
                <w:sz w:val="20"/>
                <w:szCs w:val="20"/>
                <w:color w:val="auto"/>
              </w:rPr>
            </w:pPr>
            <w:r>
              <w:rPr>
                <w:rFonts w:ascii="Arial" w:cs="Arial" w:eastAsia="Arial" w:hAnsi="Arial"/>
                <w:sz w:val="13"/>
                <w:szCs w:val="13"/>
                <w:color w:val="auto"/>
              </w:rPr>
              <w:t>Paul R. Biondi</w:t>
            </w:r>
          </w:p>
        </w:tc>
        <w:tc>
          <w:tcPr>
            <w:tcW w:w="12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52,500</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211,726</w:t>
            </w:r>
          </w:p>
        </w:tc>
        <w:tc>
          <w:tcPr>
            <w:tcW w:w="80" w:type="dxa"/>
            <w:vAlign w:val="bottom"/>
            <w:shd w:val="clear" w:color="auto" w:fill="E7E6E6"/>
          </w:tcPr>
          <w:p>
            <w:pPr>
              <w:spacing w:after="0"/>
              <w:rPr>
                <w:sz w:val="14"/>
                <w:szCs w:val="14"/>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3"/>
                <w:szCs w:val="13"/>
                <w:color w:val="auto"/>
              </w:rPr>
              <w:t>Willard H. Dere, M.D.</w:t>
            </w:r>
          </w:p>
        </w:tc>
        <w:tc>
          <w:tcPr>
            <w:tcW w:w="1200" w:type="dxa"/>
            <w:vAlign w:val="bottom"/>
          </w:tcPr>
          <w:p>
            <w:pPr>
              <w:jc w:val="right"/>
              <w:spacing w:after="0"/>
              <w:rPr>
                <w:sz w:val="20"/>
                <w:szCs w:val="20"/>
                <w:color w:val="auto"/>
              </w:rPr>
            </w:pPr>
            <w:r>
              <w:rPr>
                <w:rFonts w:ascii="Arial" w:cs="Arial" w:eastAsia="Arial" w:hAnsi="Arial"/>
                <w:sz w:val="13"/>
                <w:szCs w:val="13"/>
                <w:color w:val="auto"/>
              </w:rPr>
              <w:t>66,007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225,233</w:t>
            </w:r>
          </w:p>
        </w:tc>
        <w:tc>
          <w:tcPr>
            <w:tcW w:w="80" w:type="dxa"/>
            <w:vAlign w:val="bottom"/>
          </w:tcPr>
          <w:p>
            <w:pPr>
              <w:spacing w:after="0"/>
              <w:rPr>
                <w:sz w:val="14"/>
                <w:szCs w:val="14"/>
                <w:color w:val="auto"/>
              </w:rPr>
            </w:pPr>
          </w:p>
        </w:tc>
      </w:tr>
      <w:tr>
        <w:trPr>
          <w:trHeight w:val="170"/>
        </w:trPr>
        <w:tc>
          <w:tcPr>
            <w:tcW w:w="5160" w:type="dxa"/>
            <w:vAlign w:val="bottom"/>
            <w:shd w:val="clear" w:color="auto" w:fill="E7E6E6"/>
          </w:tcPr>
          <w:p>
            <w:pPr>
              <w:ind w:left="120"/>
              <w:spacing w:after="0"/>
              <w:rPr>
                <w:sz w:val="20"/>
                <w:szCs w:val="20"/>
                <w:color w:val="auto"/>
              </w:rPr>
            </w:pPr>
            <w:r>
              <w:rPr>
                <w:rFonts w:ascii="Arial" w:cs="Arial" w:eastAsia="Arial" w:hAnsi="Arial"/>
                <w:sz w:val="13"/>
                <w:szCs w:val="13"/>
                <w:color w:val="auto"/>
              </w:rPr>
              <w:t>Claire M. Fraser, Ph.D.(3)</w:t>
            </w:r>
          </w:p>
        </w:tc>
        <w:tc>
          <w:tcPr>
            <w:tcW w:w="12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61,063</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377,088</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438,151</w:t>
            </w:r>
          </w:p>
        </w:tc>
        <w:tc>
          <w:tcPr>
            <w:tcW w:w="80" w:type="dxa"/>
            <w:vAlign w:val="bottom"/>
            <w:shd w:val="clear" w:color="auto" w:fill="E7E6E6"/>
          </w:tcPr>
          <w:p>
            <w:pPr>
              <w:spacing w:after="0"/>
              <w:rPr>
                <w:sz w:val="14"/>
                <w:szCs w:val="14"/>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3"/>
                <w:szCs w:val="13"/>
                <w:color w:val="auto"/>
              </w:rPr>
              <w:t>Kurt C. Graves</w:t>
            </w:r>
          </w:p>
        </w:tc>
        <w:tc>
          <w:tcPr>
            <w:tcW w:w="1200" w:type="dxa"/>
            <w:vAlign w:val="bottom"/>
          </w:tcPr>
          <w:p>
            <w:pPr>
              <w:jc w:val="right"/>
              <w:spacing w:after="0"/>
              <w:rPr>
                <w:sz w:val="20"/>
                <w:szCs w:val="20"/>
                <w:color w:val="auto"/>
              </w:rPr>
            </w:pPr>
            <w:r>
              <w:rPr>
                <w:rFonts w:ascii="Arial" w:cs="Arial" w:eastAsia="Arial" w:hAnsi="Arial"/>
                <w:sz w:val="13"/>
                <w:szCs w:val="13"/>
                <w:color w:val="auto"/>
              </w:rPr>
              <w:t>60,000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219,226</w:t>
            </w:r>
          </w:p>
        </w:tc>
        <w:tc>
          <w:tcPr>
            <w:tcW w:w="80" w:type="dxa"/>
            <w:vAlign w:val="bottom"/>
          </w:tcPr>
          <w:p>
            <w:pPr>
              <w:spacing w:after="0"/>
              <w:rPr>
                <w:sz w:val="14"/>
                <w:szCs w:val="14"/>
                <w:color w:val="auto"/>
              </w:rPr>
            </w:pPr>
          </w:p>
        </w:tc>
      </w:tr>
      <w:tr>
        <w:trPr>
          <w:trHeight w:val="170"/>
        </w:trPr>
        <w:tc>
          <w:tcPr>
            <w:tcW w:w="5160" w:type="dxa"/>
            <w:vAlign w:val="bottom"/>
            <w:shd w:val="clear" w:color="auto" w:fill="E7E6E6"/>
          </w:tcPr>
          <w:p>
            <w:pPr>
              <w:ind w:left="120"/>
              <w:spacing w:after="0"/>
              <w:rPr>
                <w:sz w:val="20"/>
                <w:szCs w:val="20"/>
                <w:color w:val="auto"/>
              </w:rPr>
            </w:pPr>
            <w:r>
              <w:rPr>
                <w:rFonts w:ascii="Arial" w:cs="Arial" w:eastAsia="Arial" w:hAnsi="Arial"/>
                <w:sz w:val="13"/>
                <w:szCs w:val="13"/>
                <w:color w:val="auto"/>
              </w:rPr>
              <w:t>Richard N. Kender</w:t>
            </w:r>
          </w:p>
        </w:tc>
        <w:tc>
          <w:tcPr>
            <w:tcW w:w="1200" w:type="dxa"/>
            <w:vAlign w:val="bottom"/>
            <w:shd w:val="clear" w:color="auto" w:fill="E7E6E6"/>
          </w:tcPr>
          <w:p>
            <w:pPr>
              <w:jc w:val="right"/>
              <w:spacing w:after="0"/>
              <w:rPr>
                <w:sz w:val="20"/>
                <w:szCs w:val="20"/>
                <w:color w:val="auto"/>
              </w:rPr>
            </w:pPr>
            <w:r>
              <w:rPr>
                <w:rFonts w:ascii="Arial" w:cs="Arial" w:eastAsia="Arial" w:hAnsi="Arial"/>
                <w:sz w:val="13"/>
                <w:szCs w:val="13"/>
                <w:color w:val="auto"/>
              </w:rPr>
              <w:t>73,466</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159,226</w:t>
            </w:r>
          </w:p>
        </w:tc>
        <w:tc>
          <w:tcPr>
            <w:tcW w:w="1280" w:type="dxa"/>
            <w:vAlign w:val="bottom"/>
            <w:gridSpan w:val="2"/>
            <w:shd w:val="clear" w:color="auto" w:fill="E7E6E6"/>
          </w:tcPr>
          <w:p>
            <w:pPr>
              <w:jc w:val="right"/>
              <w:spacing w:after="0"/>
              <w:rPr>
                <w:sz w:val="20"/>
                <w:szCs w:val="20"/>
                <w:color w:val="auto"/>
              </w:rPr>
            </w:pPr>
            <w:r>
              <w:rPr>
                <w:rFonts w:ascii="Arial" w:cs="Arial" w:eastAsia="Arial" w:hAnsi="Arial"/>
                <w:sz w:val="13"/>
                <w:szCs w:val="13"/>
                <w:color w:val="auto"/>
              </w:rPr>
              <w:t>232,692</w:t>
            </w:r>
          </w:p>
        </w:tc>
        <w:tc>
          <w:tcPr>
            <w:tcW w:w="80" w:type="dxa"/>
            <w:vAlign w:val="bottom"/>
            <w:shd w:val="clear" w:color="auto" w:fill="E7E6E6"/>
          </w:tcPr>
          <w:p>
            <w:pPr>
              <w:spacing w:after="0"/>
              <w:rPr>
                <w:sz w:val="14"/>
                <w:szCs w:val="14"/>
                <w:color w:val="auto"/>
              </w:rPr>
            </w:pPr>
          </w:p>
        </w:tc>
      </w:tr>
      <w:tr>
        <w:trPr>
          <w:trHeight w:val="170"/>
        </w:trPr>
        <w:tc>
          <w:tcPr>
            <w:tcW w:w="51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Meryl S. Zausner(4)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32,697</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32,697</w:t>
            </w:r>
          </w:p>
        </w:tc>
        <w:tc>
          <w:tcPr>
            <w:tcW w:w="80" w:type="dxa"/>
            <w:vAlign w:val="bottom"/>
          </w:tcPr>
          <w:p>
            <w:pPr>
              <w:spacing w:after="0"/>
              <w:rPr>
                <w:sz w:val="14"/>
                <w:szCs w:val="14"/>
                <w:color w:val="auto"/>
              </w:rPr>
            </w:pPr>
          </w:p>
        </w:tc>
      </w:tr>
    </w:tbl>
    <w:p>
      <w:pPr>
        <w:spacing w:after="0" w:line="105" w:lineRule="exact"/>
        <w:rPr>
          <w:sz w:val="20"/>
          <w:szCs w:val="20"/>
          <w:color w:val="auto"/>
        </w:rPr>
      </w:pPr>
    </w:p>
    <w:p>
      <w:pPr>
        <w:ind w:left="380" w:hanging="375"/>
        <w:spacing w:after="0" w:line="249" w:lineRule="auto"/>
        <w:tabs>
          <w:tab w:leader="none" w:pos="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2023 computed in accordance with FASB ASC Topic 718. For a description of the assumptions used in valuing these awards, see Note 11 to our audited consolidated financial statements included in our Annual Report on Form 10-K for the fiscal year ended December 31, 2023. The table below shows the number of option awards held as of December 31, 2023 by each of our directors who are not NEOs. None of our directors held unvested stock awards as of that date.</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80" w:right="419" w:bottom="1440" w:gutter="0" w:footer="0" w:header="0"/>
        </w:sectPr>
      </w:pPr>
    </w:p>
    <w:bookmarkStart w:id="46" w:name="page47"/>
    <w:bookmarkEnd w:id="46"/>
    <w:tbl>
      <w:tblPr>
        <w:tblLayout w:type="fixed"/>
        <w:tblInd w:w="1115" w:type="dxa"/>
        <w:tblCellMar>
          <w:top w:w="0" w:type="dxa"/>
          <w:left w:w="0" w:type="dxa"/>
          <w:bottom w:w="0" w:type="dxa"/>
          <w:right w:w="0" w:type="dxa"/>
        </w:tblCellMar>
      </w:tblPr>
      <w:tr>
        <w:trPr>
          <w:trHeight w:val="184"/>
        </w:trPr>
        <w:tc>
          <w:tcPr>
            <w:tcW w:w="7240" w:type="dxa"/>
            <w:vAlign w:val="bottom"/>
            <w:shd w:val="clear" w:color="auto" w:fill="E5E5E5"/>
          </w:tcPr>
          <w:p>
            <w:pPr>
              <w:spacing w:after="0"/>
              <w:rPr>
                <w:sz w:val="15"/>
                <w:szCs w:val="15"/>
                <w:color w:val="auto"/>
              </w:rPr>
            </w:pPr>
          </w:p>
        </w:tc>
        <w:tc>
          <w:tcPr>
            <w:tcW w:w="17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Option Awards</w:t>
            </w:r>
          </w:p>
        </w:tc>
      </w:tr>
      <w:tr>
        <w:trPr>
          <w:trHeight w:val="144"/>
        </w:trPr>
        <w:tc>
          <w:tcPr>
            <w:tcW w:w="7240" w:type="dxa"/>
            <w:vAlign w:val="bottom"/>
            <w:shd w:val="clear" w:color="auto" w:fill="E5E5E5"/>
          </w:tcPr>
          <w:p>
            <w:pPr>
              <w:spacing w:after="0"/>
              <w:rPr>
                <w:sz w:val="12"/>
                <w:szCs w:val="12"/>
                <w:color w:val="auto"/>
              </w:rPr>
            </w:pPr>
          </w:p>
        </w:tc>
        <w:tc>
          <w:tcPr>
            <w:tcW w:w="1760" w:type="dxa"/>
            <w:vAlign w:val="bottom"/>
            <w:gridSpan w:val="2"/>
            <w:shd w:val="clear" w:color="auto" w:fill="E5E5E5"/>
          </w:tcPr>
          <w:p>
            <w:pPr>
              <w:jc w:val="center"/>
              <w:spacing w:after="0" w:line="144" w:lineRule="exact"/>
              <w:rPr>
                <w:sz w:val="20"/>
                <w:szCs w:val="20"/>
                <w:color w:val="auto"/>
              </w:rPr>
            </w:pPr>
            <w:r>
              <w:rPr>
                <w:rFonts w:ascii="Arial" w:cs="Arial" w:eastAsia="Arial" w:hAnsi="Arial"/>
                <w:sz w:val="13"/>
                <w:szCs w:val="13"/>
                <w:color w:val="auto"/>
              </w:rPr>
              <w:t>Outstanding as of</w:t>
            </w:r>
          </w:p>
        </w:tc>
      </w:tr>
      <w:tr>
        <w:trPr>
          <w:trHeight w:val="170"/>
        </w:trPr>
        <w:tc>
          <w:tcPr>
            <w:tcW w:w="7240" w:type="dxa"/>
            <w:vAlign w:val="bottom"/>
            <w:shd w:val="clear" w:color="auto" w:fill="E5E5E5"/>
          </w:tcPr>
          <w:p>
            <w:pPr>
              <w:ind w:left="120"/>
              <w:spacing w:after="0"/>
              <w:rPr>
                <w:sz w:val="20"/>
                <w:szCs w:val="20"/>
                <w:color w:val="auto"/>
              </w:rPr>
            </w:pPr>
            <w:r>
              <w:rPr>
                <w:rFonts w:ascii="Arial" w:cs="Arial" w:eastAsia="Arial" w:hAnsi="Arial"/>
                <w:sz w:val="13"/>
                <w:szCs w:val="13"/>
                <w:color w:val="auto"/>
              </w:rPr>
              <w:t>Name</w:t>
            </w:r>
          </w:p>
        </w:tc>
        <w:tc>
          <w:tcPr>
            <w:tcW w:w="17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auto"/>
              </w:rPr>
              <w:t>December 31, 2023 (#)</w:t>
            </w:r>
          </w:p>
        </w:tc>
      </w:tr>
      <w:tr>
        <w:trPr>
          <w:trHeight w:val="163"/>
        </w:trPr>
        <w:tc>
          <w:tcPr>
            <w:tcW w:w="72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Dennis A. Ausiello, M.D.</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258,000</w:t>
            </w:r>
          </w:p>
        </w:tc>
        <w:tc>
          <w:tcPr>
            <w:tcW w:w="80" w:type="dxa"/>
            <w:vAlign w:val="bottom"/>
            <w:tcBorders>
              <w:top w:val="single" w:sz="8" w:color="E5E5E5"/>
            </w:tcBorders>
          </w:tcPr>
          <w:p>
            <w:pPr>
              <w:spacing w:after="0"/>
              <w:rPr>
                <w:sz w:val="14"/>
                <w:szCs w:val="14"/>
                <w:color w:val="auto"/>
              </w:rPr>
            </w:pPr>
          </w:p>
        </w:tc>
      </w:tr>
      <w:tr>
        <w:trPr>
          <w:trHeight w:val="170"/>
        </w:trPr>
        <w:tc>
          <w:tcPr>
            <w:tcW w:w="7240" w:type="dxa"/>
            <w:vAlign w:val="bottom"/>
            <w:shd w:val="clear" w:color="auto" w:fill="E5E5E5"/>
          </w:tcPr>
          <w:p>
            <w:pPr>
              <w:ind w:left="120"/>
              <w:spacing w:after="0"/>
              <w:rPr>
                <w:sz w:val="20"/>
                <w:szCs w:val="20"/>
                <w:color w:val="auto"/>
              </w:rPr>
            </w:pPr>
            <w:r>
              <w:rPr>
                <w:rFonts w:ascii="Arial" w:cs="Arial" w:eastAsia="Arial" w:hAnsi="Arial"/>
                <w:sz w:val="13"/>
                <w:szCs w:val="13"/>
                <w:color w:val="auto"/>
              </w:rPr>
              <w:t>Grégory Behar</w:t>
            </w:r>
          </w:p>
        </w:tc>
        <w:tc>
          <w:tcPr>
            <w:tcW w:w="1760" w:type="dxa"/>
            <w:vAlign w:val="bottom"/>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r>
      <w:tr>
        <w:trPr>
          <w:trHeight w:val="170"/>
        </w:trPr>
        <w:tc>
          <w:tcPr>
            <w:tcW w:w="7240" w:type="dxa"/>
            <w:vAlign w:val="bottom"/>
          </w:tcPr>
          <w:p>
            <w:pPr>
              <w:ind w:left="120"/>
              <w:spacing w:after="0"/>
              <w:rPr>
                <w:sz w:val="20"/>
                <w:szCs w:val="20"/>
                <w:color w:val="auto"/>
              </w:rPr>
            </w:pPr>
            <w:r>
              <w:rPr>
                <w:rFonts w:ascii="Arial" w:cs="Arial" w:eastAsia="Arial" w:hAnsi="Arial"/>
                <w:sz w:val="13"/>
                <w:szCs w:val="13"/>
                <w:color w:val="auto"/>
              </w:rPr>
              <w:t>Stephen A. Berenson</w:t>
            </w:r>
          </w:p>
        </w:tc>
        <w:tc>
          <w:tcPr>
            <w:tcW w:w="1680" w:type="dxa"/>
            <w:vAlign w:val="bottom"/>
          </w:tcPr>
          <w:p>
            <w:pPr>
              <w:jc w:val="right"/>
              <w:spacing w:after="0"/>
              <w:rPr>
                <w:sz w:val="20"/>
                <w:szCs w:val="20"/>
                <w:color w:val="auto"/>
              </w:rPr>
            </w:pPr>
            <w:r>
              <w:rPr>
                <w:rFonts w:ascii="Arial" w:cs="Arial" w:eastAsia="Arial" w:hAnsi="Arial"/>
                <w:sz w:val="13"/>
                <w:szCs w:val="13"/>
                <w:color w:val="auto"/>
              </w:rPr>
              <w:t>153,000</w:t>
            </w:r>
          </w:p>
        </w:tc>
        <w:tc>
          <w:tcPr>
            <w:tcW w:w="80" w:type="dxa"/>
            <w:vAlign w:val="bottom"/>
          </w:tcPr>
          <w:p>
            <w:pPr>
              <w:spacing w:after="0"/>
              <w:rPr>
                <w:sz w:val="14"/>
                <w:szCs w:val="14"/>
                <w:color w:val="auto"/>
              </w:rPr>
            </w:pPr>
          </w:p>
        </w:tc>
      </w:tr>
      <w:tr>
        <w:trPr>
          <w:trHeight w:val="170"/>
        </w:trPr>
        <w:tc>
          <w:tcPr>
            <w:tcW w:w="7240" w:type="dxa"/>
            <w:vAlign w:val="bottom"/>
            <w:shd w:val="clear" w:color="auto" w:fill="E5E5E5"/>
          </w:tcPr>
          <w:p>
            <w:pPr>
              <w:ind w:left="120"/>
              <w:spacing w:after="0"/>
              <w:rPr>
                <w:sz w:val="20"/>
                <w:szCs w:val="20"/>
                <w:color w:val="auto"/>
              </w:rPr>
            </w:pPr>
            <w:r>
              <w:rPr>
                <w:rFonts w:ascii="Arial" w:cs="Arial" w:eastAsia="Arial" w:hAnsi="Arial"/>
                <w:sz w:val="13"/>
                <w:szCs w:val="13"/>
                <w:color w:val="auto"/>
              </w:rPr>
              <w:t>Paul R. Biondi</w:t>
            </w:r>
          </w:p>
        </w:tc>
        <w:tc>
          <w:tcPr>
            <w:tcW w:w="16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153,000</w:t>
            </w:r>
          </w:p>
        </w:tc>
        <w:tc>
          <w:tcPr>
            <w:tcW w:w="80" w:type="dxa"/>
            <w:vAlign w:val="bottom"/>
            <w:shd w:val="clear" w:color="auto" w:fill="E5E5E5"/>
          </w:tcPr>
          <w:p>
            <w:pPr>
              <w:spacing w:after="0"/>
              <w:rPr>
                <w:sz w:val="14"/>
                <w:szCs w:val="14"/>
                <w:color w:val="auto"/>
              </w:rPr>
            </w:pPr>
          </w:p>
        </w:tc>
      </w:tr>
      <w:tr>
        <w:trPr>
          <w:trHeight w:val="170"/>
        </w:trPr>
        <w:tc>
          <w:tcPr>
            <w:tcW w:w="7240" w:type="dxa"/>
            <w:vAlign w:val="bottom"/>
          </w:tcPr>
          <w:p>
            <w:pPr>
              <w:ind w:left="120"/>
              <w:spacing w:after="0"/>
              <w:rPr>
                <w:sz w:val="20"/>
                <w:szCs w:val="20"/>
                <w:color w:val="auto"/>
              </w:rPr>
            </w:pPr>
            <w:r>
              <w:rPr>
                <w:rFonts w:ascii="Arial" w:cs="Arial" w:eastAsia="Arial" w:hAnsi="Arial"/>
                <w:sz w:val="13"/>
                <w:szCs w:val="13"/>
                <w:color w:val="auto"/>
              </w:rPr>
              <w:t>Willard H. Dere, M.D.</w:t>
            </w:r>
          </w:p>
        </w:tc>
        <w:tc>
          <w:tcPr>
            <w:tcW w:w="1680" w:type="dxa"/>
            <w:vAlign w:val="bottom"/>
          </w:tcPr>
          <w:p>
            <w:pPr>
              <w:jc w:val="right"/>
              <w:spacing w:after="0"/>
              <w:rPr>
                <w:sz w:val="20"/>
                <w:szCs w:val="20"/>
                <w:color w:val="auto"/>
              </w:rPr>
            </w:pPr>
            <w:r>
              <w:rPr>
                <w:rFonts w:ascii="Arial" w:cs="Arial" w:eastAsia="Arial" w:hAnsi="Arial"/>
                <w:sz w:val="13"/>
                <w:szCs w:val="13"/>
                <w:color w:val="auto"/>
              </w:rPr>
              <w:t>183,000</w:t>
            </w:r>
          </w:p>
        </w:tc>
        <w:tc>
          <w:tcPr>
            <w:tcW w:w="80" w:type="dxa"/>
            <w:vAlign w:val="bottom"/>
          </w:tcPr>
          <w:p>
            <w:pPr>
              <w:spacing w:after="0"/>
              <w:rPr>
                <w:sz w:val="14"/>
                <w:szCs w:val="14"/>
                <w:color w:val="auto"/>
              </w:rPr>
            </w:pPr>
          </w:p>
        </w:tc>
      </w:tr>
      <w:tr>
        <w:trPr>
          <w:trHeight w:val="170"/>
        </w:trPr>
        <w:tc>
          <w:tcPr>
            <w:tcW w:w="7240" w:type="dxa"/>
            <w:vAlign w:val="bottom"/>
            <w:shd w:val="clear" w:color="auto" w:fill="E5E5E5"/>
          </w:tcPr>
          <w:p>
            <w:pPr>
              <w:ind w:left="120"/>
              <w:spacing w:after="0"/>
              <w:rPr>
                <w:sz w:val="20"/>
                <w:szCs w:val="20"/>
                <w:color w:val="auto"/>
              </w:rPr>
            </w:pPr>
            <w:r>
              <w:rPr>
                <w:rFonts w:ascii="Arial" w:cs="Arial" w:eastAsia="Arial" w:hAnsi="Arial"/>
                <w:sz w:val="13"/>
                <w:szCs w:val="13"/>
                <w:color w:val="auto"/>
              </w:rPr>
              <w:t>Claire M. Fraser, Ph.D.</w:t>
            </w:r>
          </w:p>
        </w:tc>
        <w:tc>
          <w:tcPr>
            <w:tcW w:w="16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83,000</w:t>
            </w:r>
          </w:p>
        </w:tc>
        <w:tc>
          <w:tcPr>
            <w:tcW w:w="80" w:type="dxa"/>
            <w:vAlign w:val="bottom"/>
            <w:shd w:val="clear" w:color="auto" w:fill="E5E5E5"/>
          </w:tcPr>
          <w:p>
            <w:pPr>
              <w:spacing w:after="0"/>
              <w:rPr>
                <w:sz w:val="14"/>
                <w:szCs w:val="14"/>
                <w:color w:val="auto"/>
              </w:rPr>
            </w:pPr>
          </w:p>
        </w:tc>
      </w:tr>
      <w:tr>
        <w:trPr>
          <w:trHeight w:val="170"/>
        </w:trPr>
        <w:tc>
          <w:tcPr>
            <w:tcW w:w="7240" w:type="dxa"/>
            <w:vAlign w:val="bottom"/>
          </w:tcPr>
          <w:p>
            <w:pPr>
              <w:ind w:left="120"/>
              <w:spacing w:after="0"/>
              <w:rPr>
                <w:sz w:val="20"/>
                <w:szCs w:val="20"/>
                <w:color w:val="auto"/>
              </w:rPr>
            </w:pPr>
            <w:r>
              <w:rPr>
                <w:rFonts w:ascii="Arial" w:cs="Arial" w:eastAsia="Arial" w:hAnsi="Arial"/>
                <w:sz w:val="13"/>
                <w:szCs w:val="13"/>
                <w:color w:val="auto"/>
              </w:rPr>
              <w:t>Kurt C. Graves</w:t>
            </w:r>
          </w:p>
        </w:tc>
        <w:tc>
          <w:tcPr>
            <w:tcW w:w="1680" w:type="dxa"/>
            <w:vAlign w:val="bottom"/>
          </w:tcPr>
          <w:p>
            <w:pPr>
              <w:jc w:val="right"/>
              <w:spacing w:after="0"/>
              <w:rPr>
                <w:sz w:val="20"/>
                <w:szCs w:val="20"/>
                <w:color w:val="auto"/>
              </w:rPr>
            </w:pPr>
            <w:r>
              <w:rPr>
                <w:rFonts w:ascii="Arial" w:cs="Arial" w:eastAsia="Arial" w:hAnsi="Arial"/>
                <w:sz w:val="13"/>
                <w:szCs w:val="13"/>
                <w:color w:val="auto"/>
              </w:rPr>
              <w:t>213,000</w:t>
            </w:r>
          </w:p>
        </w:tc>
        <w:tc>
          <w:tcPr>
            <w:tcW w:w="80" w:type="dxa"/>
            <w:vAlign w:val="bottom"/>
          </w:tcPr>
          <w:p>
            <w:pPr>
              <w:spacing w:after="0"/>
              <w:rPr>
                <w:sz w:val="14"/>
                <w:szCs w:val="14"/>
                <w:color w:val="auto"/>
              </w:rPr>
            </w:pPr>
          </w:p>
        </w:tc>
      </w:tr>
      <w:tr>
        <w:trPr>
          <w:trHeight w:val="170"/>
        </w:trPr>
        <w:tc>
          <w:tcPr>
            <w:tcW w:w="7240" w:type="dxa"/>
            <w:vAlign w:val="bottom"/>
            <w:shd w:val="clear" w:color="auto" w:fill="E7E6E6"/>
          </w:tcPr>
          <w:p>
            <w:pPr>
              <w:ind w:left="120"/>
              <w:spacing w:after="0"/>
              <w:rPr>
                <w:sz w:val="20"/>
                <w:szCs w:val="20"/>
                <w:color w:val="auto"/>
              </w:rPr>
            </w:pPr>
            <w:r>
              <w:rPr>
                <w:rFonts w:ascii="Arial" w:cs="Arial" w:eastAsia="Arial" w:hAnsi="Arial"/>
                <w:sz w:val="13"/>
                <w:szCs w:val="13"/>
                <w:color w:val="auto"/>
              </w:rPr>
              <w:t>Richard N. Kender</w:t>
            </w:r>
          </w:p>
        </w:tc>
        <w:tc>
          <w:tcPr>
            <w:tcW w:w="1680" w:type="dxa"/>
            <w:vAlign w:val="bottom"/>
            <w:shd w:val="clear" w:color="auto" w:fill="E7E6E6"/>
          </w:tcPr>
          <w:p>
            <w:pPr>
              <w:jc w:val="right"/>
              <w:spacing w:after="0"/>
              <w:rPr>
                <w:sz w:val="20"/>
                <w:szCs w:val="20"/>
                <w:color w:val="auto"/>
              </w:rPr>
            </w:pPr>
            <w:r>
              <w:rPr>
                <w:rFonts w:ascii="Arial" w:cs="Arial" w:eastAsia="Arial" w:hAnsi="Arial"/>
                <w:sz w:val="13"/>
                <w:szCs w:val="13"/>
                <w:color w:val="auto"/>
              </w:rPr>
              <w:t>273,000</w:t>
            </w:r>
          </w:p>
        </w:tc>
        <w:tc>
          <w:tcPr>
            <w:tcW w:w="80" w:type="dxa"/>
            <w:vAlign w:val="bottom"/>
            <w:shd w:val="clear" w:color="auto" w:fill="E7E6E6"/>
          </w:tcPr>
          <w:p>
            <w:pPr>
              <w:spacing w:after="0"/>
              <w:rPr>
                <w:sz w:val="14"/>
                <w:szCs w:val="14"/>
                <w:color w:val="auto"/>
              </w:rPr>
            </w:pPr>
          </w:p>
        </w:tc>
      </w:tr>
      <w:tr>
        <w:trPr>
          <w:trHeight w:val="170"/>
        </w:trPr>
        <w:tc>
          <w:tcPr>
            <w:tcW w:w="7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Meryl S. Zausner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bl>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6565900</wp:posOffset>
            </wp:positionH>
            <wp:positionV relativeFrom="page">
              <wp:posOffset>699135</wp:posOffset>
            </wp:positionV>
            <wp:extent cx="75565" cy="3492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5565" cy="349250"/>
                    </a:xfrm>
                    <a:prstGeom prst="rect">
                      <a:avLst/>
                    </a:prstGeom>
                    <a:noFill/>
                  </pic:spPr>
                </pic:pic>
              </a:graphicData>
            </a:graphic>
          </wp:anchor>
        </w:drawing>
      </w:r>
    </w:p>
    <w:p>
      <w:pPr>
        <w:ind w:left="375" w:hanging="375"/>
        <w:spacing w:after="0"/>
        <w:tabs>
          <w:tab w:leader="none" w:pos="375"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Behar resigned from our Board effective October 2, 2023.</w:t>
      </w:r>
    </w:p>
    <w:p>
      <w:pPr>
        <w:spacing w:after="0" w:line="6" w:lineRule="exact"/>
        <w:rPr>
          <w:rFonts w:ascii="Arial" w:cs="Arial" w:eastAsia="Arial" w:hAnsi="Arial"/>
          <w:sz w:val="13"/>
          <w:szCs w:val="13"/>
          <w:color w:val="auto"/>
        </w:rPr>
      </w:pPr>
    </w:p>
    <w:p>
      <w:pPr>
        <w:ind w:left="375" w:hanging="375"/>
        <w:spacing w:after="0" w:line="231" w:lineRule="auto"/>
        <w:tabs>
          <w:tab w:leader="none" w:pos="375" w:val="left"/>
        </w:tabs>
        <w:numPr>
          <w:ilvl w:val="0"/>
          <w:numId w:val="31"/>
        </w:numPr>
        <w:rPr>
          <w:rFonts w:ascii="Arial" w:cs="Arial" w:eastAsia="Arial" w:hAnsi="Arial"/>
          <w:sz w:val="13"/>
          <w:szCs w:val="13"/>
          <w:color w:val="auto"/>
        </w:rPr>
      </w:pPr>
      <w:r>
        <w:rPr>
          <w:rFonts w:ascii="Arial" w:cs="Arial" w:eastAsia="Arial" w:hAnsi="Arial"/>
          <w:sz w:val="13"/>
          <w:szCs w:val="13"/>
          <w:color w:val="auto"/>
        </w:rPr>
        <w:t>Dr. Fraser began serving on our Board on January 5, 2023.</w:t>
      </w:r>
    </w:p>
    <w:p>
      <w:pPr>
        <w:ind w:left="375" w:hanging="375"/>
        <w:spacing w:after="0"/>
        <w:tabs>
          <w:tab w:leader="none" w:pos="375" w:val="left"/>
        </w:tabs>
        <w:numPr>
          <w:ilvl w:val="0"/>
          <w:numId w:val="31"/>
        </w:numPr>
        <w:rPr>
          <w:rFonts w:ascii="Arial" w:cs="Arial" w:eastAsia="Arial" w:hAnsi="Arial"/>
          <w:sz w:val="13"/>
          <w:szCs w:val="13"/>
          <w:color w:val="auto"/>
        </w:rPr>
      </w:pPr>
      <w:r>
        <w:rPr>
          <w:rFonts w:ascii="Arial" w:cs="Arial" w:eastAsia="Arial" w:hAnsi="Arial"/>
          <w:sz w:val="13"/>
          <w:szCs w:val="13"/>
          <w:color w:val="auto"/>
        </w:rPr>
        <w:t>Ms. Zausner served on our Board until her term ended at the 2023 Annual Meeting of Stockholders on June 22, 2023.</w:t>
      </w:r>
    </w:p>
    <w:p>
      <w:pPr>
        <w:spacing w:after="0" w:line="83" w:lineRule="exact"/>
        <w:rPr>
          <w:sz w:val="20"/>
          <w:szCs w:val="20"/>
          <w:color w:val="auto"/>
        </w:rPr>
      </w:pPr>
    </w:p>
    <w:p>
      <w:pPr>
        <w:ind w:left="5515"/>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463550</wp:posOffset>
            </wp:positionV>
            <wp:extent cx="716216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5"/>
          </w:cols>
          <w:pgMar w:left="325" w:top="1121" w:right="1440"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765" cy="8255"/>
                    </a:xfrm>
                    <a:prstGeom prst="rect">
                      <a:avLst/>
                    </a:prstGeom>
                    <a:noFill/>
                  </pic:spPr>
                </pic:pic>
              </a:graphicData>
            </a:graphic>
          </wp:anchor>
        </w:drawing>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136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our equity compensation plans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765" cy="623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765" cy="62357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1700" w:type="dxa"/>
            <w:vAlign w:val="bottom"/>
            <w:tcBorders>
              <w:top w:val="single" w:sz="8" w:color="E5E5E5"/>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E5E5E5"/>
            </w:tcBorders>
          </w:tcPr>
          <w:p>
            <w:pPr>
              <w:spacing w:after="0"/>
              <w:rPr>
                <w:sz w:val="15"/>
                <w:szCs w:val="15"/>
                <w:color w:val="auto"/>
              </w:rPr>
            </w:pPr>
          </w:p>
        </w:tc>
        <w:tc>
          <w:tcPr>
            <w:tcW w:w="100" w:type="dxa"/>
            <w:vAlign w:val="bottom"/>
            <w:tcBorders>
              <w:top w:val="single" w:sz="8" w:color="E5E5E5"/>
            </w:tcBorders>
          </w:tcPr>
          <w:p>
            <w:pPr>
              <w:spacing w:after="0"/>
              <w:rPr>
                <w:sz w:val="15"/>
                <w:szCs w:val="15"/>
                <w:color w:val="auto"/>
              </w:rPr>
            </w:pPr>
          </w:p>
        </w:tc>
        <w:tc>
          <w:tcPr>
            <w:tcW w:w="1400" w:type="dxa"/>
            <w:vAlign w:val="bottom"/>
            <w:tcBorders>
              <w:top w:val="single" w:sz="8" w:color="E5E5E5"/>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E5E5E5"/>
            </w:tcBorders>
          </w:tcPr>
          <w:p>
            <w:pPr>
              <w:spacing w:after="0"/>
              <w:rPr>
                <w:sz w:val="15"/>
                <w:szCs w:val="15"/>
                <w:color w:val="auto"/>
              </w:rPr>
            </w:pPr>
          </w:p>
        </w:tc>
        <w:tc>
          <w:tcPr>
            <w:tcW w:w="1540" w:type="dxa"/>
            <w:vAlign w:val="bottom"/>
            <w:tcBorders>
              <w:top w:val="single" w:sz="8" w:color="E5E5E5"/>
            </w:tcBorders>
          </w:tcPr>
          <w:p>
            <w:pPr>
              <w:jc w:val="center"/>
              <w:spacing w:after="0"/>
              <w:rPr>
                <w:sz w:val="20"/>
                <w:szCs w:val="20"/>
                <w:color w:val="auto"/>
              </w:rPr>
            </w:pPr>
            <w:r>
              <w:rPr>
                <w:rFonts w:ascii="Arial" w:cs="Arial" w:eastAsia="Arial" w:hAnsi="Arial"/>
                <w:sz w:val="13"/>
                <w:szCs w:val="13"/>
                <w:color w:val="auto"/>
              </w:rPr>
              <w:t>Number of Securities</w:t>
            </w:r>
          </w:p>
        </w:tc>
        <w:tc>
          <w:tcPr>
            <w:tcW w:w="120" w:type="dxa"/>
            <w:vAlign w:val="bottom"/>
          </w:tcPr>
          <w:p>
            <w:pPr>
              <w:spacing w:after="0"/>
              <w:rPr>
                <w:sz w:val="15"/>
                <w:szCs w:val="15"/>
                <w:color w:val="auto"/>
              </w:rPr>
            </w:pPr>
          </w:p>
        </w:tc>
        <w:tc>
          <w:tcPr>
            <w:tcW w:w="160" w:type="dxa"/>
            <w:vAlign w:val="bottom"/>
            <w:tcBorders>
              <w:top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320"/>
              <w:spacing w:after="0" w:line="144" w:lineRule="exact"/>
              <w:rPr>
                <w:sz w:val="20"/>
                <w:szCs w:val="20"/>
                <w:color w:val="auto"/>
              </w:rPr>
            </w:pPr>
            <w:r>
              <w:rPr>
                <w:rFonts w:ascii="Arial" w:cs="Arial" w:eastAsia="Arial" w:hAnsi="Arial"/>
                <w:sz w:val="13"/>
                <w:szCs w:val="13"/>
                <w:color w:val="auto"/>
              </w:rPr>
              <w:t>Available for Future</w:t>
            </w: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700" w:type="dxa"/>
            <w:vAlign w:val="bottom"/>
          </w:tcPr>
          <w:p>
            <w:pPr>
              <w:jc w:val="center"/>
              <w:ind w:left="35"/>
              <w:spacing w:after="0" w:line="144" w:lineRule="exact"/>
              <w:rPr>
                <w:sz w:val="20"/>
                <w:szCs w:val="20"/>
                <w:color w:val="auto"/>
              </w:rPr>
            </w:pPr>
            <w:r>
              <w:rPr>
                <w:rFonts w:ascii="Arial" w:cs="Arial" w:eastAsia="Arial" w:hAnsi="Arial"/>
                <w:sz w:val="13"/>
                <w:szCs w:val="13"/>
                <w:color w:val="auto"/>
              </w:rPr>
              <w:t>Number of 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316"/>
              <w:spacing w:after="0" w:line="144" w:lineRule="exact"/>
              <w:rPr>
                <w:sz w:val="20"/>
                <w:szCs w:val="20"/>
                <w:color w:val="auto"/>
              </w:rPr>
            </w:pPr>
            <w:r>
              <w:rPr>
                <w:rFonts w:ascii="Arial" w:cs="Arial" w:eastAsia="Arial" w:hAnsi="Arial"/>
                <w:sz w:val="13"/>
                <w:szCs w:val="13"/>
                <w:color w:val="auto"/>
                <w:w w:val="99"/>
              </w:rPr>
              <w:t>Weighted Average</w:t>
            </w:r>
          </w:p>
        </w:tc>
        <w:tc>
          <w:tcPr>
            <w:tcW w:w="1820" w:type="dxa"/>
            <w:vAlign w:val="bottom"/>
            <w:gridSpan w:val="3"/>
          </w:tcPr>
          <w:p>
            <w:pPr>
              <w:jc w:val="center"/>
              <w:ind w:right="300"/>
              <w:spacing w:after="0" w:line="144" w:lineRule="exact"/>
              <w:rPr>
                <w:sz w:val="20"/>
                <w:szCs w:val="20"/>
                <w:color w:val="auto"/>
              </w:rPr>
            </w:pPr>
            <w:r>
              <w:rPr>
                <w:rFonts w:ascii="Arial" w:cs="Arial" w:eastAsia="Arial" w:hAnsi="Arial"/>
                <w:sz w:val="13"/>
                <w:szCs w:val="13"/>
                <w:color w:val="auto"/>
              </w:rPr>
              <w:t>Issuance Under Equity</w:t>
            </w:r>
          </w:p>
        </w:tc>
        <w:tc>
          <w:tcPr>
            <w:tcW w:w="0" w:type="dxa"/>
            <w:vAlign w:val="bottom"/>
          </w:tcPr>
          <w:p>
            <w:pPr>
              <w:spacing w:after="0"/>
              <w:rPr>
                <w:sz w:val="1"/>
                <w:szCs w:val="1"/>
                <w:color w:val="auto"/>
              </w:rPr>
            </w:pPr>
          </w:p>
        </w:tc>
      </w:tr>
      <w:tr>
        <w:trPr>
          <w:trHeight w:val="144"/>
        </w:trPr>
        <w:tc>
          <w:tcPr>
            <w:tcW w:w="5740" w:type="dxa"/>
            <w:vAlign w:val="bottom"/>
          </w:tcPr>
          <w:p>
            <w:pPr>
              <w:spacing w:after="0"/>
              <w:rPr>
                <w:sz w:val="12"/>
                <w:szCs w:val="12"/>
                <w:color w:val="auto"/>
              </w:rPr>
            </w:pPr>
          </w:p>
        </w:tc>
        <w:tc>
          <w:tcPr>
            <w:tcW w:w="1700" w:type="dxa"/>
            <w:vAlign w:val="bottom"/>
          </w:tcPr>
          <w:p>
            <w:pPr>
              <w:jc w:val="center"/>
              <w:ind w:left="15"/>
              <w:spacing w:after="0" w:line="144" w:lineRule="exact"/>
              <w:rPr>
                <w:sz w:val="20"/>
                <w:szCs w:val="20"/>
                <w:color w:val="auto"/>
              </w:rPr>
            </w:pPr>
            <w:r>
              <w:rPr>
                <w:rFonts w:ascii="Arial" w:cs="Arial" w:eastAsia="Arial" w:hAnsi="Arial"/>
                <w:sz w:val="13"/>
                <w:szCs w:val="13"/>
                <w:color w:val="auto"/>
              </w:rPr>
              <w:t>Issued Upon 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316"/>
              <w:spacing w:after="0" w:line="144" w:lineRule="exact"/>
              <w:rPr>
                <w:sz w:val="20"/>
                <w:szCs w:val="20"/>
                <w:color w:val="auto"/>
              </w:rPr>
            </w:pPr>
            <w:r>
              <w:rPr>
                <w:rFonts w:ascii="Arial" w:cs="Arial" w:eastAsia="Arial" w:hAnsi="Arial"/>
                <w:sz w:val="13"/>
                <w:szCs w:val="13"/>
                <w:color w:val="auto"/>
              </w:rPr>
              <w:t>Exercise Price of</w:t>
            </w:r>
          </w:p>
        </w:tc>
        <w:tc>
          <w:tcPr>
            <w:tcW w:w="1820" w:type="dxa"/>
            <w:vAlign w:val="bottom"/>
            <w:gridSpan w:val="3"/>
          </w:tcPr>
          <w:p>
            <w:pPr>
              <w:jc w:val="center"/>
              <w:ind w:right="320"/>
              <w:spacing w:after="0" w:line="144" w:lineRule="exact"/>
              <w:rPr>
                <w:sz w:val="20"/>
                <w:szCs w:val="20"/>
                <w:color w:val="auto"/>
              </w:rPr>
            </w:pPr>
            <w:r>
              <w:rPr>
                <w:rFonts w:ascii="Arial" w:cs="Arial" w:eastAsia="Arial" w:hAnsi="Arial"/>
                <w:sz w:val="13"/>
                <w:szCs w:val="13"/>
                <w:color w:val="auto"/>
              </w:rPr>
              <w:t>Compensation Plans</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700" w:type="dxa"/>
            <w:vAlign w:val="bottom"/>
          </w:tcPr>
          <w:p>
            <w:pPr>
              <w:jc w:val="center"/>
              <w:ind w:left="15"/>
              <w:spacing w:after="0" w:line="135" w:lineRule="exact"/>
              <w:rPr>
                <w:sz w:val="20"/>
                <w:szCs w:val="20"/>
                <w:color w:val="auto"/>
              </w:rPr>
            </w:pPr>
            <w:r>
              <w:rPr>
                <w:rFonts w:ascii="Arial" w:cs="Arial" w:eastAsia="Arial" w:hAnsi="Arial"/>
                <w:sz w:val="13"/>
                <w:szCs w:val="13"/>
                <w:color w:val="auto"/>
                <w:w w:val="99"/>
              </w:rPr>
              <w:t>Outstanding Options,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right="316"/>
              <w:spacing w:after="0" w:line="135" w:lineRule="exact"/>
              <w:rPr>
                <w:sz w:val="20"/>
                <w:szCs w:val="20"/>
                <w:color w:val="auto"/>
              </w:rPr>
            </w:pPr>
            <w:r>
              <w:rPr>
                <w:rFonts w:ascii="Arial" w:cs="Arial" w:eastAsia="Arial" w:hAnsi="Arial"/>
                <w:sz w:val="13"/>
                <w:szCs w:val="13"/>
                <w:color w:val="auto"/>
                <w:w w:val="99"/>
              </w:rPr>
              <w:t>Outstanding Options,</w:t>
            </w:r>
          </w:p>
        </w:tc>
        <w:tc>
          <w:tcPr>
            <w:tcW w:w="1820" w:type="dxa"/>
            <w:vAlign w:val="bottom"/>
            <w:gridSpan w:val="3"/>
          </w:tcPr>
          <w:p>
            <w:pPr>
              <w:jc w:val="center"/>
              <w:ind w:right="320"/>
              <w:spacing w:after="0" w:line="135" w:lineRule="exact"/>
              <w:rPr>
                <w:sz w:val="20"/>
                <w:szCs w:val="20"/>
                <w:color w:val="auto"/>
              </w:rPr>
            </w:pPr>
            <w:r>
              <w:rPr>
                <w:rFonts w:ascii="Arial" w:cs="Arial" w:eastAsia="Arial" w:hAnsi="Arial"/>
                <w:sz w:val="13"/>
                <w:szCs w:val="13"/>
                <w:color w:val="auto"/>
                <w:w w:val="99"/>
              </w:rPr>
              <w:t>(excludes securities</w:t>
            </w:r>
          </w:p>
        </w:tc>
        <w:tc>
          <w:tcPr>
            <w:tcW w:w="0" w:type="dxa"/>
            <w:vAlign w:val="bottom"/>
          </w:tcPr>
          <w:p>
            <w:pPr>
              <w:spacing w:after="0"/>
              <w:rPr>
                <w:sz w:val="1"/>
                <w:szCs w:val="1"/>
                <w:color w:val="auto"/>
              </w:rPr>
            </w:pPr>
          </w:p>
        </w:tc>
      </w:tr>
      <w:tr>
        <w:trPr>
          <w:trHeight w:val="144"/>
        </w:trPr>
        <w:tc>
          <w:tcPr>
            <w:tcW w:w="5740" w:type="dxa"/>
            <w:vAlign w:val="bottom"/>
          </w:tcPr>
          <w:p>
            <w:pPr>
              <w:ind w:left="100"/>
              <w:spacing w:after="0" w:line="144" w:lineRule="exact"/>
              <w:rPr>
                <w:sz w:val="20"/>
                <w:szCs w:val="20"/>
                <w:color w:val="auto"/>
              </w:rPr>
            </w:pPr>
            <w:r>
              <w:rPr>
                <w:rFonts w:ascii="Arial" w:cs="Arial" w:eastAsia="Arial" w:hAnsi="Arial"/>
                <w:sz w:val="13"/>
                <w:szCs w:val="13"/>
                <w:color w:val="auto"/>
              </w:rPr>
              <w:t>Plan Category</w:t>
            </w:r>
          </w:p>
        </w:tc>
        <w:tc>
          <w:tcPr>
            <w:tcW w:w="1700" w:type="dxa"/>
            <w:vAlign w:val="bottom"/>
          </w:tcPr>
          <w:p>
            <w:pPr>
              <w:jc w:val="center"/>
              <w:ind w:left="55"/>
              <w:spacing w:after="0" w:line="144" w:lineRule="exact"/>
              <w:rPr>
                <w:sz w:val="20"/>
                <w:szCs w:val="20"/>
                <w:color w:val="auto"/>
              </w:rPr>
            </w:pPr>
            <w:r>
              <w:rPr>
                <w:rFonts w:ascii="Arial" w:cs="Arial" w:eastAsia="Arial" w:hAnsi="Arial"/>
                <w:sz w:val="13"/>
                <w:szCs w:val="13"/>
                <w:color w:val="auto"/>
                <w:w w:val="99"/>
              </w:rPr>
              <w:t>Warrants and Rights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ind w:left="60"/>
              <w:spacing w:after="0" w:line="144" w:lineRule="exact"/>
              <w:rPr>
                <w:sz w:val="20"/>
                <w:szCs w:val="20"/>
                <w:color w:val="auto"/>
              </w:rPr>
            </w:pPr>
            <w:r>
              <w:rPr>
                <w:rFonts w:ascii="Arial" w:cs="Arial" w:eastAsia="Arial" w:hAnsi="Arial"/>
                <w:sz w:val="13"/>
                <w:szCs w:val="13"/>
                <w:color w:val="auto"/>
              </w:rPr>
              <w:t>Warrants and Rights</w:t>
            </w:r>
          </w:p>
        </w:tc>
        <w:tc>
          <w:tcPr>
            <w:tcW w:w="1820" w:type="dxa"/>
            <w:vAlign w:val="bottom"/>
            <w:gridSpan w:val="3"/>
          </w:tcPr>
          <w:p>
            <w:pPr>
              <w:ind w:left="20"/>
              <w:spacing w:after="0" w:line="144" w:lineRule="exact"/>
              <w:rPr>
                <w:sz w:val="20"/>
                <w:szCs w:val="20"/>
                <w:color w:val="auto"/>
              </w:rPr>
            </w:pPr>
            <w:r>
              <w:rPr>
                <w:rFonts w:ascii="Arial" w:cs="Arial" w:eastAsia="Arial" w:hAnsi="Arial"/>
                <w:sz w:val="12"/>
                <w:szCs w:val="12"/>
                <w:color w:val="auto"/>
              </w:rPr>
              <w:t>reflected in first column)</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35"/>
        </w:trPr>
        <w:tc>
          <w:tcPr>
            <w:tcW w:w="57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restart"/>
          </w:tcPr>
          <w:p>
            <w:pPr>
              <w:jc w:val="right"/>
              <w:spacing w:after="0" w:line="88" w:lineRule="exact"/>
              <w:rPr>
                <w:sz w:val="20"/>
                <w:szCs w:val="20"/>
                <w:color w:val="auto"/>
              </w:rPr>
            </w:pPr>
            <w:r>
              <w:rPr>
                <w:rFonts w:ascii="Arial" w:cs="Arial" w:eastAsia="Arial" w:hAnsi="Arial"/>
                <w:sz w:val="9"/>
                <w:szCs w:val="9"/>
                <w:color w:val="auto"/>
                <w:w w:val="99"/>
              </w:rPr>
              <w:t>(4</w:t>
            </w: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5740" w:type="dxa"/>
            <w:vAlign w:val="bottom"/>
            <w:vMerge w:val="restart"/>
          </w:tcPr>
          <w:p>
            <w:pPr>
              <w:ind w:left="100"/>
              <w:spacing w:after="0"/>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7"/>
                <w:szCs w:val="17"/>
                <w:color w:val="auto"/>
                <w:vertAlign w:val="superscript"/>
              </w:rPr>
              <w:t>(2)</w:t>
            </w:r>
          </w:p>
        </w:tc>
        <w:tc>
          <w:tcPr>
            <w:tcW w:w="1700" w:type="dxa"/>
            <w:vAlign w:val="bottom"/>
            <w:vMerge w:val="restart"/>
          </w:tcPr>
          <w:p>
            <w:pPr>
              <w:jc w:val="right"/>
              <w:spacing w:after="0"/>
              <w:rPr>
                <w:sz w:val="20"/>
                <w:szCs w:val="20"/>
                <w:color w:val="auto"/>
              </w:rPr>
            </w:pPr>
            <w:r>
              <w:rPr>
                <w:rFonts w:ascii="Arial" w:cs="Arial" w:eastAsia="Arial" w:hAnsi="Arial"/>
                <w:sz w:val="13"/>
                <w:szCs w:val="13"/>
                <w:color w:val="auto"/>
              </w:rPr>
              <w:t>18,104,800</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820" w:type="dxa"/>
            <w:vAlign w:val="bottom"/>
            <w:gridSpan w:val="3"/>
            <w:vMerge w:val="restart"/>
          </w:tcPr>
          <w:p>
            <w:pPr>
              <w:ind w:left="960"/>
              <w:spacing w:after="0"/>
              <w:rPr>
                <w:sz w:val="20"/>
                <w:szCs w:val="20"/>
                <w:color w:val="auto"/>
              </w:rPr>
            </w:pPr>
            <w:r>
              <w:rPr>
                <w:rFonts w:ascii="Arial" w:cs="Arial" w:eastAsia="Arial" w:hAnsi="Arial"/>
                <w:sz w:val="13"/>
                <w:szCs w:val="13"/>
                <w:color w:val="auto"/>
              </w:rPr>
              <w:t xml:space="preserve">4,812,098  </w:t>
            </w:r>
            <w:r>
              <w:rPr>
                <w:rFonts w:ascii="Arial" w:cs="Arial" w:eastAsia="Arial" w:hAnsi="Arial"/>
                <w:sz w:val="17"/>
                <w:szCs w:val="17"/>
                <w:color w:val="auto"/>
                <w:vertAlign w:val="superscript"/>
              </w:rPr>
              <w:t>(5)</w:t>
            </w: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(3)</w:t>
            </w:r>
          </w:p>
        </w:tc>
        <w:tc>
          <w:tcPr>
            <w:tcW w:w="100" w:type="dxa"/>
            <w:vAlign w:val="bottom"/>
            <w:vMerge w:val="continue"/>
          </w:tcPr>
          <w:p>
            <w:pPr>
              <w:spacing w:after="0"/>
              <w:rPr>
                <w:sz w:val="14"/>
                <w:szCs w:val="14"/>
                <w:color w:val="auto"/>
              </w:rPr>
            </w:pPr>
          </w:p>
        </w:tc>
        <w:tc>
          <w:tcPr>
            <w:tcW w:w="1620" w:type="dxa"/>
            <w:vAlign w:val="bottom"/>
            <w:gridSpan w:val="3"/>
          </w:tcPr>
          <w:p>
            <w:pPr>
              <w:ind w:left="1140"/>
              <w:spacing w:after="0" w:line="170" w:lineRule="exact"/>
              <w:rPr>
                <w:sz w:val="20"/>
                <w:szCs w:val="20"/>
                <w:color w:val="auto"/>
              </w:rPr>
            </w:pPr>
            <w:r>
              <w:rPr>
                <w:rFonts w:ascii="Arial" w:cs="Arial" w:eastAsia="Arial" w:hAnsi="Arial"/>
                <w:sz w:val="13"/>
                <w:szCs w:val="13"/>
                <w:color w:val="auto"/>
              </w:rPr>
              <w:t xml:space="preserve">9.66  </w:t>
            </w:r>
            <w:r>
              <w:rPr>
                <w:rFonts w:ascii="Arial" w:cs="Arial" w:eastAsia="Arial" w:hAnsi="Arial"/>
                <w:sz w:val="17"/>
                <w:szCs w:val="17"/>
                <w:color w:val="auto"/>
                <w:vertAlign w:val="superscript"/>
              </w:rPr>
              <w:t>)</w:t>
            </w: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40" w:type="dxa"/>
            <w:vAlign w:val="bottom"/>
            <w:shd w:val="clear" w:color="auto" w:fill="E5E5E5"/>
          </w:tcPr>
          <w:p>
            <w:pPr>
              <w:ind w:left="100"/>
              <w:spacing w:after="0" w:line="170" w:lineRule="exact"/>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17"/>
                <w:szCs w:val="17"/>
                <w:color w:val="auto"/>
                <w:vertAlign w:val="superscript"/>
              </w:rPr>
              <w:t>(6)</w:t>
            </w:r>
          </w:p>
        </w:tc>
        <w:tc>
          <w:tcPr>
            <w:tcW w:w="1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117,116</w:t>
            </w: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E5E5E5"/>
          </w:tcPr>
          <w:p>
            <w:pPr>
              <w:ind w:left="1140"/>
              <w:spacing w:after="0"/>
              <w:rPr>
                <w:sz w:val="20"/>
                <w:szCs w:val="20"/>
                <w:color w:val="auto"/>
              </w:rPr>
            </w:pPr>
            <w:r>
              <w:rPr>
                <w:rFonts w:ascii="Arial" w:cs="Arial" w:eastAsia="Arial" w:hAnsi="Arial"/>
                <w:sz w:val="13"/>
                <w:szCs w:val="13"/>
                <w:color w:val="auto"/>
                <w:w w:val="94"/>
              </w:rPr>
              <w:t>4.94</w:t>
            </w:r>
          </w:p>
        </w:tc>
        <w:tc>
          <w:tcPr>
            <w:tcW w:w="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540" w:type="dxa"/>
            <w:vAlign w:val="bottom"/>
            <w:shd w:val="clear" w:color="auto" w:fill="E5E5E5"/>
          </w:tcPr>
          <w:p>
            <w:pPr>
              <w:ind w:left="960"/>
              <w:spacing w:after="0"/>
              <w:rPr>
                <w:sz w:val="20"/>
                <w:szCs w:val="20"/>
                <w:color w:val="auto"/>
              </w:rPr>
            </w:pPr>
            <w:r>
              <w:rPr>
                <w:rFonts w:ascii="Arial" w:cs="Arial" w:eastAsia="Arial" w:hAnsi="Arial"/>
                <w:sz w:val="13"/>
                <w:szCs w:val="13"/>
                <w:color w:val="auto"/>
                <w:w w:val="96"/>
              </w:rPr>
              <w:t>2,382,884</w:t>
            </w:r>
          </w:p>
        </w:tc>
        <w:tc>
          <w:tcPr>
            <w:tcW w:w="12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18,221,916</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3"/>
                <w:szCs w:val="13"/>
                <w:color w:val="auto"/>
                <w:w w:val="94"/>
              </w:rPr>
              <w:t>9.64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3"/>
                <w:szCs w:val="13"/>
                <w:color w:val="auto"/>
                <w:w w:val="96"/>
              </w:rPr>
              <w:t>7,194,982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380" w:right="120" w:hanging="375"/>
        <w:spacing w:after="0" w:line="235"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w:t>
      </w:r>
    </w:p>
    <w:p>
      <w:pPr>
        <w:spacing w:after="0" w:line="2" w:lineRule="exact"/>
        <w:rPr>
          <w:rFonts w:ascii="Arial" w:cs="Arial" w:eastAsia="Arial" w:hAnsi="Arial"/>
          <w:sz w:val="13"/>
          <w:szCs w:val="13"/>
          <w:color w:val="auto"/>
        </w:rPr>
      </w:pPr>
    </w:p>
    <w:p>
      <w:pPr>
        <w:ind w:left="380" w:right="680"/>
        <w:spacing w:after="0" w:line="248" w:lineRule="auto"/>
        <w:rPr>
          <w:rFonts w:ascii="Arial" w:cs="Arial" w:eastAsia="Arial" w:hAnsi="Arial"/>
          <w:sz w:val="13"/>
          <w:szCs w:val="13"/>
          <w:color w:val="auto"/>
        </w:rPr>
      </w:pPr>
      <w:r>
        <w:rPr>
          <w:rFonts w:ascii="Arial" w:cs="Arial" w:eastAsia="Arial" w:hAnsi="Arial"/>
          <w:sz w:val="13"/>
          <w:szCs w:val="13"/>
          <w:color w:val="auto"/>
        </w:rPr>
        <w:t>(a) 400,000 shares, (b) 1% of the shares of Common Stock outstanding on the final day of the immediately preceding calendar year and (c) such smaller number of shares as is determined by our Board.</w:t>
      </w:r>
    </w:p>
    <w:p>
      <w:pPr>
        <w:spacing w:after="0" w:line="19" w:lineRule="exact"/>
        <w:rPr>
          <w:rFonts w:ascii="Arial" w:cs="Arial" w:eastAsia="Arial" w:hAnsi="Arial"/>
          <w:sz w:val="13"/>
          <w:szCs w:val="13"/>
          <w:color w:val="auto"/>
        </w:rPr>
      </w:pPr>
    </w:p>
    <w:p>
      <w:pPr>
        <w:ind w:left="380" w:hanging="375"/>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the 2012 Stock Incentive Plan (the “2012 Plan”), the 2015 Plan, and the 2015 ESPP.</w:t>
      </w:r>
    </w:p>
    <w:p>
      <w:pPr>
        <w:spacing w:after="0" w:line="46" w:lineRule="exact"/>
        <w:rPr>
          <w:rFonts w:ascii="Arial" w:cs="Arial" w:eastAsia="Arial" w:hAnsi="Arial"/>
          <w:sz w:val="13"/>
          <w:szCs w:val="13"/>
          <w:color w:val="auto"/>
        </w:rPr>
      </w:pPr>
    </w:p>
    <w:p>
      <w:pPr>
        <w:ind w:left="380" w:right="100" w:hanging="375"/>
        <w:spacing w:after="0" w:line="267"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387,859 outstanding options to purchase stock under the 2012 Plan, 14,392,670 outstanding options to purchase stock under the 2015 Plan, and 3,324,271 restricted stock units under the 2015 Plan.</w:t>
      </w:r>
    </w:p>
    <w:p>
      <w:pPr>
        <w:spacing w:after="0" w:line="7" w:lineRule="exact"/>
        <w:rPr>
          <w:rFonts w:ascii="Arial" w:cs="Arial" w:eastAsia="Arial" w:hAnsi="Arial"/>
          <w:sz w:val="13"/>
          <w:szCs w:val="13"/>
          <w:color w:val="auto"/>
        </w:rPr>
      </w:pPr>
    </w:p>
    <w:p>
      <w:pPr>
        <w:ind w:left="380" w:right="300" w:hanging="375"/>
        <w:spacing w:after="0" w:line="267"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 of December 31, 2023, the weighted-average exercise price of outstanding options under the 2012 Plan was $5.98, and the weighted-average exercise price of outstanding options under the 2015 Plan was $9.76. Restricted stock units do not have an exercise price and were not included in calculating weighted average exercise prices.</w:t>
      </w:r>
    </w:p>
    <w:p>
      <w:pPr>
        <w:spacing w:after="0" w:line="7" w:lineRule="exact"/>
        <w:rPr>
          <w:rFonts w:ascii="Arial" w:cs="Arial" w:eastAsia="Arial" w:hAnsi="Arial"/>
          <w:sz w:val="13"/>
          <w:szCs w:val="13"/>
          <w:color w:val="auto"/>
        </w:rPr>
      </w:pPr>
    </w:p>
    <w:p>
      <w:pPr>
        <w:ind w:left="380" w:right="240" w:hanging="375"/>
        <w:spacing w:after="0" w:line="267"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 of December 31, 2023, a total of 4,812,098 shares of Common Stock were available for issuance, consisting of 2,266,512 shares available for future issuance under the 2015 ESPP, and 2,545,586 shares of Common Stock available for future issuance under the 2015 Plan.</w:t>
      </w:r>
    </w:p>
    <w:p>
      <w:pPr>
        <w:spacing w:after="0" w:line="7" w:lineRule="exact"/>
        <w:rPr>
          <w:rFonts w:ascii="Arial" w:cs="Arial" w:eastAsia="Arial" w:hAnsi="Arial"/>
          <w:sz w:val="13"/>
          <w:szCs w:val="13"/>
          <w:color w:val="auto"/>
        </w:rPr>
      </w:pPr>
    </w:p>
    <w:p>
      <w:pPr>
        <w:ind w:left="380" w:right="60" w:hanging="375"/>
        <w:spacing w:after="0" w:line="267"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the 2022 Employment Inducement Award Plan (the “2022 Plan”). For a summary of the 2022 Plan, see Note 11 to our audited consolidated financial statements included in our Annual Report on Form 10-K for the fiscal year ended December 31, 2023.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765" cy="825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30"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February 12,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145,557,567 shares of Common Stock outstanding as of February 12, 2024. In computing the number of shares beneficially owned by a person and the percentage ownership of that person, shares of Common Stock subject to options, or other rights held by such person that are currently exercisable or will become exercisable within 60 days of February 12, 2024 are considered outstanding, although these shares are not considered outstanding for purposes of computing the percentage ownership of any other person.</w:t>
      </w:r>
    </w:p>
    <w:p>
      <w:pPr>
        <w:spacing w:after="0" w:line="165"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Unless otherwise indicated, the address of each beneficial owner listed below is 101 Cambridgepark Drive, Cambridge, MA 02140.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color w:val="auto"/>
              </w:rPr>
              <w:t>NAME OF BENEFICIAL OWNER</w:t>
            </w:r>
          </w:p>
        </w:tc>
        <w:tc>
          <w:tcPr>
            <w:tcW w:w="2060" w:type="dxa"/>
            <w:vAlign w:val="bottom"/>
            <w:tcBorders>
              <w:bottom w:val="single" w:sz="8" w:color="auto"/>
            </w:tcBorders>
            <w:shd w:val="clear" w:color="auto" w:fill="E5E5E5"/>
          </w:tcPr>
          <w:p>
            <w:pPr>
              <w:jc w:val="right"/>
              <w:ind w:right="755"/>
              <w:spacing w:after="0"/>
              <w:rPr>
                <w:sz w:val="20"/>
                <w:szCs w:val="20"/>
                <w:color w:val="auto"/>
              </w:rPr>
            </w:pPr>
            <w:r>
              <w:rPr>
                <w:rFonts w:ascii="Arial" w:cs="Arial" w:eastAsia="Arial" w:hAnsi="Arial"/>
                <w:sz w:val="13"/>
                <w:szCs w:val="13"/>
                <w:color w:val="auto"/>
              </w:rPr>
              <w:t>NUMBER</w:t>
            </w:r>
          </w:p>
        </w:tc>
        <w:tc>
          <w:tcPr>
            <w:tcW w:w="164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3"/>
                <w:szCs w:val="13"/>
                <w:color w:val="auto"/>
              </w:rPr>
              <w:t>PERCENTAGE</w:t>
            </w:r>
          </w:p>
        </w:tc>
        <w:tc>
          <w:tcPr>
            <w:tcW w:w="20" w:type="dxa"/>
            <w:vAlign w:val="bottom"/>
          </w:tcPr>
          <w:p>
            <w:pPr>
              <w:spacing w:after="0"/>
              <w:rPr>
                <w:sz w:val="18"/>
                <w:szCs w:val="18"/>
                <w:color w:val="auto"/>
              </w:rPr>
            </w:pPr>
          </w:p>
        </w:tc>
      </w:tr>
      <w:tr>
        <w:trPr>
          <w:trHeight w:val="163"/>
        </w:trPr>
        <w:tc>
          <w:tcPr>
            <w:tcW w:w="7540" w:type="dxa"/>
            <w:vAlign w:val="bottom"/>
          </w:tcPr>
          <w:p>
            <w:pPr>
              <w:ind w:left="100"/>
              <w:spacing w:after="0"/>
              <w:rPr>
                <w:sz w:val="20"/>
                <w:szCs w:val="20"/>
                <w:color w:val="auto"/>
              </w:rPr>
            </w:pPr>
            <w:r>
              <w:rPr>
                <w:rFonts w:ascii="Arial" w:cs="Arial" w:eastAsia="Arial" w:hAnsi="Arial"/>
                <w:sz w:val="13"/>
                <w:szCs w:val="13"/>
                <w:b w:val="1"/>
                <w:bCs w:val="1"/>
                <w:i w:val="1"/>
                <w:iCs w:val="1"/>
                <w:color w:val="auto"/>
              </w:rPr>
              <w:t>5% or Greater Stockholders</w:t>
            </w:r>
          </w:p>
        </w:tc>
        <w:tc>
          <w:tcPr>
            <w:tcW w:w="2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7"/>
                <w:szCs w:val="17"/>
                <w:color w:val="auto"/>
                <w:vertAlign w:val="superscript"/>
              </w:rPr>
              <w:t>1</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23,117,045</w:t>
            </w:r>
          </w:p>
        </w:tc>
        <w:tc>
          <w:tcPr>
            <w:tcW w:w="16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15.9 %</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FMR LLC</w:t>
            </w:r>
            <w:r>
              <w:rPr>
                <w:rFonts w:ascii="Arial" w:cs="Arial" w:eastAsia="Arial" w:hAnsi="Arial"/>
                <w:sz w:val="17"/>
                <w:szCs w:val="17"/>
                <w:color w:val="auto"/>
                <w:vertAlign w:val="superscript"/>
              </w:rPr>
              <w:t>2</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19,388,579</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13.3 %</w:t>
            </w: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Nestlé S.A.</w:t>
            </w:r>
            <w:r>
              <w:rPr>
                <w:rFonts w:ascii="Arial" w:cs="Arial" w:eastAsia="Arial" w:hAnsi="Arial"/>
                <w:sz w:val="17"/>
                <w:szCs w:val="17"/>
                <w:color w:val="auto"/>
                <w:vertAlign w:val="superscript"/>
              </w:rPr>
              <w:t>3</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7,594,038</w:t>
            </w:r>
          </w:p>
        </w:tc>
        <w:tc>
          <w:tcPr>
            <w:tcW w:w="1640" w:type="dxa"/>
            <w:vAlign w:val="bottom"/>
            <w:shd w:val="clear" w:color="auto" w:fill="E7E6E6"/>
          </w:tcPr>
          <w:p>
            <w:pPr>
              <w:jc w:val="right"/>
              <w:spacing w:after="0"/>
              <w:rPr>
                <w:sz w:val="20"/>
                <w:szCs w:val="20"/>
                <w:color w:val="auto"/>
              </w:rPr>
            </w:pPr>
            <w:r>
              <w:rPr>
                <w:rFonts w:ascii="Arial" w:cs="Arial" w:eastAsia="Arial" w:hAnsi="Arial"/>
                <w:sz w:val="13"/>
                <w:szCs w:val="13"/>
                <w:color w:val="auto"/>
              </w:rPr>
              <w:t>5.2 %</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BlackRock, Inc.</w:t>
            </w:r>
            <w:r>
              <w:rPr>
                <w:rFonts w:ascii="Arial" w:cs="Arial" w:eastAsia="Arial" w:hAnsi="Arial"/>
                <w:sz w:val="17"/>
                <w:szCs w:val="17"/>
                <w:color w:val="auto"/>
                <w:vertAlign w:val="superscript"/>
              </w:rPr>
              <w:t>4</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7,339,454</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5.0 %</w:t>
            </w:r>
          </w:p>
        </w:tc>
      </w:tr>
      <w:tr>
        <w:trPr>
          <w:trHeight w:val="170"/>
        </w:trPr>
        <w:tc>
          <w:tcPr>
            <w:tcW w:w="7540" w:type="dxa"/>
            <w:vAlign w:val="bottom"/>
            <w:shd w:val="clear" w:color="auto" w:fill="E7E6E6"/>
          </w:tcPr>
          <w:p>
            <w:pPr>
              <w:ind w:left="10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2060" w:type="dxa"/>
            <w:vAlign w:val="bottom"/>
            <w:shd w:val="clear" w:color="auto" w:fill="E7E6E6"/>
          </w:tcPr>
          <w:p>
            <w:pPr>
              <w:spacing w:after="0"/>
              <w:rPr>
                <w:sz w:val="14"/>
                <w:szCs w:val="14"/>
                <w:color w:val="auto"/>
              </w:rPr>
            </w:pPr>
          </w:p>
        </w:tc>
        <w:tc>
          <w:tcPr>
            <w:tcW w:w="1640" w:type="dxa"/>
            <w:vAlign w:val="bottom"/>
            <w:shd w:val="clear" w:color="auto" w:fill="E7E6E6"/>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Eric D. Shaff</w:t>
            </w:r>
            <w:r>
              <w:rPr>
                <w:rFonts w:ascii="Arial" w:cs="Arial" w:eastAsia="Arial" w:hAnsi="Arial"/>
                <w:sz w:val="17"/>
                <w:szCs w:val="17"/>
                <w:color w:val="auto"/>
                <w:vertAlign w:val="superscript"/>
              </w:rPr>
              <w:t>5</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2,633,824</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1.8 %</w:t>
            </w: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Teresa L. Young, Ph.D.</w:t>
            </w:r>
            <w:r>
              <w:rPr>
                <w:rFonts w:ascii="Arial" w:cs="Arial" w:eastAsia="Arial" w:hAnsi="Arial"/>
                <w:sz w:val="17"/>
                <w:szCs w:val="17"/>
                <w:color w:val="auto"/>
                <w:vertAlign w:val="superscript"/>
              </w:rPr>
              <w:t>6</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449,079</w:t>
            </w:r>
          </w:p>
        </w:tc>
        <w:tc>
          <w:tcPr>
            <w:tcW w:w="1640" w:type="dxa"/>
            <w:vAlign w:val="bottom"/>
            <w:shd w:val="clear" w:color="auto" w:fill="E7E6E6"/>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Lisa von Moltke, M.D.</w:t>
            </w:r>
            <w:r>
              <w:rPr>
                <w:rFonts w:ascii="Arial" w:cs="Arial" w:eastAsia="Arial" w:hAnsi="Arial"/>
                <w:sz w:val="17"/>
                <w:szCs w:val="17"/>
                <w:color w:val="auto"/>
                <w:vertAlign w:val="superscript"/>
              </w:rPr>
              <w:t>7</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540,138</w:t>
            </w:r>
          </w:p>
        </w:tc>
        <w:tc>
          <w:tcPr>
            <w:tcW w:w="16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Dennis A. Ausiello, M.D.</w:t>
            </w:r>
            <w:r>
              <w:rPr>
                <w:rFonts w:ascii="Arial" w:cs="Arial" w:eastAsia="Arial" w:hAnsi="Arial"/>
                <w:sz w:val="17"/>
                <w:szCs w:val="17"/>
                <w:color w:val="auto"/>
                <w:vertAlign w:val="superscript"/>
              </w:rPr>
              <w:t>8</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223,000</w:t>
            </w:r>
          </w:p>
        </w:tc>
        <w:tc>
          <w:tcPr>
            <w:tcW w:w="1640" w:type="dxa"/>
            <w:vAlign w:val="bottom"/>
            <w:shd w:val="clear" w:color="auto" w:fill="E7E6E6"/>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Stephen A. Berenson</w:t>
            </w:r>
            <w:r>
              <w:rPr>
                <w:rFonts w:ascii="Arial" w:cs="Arial" w:eastAsia="Arial" w:hAnsi="Arial"/>
                <w:sz w:val="17"/>
                <w:szCs w:val="17"/>
                <w:color w:val="auto"/>
                <w:vertAlign w:val="superscript"/>
              </w:rPr>
              <w:t>9</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121,589</w:t>
            </w:r>
          </w:p>
        </w:tc>
        <w:tc>
          <w:tcPr>
            <w:tcW w:w="16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Paul R. Biondi</w:t>
            </w:r>
            <w:r>
              <w:rPr>
                <w:rFonts w:ascii="Arial" w:cs="Arial" w:eastAsia="Arial" w:hAnsi="Arial"/>
                <w:sz w:val="17"/>
                <w:szCs w:val="17"/>
                <w:color w:val="auto"/>
                <w:vertAlign w:val="superscript"/>
              </w:rPr>
              <w:t>10</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165,619</w:t>
            </w:r>
          </w:p>
        </w:tc>
        <w:tc>
          <w:tcPr>
            <w:tcW w:w="1640" w:type="dxa"/>
            <w:vAlign w:val="bottom"/>
            <w:shd w:val="clear" w:color="auto" w:fill="E7E6E6"/>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Willard H. Dere, M.D.</w:t>
            </w:r>
            <w:r>
              <w:rPr>
                <w:rFonts w:ascii="Arial" w:cs="Arial" w:eastAsia="Arial" w:hAnsi="Arial"/>
                <w:sz w:val="17"/>
                <w:szCs w:val="17"/>
                <w:color w:val="auto"/>
                <w:vertAlign w:val="superscript"/>
              </w:rPr>
              <w:t>11</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179,746</w:t>
            </w:r>
          </w:p>
        </w:tc>
        <w:tc>
          <w:tcPr>
            <w:tcW w:w="16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Claire M. Fraser, Ph.D.</w:t>
            </w:r>
            <w:r>
              <w:rPr>
                <w:rFonts w:ascii="Arial" w:cs="Arial" w:eastAsia="Arial" w:hAnsi="Arial"/>
                <w:sz w:val="17"/>
                <w:szCs w:val="17"/>
                <w:color w:val="auto"/>
                <w:vertAlign w:val="superscript"/>
              </w:rPr>
              <w:t>12</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12,000</w:t>
            </w:r>
          </w:p>
        </w:tc>
        <w:tc>
          <w:tcPr>
            <w:tcW w:w="1640" w:type="dxa"/>
            <w:vAlign w:val="bottom"/>
            <w:shd w:val="clear" w:color="auto" w:fill="E7E6E6"/>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tcPr>
          <w:p>
            <w:pPr>
              <w:ind w:left="100"/>
              <w:spacing w:after="0" w:line="170" w:lineRule="exact"/>
              <w:rPr>
                <w:sz w:val="20"/>
                <w:szCs w:val="20"/>
                <w:color w:val="auto"/>
              </w:rPr>
            </w:pPr>
            <w:r>
              <w:rPr>
                <w:rFonts w:ascii="Arial" w:cs="Arial" w:eastAsia="Arial" w:hAnsi="Arial"/>
                <w:sz w:val="13"/>
                <w:szCs w:val="13"/>
                <w:color w:val="auto"/>
              </w:rPr>
              <w:t>Kurt C. Graves</w:t>
            </w:r>
            <w:r>
              <w:rPr>
                <w:rFonts w:ascii="Arial" w:cs="Arial" w:eastAsia="Arial" w:hAnsi="Arial"/>
                <w:sz w:val="17"/>
                <w:szCs w:val="17"/>
                <w:color w:val="auto"/>
                <w:vertAlign w:val="superscript"/>
              </w:rPr>
              <w:t>13</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178,000</w:t>
            </w:r>
          </w:p>
        </w:tc>
        <w:tc>
          <w:tcPr>
            <w:tcW w:w="16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540" w:type="dxa"/>
            <w:vAlign w:val="bottom"/>
            <w:shd w:val="clear" w:color="auto" w:fill="E7E6E6"/>
          </w:tcPr>
          <w:p>
            <w:pPr>
              <w:ind w:left="100"/>
              <w:spacing w:after="0" w:line="170" w:lineRule="exact"/>
              <w:rPr>
                <w:sz w:val="20"/>
                <w:szCs w:val="20"/>
                <w:color w:val="auto"/>
              </w:rPr>
            </w:pPr>
            <w:r>
              <w:rPr>
                <w:rFonts w:ascii="Arial" w:cs="Arial" w:eastAsia="Arial" w:hAnsi="Arial"/>
                <w:sz w:val="13"/>
                <w:szCs w:val="13"/>
                <w:color w:val="auto"/>
              </w:rPr>
              <w:t>Richard N. Kender</w:t>
            </w:r>
            <w:r>
              <w:rPr>
                <w:rFonts w:ascii="Arial" w:cs="Arial" w:eastAsia="Arial" w:hAnsi="Arial"/>
                <w:sz w:val="17"/>
                <w:szCs w:val="17"/>
                <w:color w:val="auto"/>
                <w:vertAlign w:val="superscript"/>
              </w:rPr>
              <w:t>14</w:t>
            </w:r>
          </w:p>
        </w:tc>
        <w:tc>
          <w:tcPr>
            <w:tcW w:w="2060" w:type="dxa"/>
            <w:vAlign w:val="bottom"/>
            <w:shd w:val="clear" w:color="auto" w:fill="E7E6E6"/>
          </w:tcPr>
          <w:p>
            <w:pPr>
              <w:jc w:val="right"/>
              <w:ind w:right="235"/>
              <w:spacing w:after="0"/>
              <w:rPr>
                <w:sz w:val="20"/>
                <w:szCs w:val="20"/>
                <w:color w:val="auto"/>
              </w:rPr>
            </w:pPr>
            <w:r>
              <w:rPr>
                <w:rFonts w:ascii="Arial" w:cs="Arial" w:eastAsia="Arial" w:hAnsi="Arial"/>
                <w:sz w:val="13"/>
                <w:szCs w:val="13"/>
                <w:color w:val="auto"/>
              </w:rPr>
              <w:t>301,492</w:t>
            </w:r>
          </w:p>
        </w:tc>
        <w:tc>
          <w:tcPr>
            <w:tcW w:w="1640" w:type="dxa"/>
            <w:vAlign w:val="bottom"/>
            <w:shd w:val="clear" w:color="auto" w:fill="E7E6E6"/>
          </w:tcPr>
          <w:p>
            <w:pPr>
              <w:jc w:val="right"/>
              <w:ind w:right="5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234"/>
        </w:trPr>
        <w:tc>
          <w:tcPr>
            <w:tcW w:w="7540" w:type="dxa"/>
            <w:vAlign w:val="bottom"/>
          </w:tcPr>
          <w:p>
            <w:pPr>
              <w:ind w:left="100"/>
              <w:spacing w:after="0"/>
              <w:rPr>
                <w:sz w:val="20"/>
                <w:szCs w:val="20"/>
                <w:color w:val="auto"/>
              </w:rPr>
            </w:pPr>
            <w:r>
              <w:rPr>
                <w:rFonts w:ascii="Arial" w:cs="Arial" w:eastAsia="Arial" w:hAnsi="Arial"/>
                <w:sz w:val="13"/>
                <w:szCs w:val="13"/>
                <w:color w:val="auto"/>
              </w:rPr>
              <w:t>All executive officers and directors as a group (14 persons)</w:t>
            </w:r>
            <w:r>
              <w:rPr>
                <w:rFonts w:ascii="Arial" w:cs="Arial" w:eastAsia="Arial" w:hAnsi="Arial"/>
                <w:sz w:val="17"/>
                <w:szCs w:val="17"/>
                <w:color w:val="auto"/>
                <w:vertAlign w:val="superscript"/>
              </w:rPr>
              <w:t>15</w:t>
            </w:r>
          </w:p>
        </w:tc>
        <w:tc>
          <w:tcPr>
            <w:tcW w:w="2060" w:type="dxa"/>
            <w:vAlign w:val="bottom"/>
          </w:tcPr>
          <w:p>
            <w:pPr>
              <w:jc w:val="right"/>
              <w:ind w:right="235"/>
              <w:spacing w:after="0"/>
              <w:rPr>
                <w:sz w:val="20"/>
                <w:szCs w:val="20"/>
                <w:color w:val="auto"/>
              </w:rPr>
            </w:pPr>
            <w:r>
              <w:rPr>
                <w:rFonts w:ascii="Arial" w:cs="Arial" w:eastAsia="Arial" w:hAnsi="Arial"/>
                <w:sz w:val="13"/>
                <w:szCs w:val="13"/>
                <w:color w:val="auto"/>
              </w:rPr>
              <w:t>7,513,219</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5.1 %</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Less than one percent.</w:t>
      </w:r>
    </w:p>
    <w:p>
      <w:pPr>
        <w:sectPr>
          <w:pgSz w:w="11900" w:h="16838" w:orient="portrait"/>
          <w:cols w:equalWidth="0" w:num="1">
            <w:col w:w="11260"/>
          </w:cols>
          <w:pgMar w:left="320" w:top="1180" w:right="31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Based on a Schedule 13D/A filed on July 7, 2022 and information known to the Company. Consists of (i) 2,734,994 shares of Common Stock held by Flagship VentureLabs IV LLC (“VentureLabs IV”); (ii) 4,434,600 shares of Common Stock held by Flagship Ventures Fund IV, L.P. (“Flagship Fund IV”); (iii) 1,283,282 shares of Common Stock held by Flagship Ventures Fund IV-Rx, L.P. (“Flagship Fund IV-Rx”); (iv) 2,962,963 shares of Common Stock held by Flagship Pioneering Fund VI, L.P. (“Flagship Pioneering VI”); (v) 5,875,711 shares of Common Stock held by Nutritional Health LTP Fund, L.P (“Nutritional LTP”) and (vi) 5,825,495 shares of Common Stock held by Flagship Pioneering Fund VII, L.P. ("Flagship Fund VII and together with VentureLabs IV, Flagship Fund IV, Flagship Fund IV-Rx, Flagship Pioneering VI, and Nutritional LTP, the “Flagship Funds”). Flagship Fund IV is a member of VentureLabs IV and also serves as its manager. The general partner of Flagship Fund IV and Flagship Fund IV-Rx is Flagship Ventures Fund IV General Partner LLC (“Flagship Fund IV GP”). The general partner of Flagship Pioneering VI is Flagship Pioneering Fund VI General Partner LLC (“Flagship Fund VI GP”). The general partner of Nutritional LTP is Nutritional Health LTP Fund General Partner LLC (“Nutritional LTP GP”). The general partner of Flagship Fund VII is Flagship Pioneering Fund VII General Partner LLC ("Flagship Fund VII GP"). The manager of Flagship Fund VII GP, Flagship Fund VI GP and Nutritional LTP GP is Flagship Pioneering, Inc. (“Flagship Pioneering”). Noubar B. Afeyan, Ph.D.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w:t>
      </w:r>
    </w:p>
    <w:p>
      <w:pPr>
        <w:spacing w:after="0" w:line="78"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Based solely on a Schedule 13G/A filed on February 9, 2024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According to the cover page of the Schedule 13G/A, (i) FMR LLC has sole voting power over 19,388,579 shares of Common Stock and sole dispositive power over 19,388,579 shares of Common Stock and (ii) Abigail P. Johnson has sole dispositive power over 19,388,579 shares of Common Stock. In addition, the Schedule 13G/A reports that the interest of Fidelity Growth Company Commingled Pool in the shares of Common Stock amounted to 7,772,757 shares of Common Stock. The address for FMR LLC is 245 Summer Street, Boston, Massachusetts 02210.</w:t>
      </w:r>
    </w:p>
    <w:p>
      <w:pPr>
        <w:spacing w:after="0" w:line="80" w:lineRule="exact"/>
        <w:rPr>
          <w:sz w:val="20"/>
          <w:szCs w:val="20"/>
          <w:color w:val="auto"/>
        </w:rPr>
      </w:pPr>
    </w:p>
    <w:p>
      <w:pPr>
        <w:jc w:val="both"/>
        <w:ind w:right="40"/>
        <w:spacing w:after="0" w:line="249" w:lineRule="auto"/>
        <w:rPr>
          <w:sz w:val="20"/>
          <w:szCs w:val="20"/>
          <w:color w:val="auto"/>
        </w:rPr>
      </w:pPr>
      <w:r>
        <w:rPr>
          <w:rFonts w:ascii="Arial" w:cs="Arial" w:eastAsia="Arial" w:hAnsi="Arial"/>
          <w:sz w:val="13"/>
          <w:szCs w:val="13"/>
          <w:color w:val="auto"/>
        </w:rPr>
        <w:t>Based solely on a Schedule 13D/A filed on July 22, 2022 by Nestlé S.A. (“Nestlé”) and Société des Produits Nestlé S.A. (“SPN”). The ultimate parent company of SPN is Nestlé, a publicly traded company. The Schedule 13D/A reported that as of July 18, 2022, (i) Nestlé had shared voting and dispositive power with respect to 7,594,038 shares and (ii) SPN had shared voting and dispositive power with respect to 7,496,038 shares. The address for Nestlé and SPN is Avenue Nestlé 55, 1800, Vevey Switzerland.</w:t>
      </w:r>
    </w:p>
    <w:p>
      <w:pPr>
        <w:spacing w:after="0" w:line="71" w:lineRule="exact"/>
        <w:rPr>
          <w:sz w:val="20"/>
          <w:szCs w:val="20"/>
          <w:color w:val="auto"/>
        </w:rPr>
      </w:pPr>
    </w:p>
    <w:p>
      <w:pPr>
        <w:jc w:val="both"/>
        <w:ind w:right="80"/>
        <w:spacing w:after="0" w:line="249" w:lineRule="auto"/>
        <w:rPr>
          <w:sz w:val="20"/>
          <w:szCs w:val="20"/>
          <w:color w:val="auto"/>
        </w:rPr>
      </w:pPr>
      <w:r>
        <w:rPr>
          <w:rFonts w:ascii="Arial" w:cs="Arial" w:eastAsia="Arial" w:hAnsi="Arial"/>
          <w:sz w:val="13"/>
          <w:szCs w:val="13"/>
          <w:color w:val="auto"/>
        </w:rPr>
        <w:t>Based solely on a Schedule 13G filed on January 29, 2024 by BlackRock, Inc. (“Blackrock”), on behalf of itself and its wholly owned subsidiaries, BlackRock Advisors, LLC, Aperio Group, LLC, BlackRock Asset Management Canada Limited, BlackRock Fund Advisors, BlackRock Institutional Trust Company, National Association, BlackRock Financial Management, Inc., and BlackRock Investment Management, LLC. BlackRock reported that as of December 31,</w:t>
      </w:r>
    </w:p>
    <w:p>
      <w:pPr>
        <w:spacing w:after="0" w:line="67" w:lineRule="exact"/>
        <w:rPr>
          <w:sz w:val="20"/>
          <w:szCs w:val="20"/>
          <w:color w:val="auto"/>
        </w:rPr>
      </w:pPr>
    </w:p>
    <w:p>
      <w:pPr>
        <w:sectPr>
          <w:pgSz w:w="11900" w:h="16838" w:orient="portrait"/>
          <w:cols w:equalWidth="0" w:num="2">
            <w:col w:w="60" w:space="320"/>
            <w:col w:w="10880"/>
          </w:cols>
          <w:pgMar w:left="320" w:top="1180" w:right="31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180" w:right="319" w:bottom="1440" w:gutter="0" w:footer="0" w:header="0"/>
          <w:type w:val="continuous"/>
        </w:sectPr>
      </w:pPr>
    </w:p>
    <w:bookmarkStart w:id="49" w:name="page50"/>
    <w:bookmarkEnd w:id="49"/>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6"/>
          <w:szCs w:val="6"/>
          <w:color w:val="auto"/>
        </w:rPr>
        <w:t>5.</w:t>
      </w:r>
    </w:p>
    <w:p>
      <w:pPr>
        <w:spacing w:after="0" w:line="324" w:lineRule="exact"/>
        <w:rPr>
          <w:sz w:val="20"/>
          <w:szCs w:val="20"/>
          <w:color w:val="auto"/>
        </w:rPr>
      </w:pPr>
    </w:p>
    <w:p>
      <w:pPr>
        <w:spacing w:after="0"/>
        <w:rPr>
          <w:sz w:val="20"/>
          <w:szCs w:val="20"/>
          <w:color w:val="auto"/>
        </w:rPr>
      </w:pPr>
      <w:r>
        <w:rPr>
          <w:rFonts w:ascii="Arial" w:cs="Arial" w:eastAsia="Arial" w:hAnsi="Arial"/>
          <w:sz w:val="6"/>
          <w:szCs w:val="6"/>
          <w:color w:val="auto"/>
        </w:rPr>
        <w:t>6.</w:t>
      </w:r>
    </w:p>
    <w:p>
      <w:pPr>
        <w:spacing w:after="0" w:line="323" w:lineRule="exact"/>
        <w:rPr>
          <w:sz w:val="20"/>
          <w:szCs w:val="20"/>
          <w:color w:val="auto"/>
        </w:rPr>
      </w:pPr>
    </w:p>
    <w:p>
      <w:pPr>
        <w:spacing w:after="0"/>
        <w:rPr>
          <w:sz w:val="20"/>
          <w:szCs w:val="20"/>
          <w:color w:val="auto"/>
        </w:rPr>
      </w:pPr>
      <w:r>
        <w:rPr>
          <w:rFonts w:ascii="Arial" w:cs="Arial" w:eastAsia="Arial" w:hAnsi="Arial"/>
          <w:sz w:val="6"/>
          <w:szCs w:val="6"/>
          <w:color w:val="auto"/>
        </w:rPr>
        <w:t>7.</w:t>
      </w:r>
    </w:p>
    <w:p>
      <w:pPr>
        <w:spacing w:after="0" w:line="323" w:lineRule="exact"/>
        <w:rPr>
          <w:sz w:val="20"/>
          <w:szCs w:val="20"/>
          <w:color w:val="auto"/>
        </w:rPr>
      </w:pPr>
    </w:p>
    <w:p>
      <w:pPr>
        <w:spacing w:after="0"/>
        <w:rPr>
          <w:sz w:val="20"/>
          <w:szCs w:val="20"/>
          <w:color w:val="auto"/>
        </w:rPr>
      </w:pPr>
      <w:r>
        <w:rPr>
          <w:rFonts w:ascii="Arial" w:cs="Arial" w:eastAsia="Arial" w:hAnsi="Arial"/>
          <w:sz w:val="6"/>
          <w:szCs w:val="6"/>
          <w:color w:val="auto"/>
        </w:rPr>
        <w:t>8.</w:t>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9.</w:t>
      </w:r>
    </w:p>
    <w:p>
      <w:pPr>
        <w:spacing w:after="0" w:line="323" w:lineRule="exact"/>
        <w:rPr>
          <w:sz w:val="20"/>
          <w:szCs w:val="20"/>
          <w:color w:val="auto"/>
        </w:rPr>
      </w:pPr>
    </w:p>
    <w:p>
      <w:pPr>
        <w:spacing w:after="0"/>
        <w:rPr>
          <w:sz w:val="20"/>
          <w:szCs w:val="20"/>
          <w:color w:val="auto"/>
        </w:rPr>
      </w:pPr>
      <w:r>
        <w:rPr>
          <w:rFonts w:ascii="Arial" w:cs="Arial" w:eastAsia="Arial" w:hAnsi="Arial"/>
          <w:sz w:val="6"/>
          <w:szCs w:val="6"/>
          <w:color w:val="auto"/>
        </w:rPr>
        <w:t>10.</w:t>
      </w:r>
    </w:p>
    <w:p>
      <w:pPr>
        <w:spacing w:after="0" w:line="324" w:lineRule="exact"/>
        <w:rPr>
          <w:sz w:val="20"/>
          <w:szCs w:val="20"/>
          <w:color w:val="auto"/>
        </w:rPr>
      </w:pPr>
    </w:p>
    <w:p>
      <w:pPr>
        <w:spacing w:after="0"/>
        <w:rPr>
          <w:sz w:val="20"/>
          <w:szCs w:val="20"/>
          <w:color w:val="auto"/>
        </w:rPr>
      </w:pPr>
      <w:r>
        <w:rPr>
          <w:rFonts w:ascii="Arial" w:cs="Arial" w:eastAsia="Arial" w:hAnsi="Arial"/>
          <w:sz w:val="6"/>
          <w:szCs w:val="6"/>
          <w:color w:val="auto"/>
        </w:rPr>
        <w:t>11.</w:t>
      </w:r>
    </w:p>
    <w:p>
      <w:pPr>
        <w:spacing w:after="0" w:line="323" w:lineRule="exact"/>
        <w:rPr>
          <w:sz w:val="20"/>
          <w:szCs w:val="20"/>
          <w:color w:val="auto"/>
        </w:rPr>
      </w:pPr>
    </w:p>
    <w:p>
      <w:pPr>
        <w:spacing w:after="0"/>
        <w:rPr>
          <w:sz w:val="20"/>
          <w:szCs w:val="20"/>
          <w:color w:val="auto"/>
        </w:rPr>
      </w:pPr>
      <w:r>
        <w:rPr>
          <w:rFonts w:ascii="Arial" w:cs="Arial" w:eastAsia="Arial" w:hAnsi="Arial"/>
          <w:sz w:val="6"/>
          <w:szCs w:val="6"/>
          <w:color w:val="auto"/>
        </w:rPr>
        <w:t>12.</w:t>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13.</w:t>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14.</w:t>
      </w:r>
    </w:p>
    <w:p>
      <w:pPr>
        <w:spacing w:after="0" w:line="323" w:lineRule="exact"/>
        <w:rPr>
          <w:sz w:val="20"/>
          <w:szCs w:val="20"/>
          <w:color w:val="auto"/>
        </w:rPr>
      </w:pPr>
    </w:p>
    <w:p>
      <w:pPr>
        <w:spacing w:after="0"/>
        <w:rPr>
          <w:sz w:val="20"/>
          <w:szCs w:val="20"/>
          <w:color w:val="auto"/>
        </w:rPr>
      </w:pPr>
      <w:r>
        <w:rPr>
          <w:rFonts w:ascii="Arial" w:cs="Arial" w:eastAsia="Arial" w:hAnsi="Arial"/>
          <w:sz w:val="6"/>
          <w:szCs w:val="6"/>
          <w:color w:val="auto"/>
        </w:rPr>
        <w:t>15.</w:t>
      </w:r>
    </w:p>
    <w:p>
      <w:pPr>
        <w:spacing w:after="0" w:line="20" w:lineRule="exact"/>
        <w:rPr>
          <w:sz w:val="20"/>
          <w:szCs w:val="20"/>
          <w:color w:val="auto"/>
        </w:rPr>
      </w:pPr>
      <w:r>
        <w:rPr>
          <w:sz w:val="20"/>
          <w:szCs w:val="20"/>
          <w:color w:val="auto"/>
        </w:rPr>
        <w:br w:type="column"/>
      </w:r>
    </w:p>
    <w:p>
      <w:pPr>
        <w:ind w:right="120"/>
        <w:spacing w:after="0" w:line="267" w:lineRule="auto"/>
        <w:rPr>
          <w:sz w:val="20"/>
          <w:szCs w:val="20"/>
          <w:color w:val="auto"/>
        </w:rPr>
      </w:pPr>
      <w:r>
        <w:rPr>
          <w:rFonts w:ascii="Arial" w:cs="Arial" w:eastAsia="Arial" w:hAnsi="Arial"/>
          <w:sz w:val="13"/>
          <w:szCs w:val="13"/>
          <w:color w:val="auto"/>
        </w:rPr>
        <w:t>2023, it had sole voting power with respect to 7,255,370 shares of Common Stock and sole dispositive power with respect to 7,339,454 shares of Common Stock, and that the shares are beneficially owned by BlackRock and its wholly owned subsidiaries identified above. The address of each of the foregoing is 50 Hudson Yards, New York, NY 10001.</w:t>
      </w:r>
    </w:p>
    <w:p>
      <w:pPr>
        <w:spacing w:after="0" w:line="60"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Consists of (a) 115,620 shares of Common Stock held by Mr. Shaff, (b) 2,486,954 shares of Common Stock underlying stock options that are currently exercisable or would be exercisable within 60 days of February 12, 2024 and (c) restricted stock units for 31,250 shares of Common Stock that vest within 60 days of February 12, 2024.</w:t>
      </w:r>
    </w:p>
    <w:p>
      <w:pPr>
        <w:spacing w:after="0" w:line="60" w:lineRule="exact"/>
        <w:rPr>
          <w:sz w:val="20"/>
          <w:szCs w:val="20"/>
          <w:color w:val="auto"/>
        </w:rPr>
      </w:pPr>
    </w:p>
    <w:p>
      <w:pPr>
        <w:ind w:right="280"/>
        <w:spacing w:after="0" w:line="267" w:lineRule="auto"/>
        <w:rPr>
          <w:sz w:val="20"/>
          <w:szCs w:val="20"/>
          <w:color w:val="auto"/>
        </w:rPr>
      </w:pPr>
      <w:r>
        <w:rPr>
          <w:rFonts w:ascii="Arial" w:cs="Arial" w:eastAsia="Arial" w:hAnsi="Arial"/>
          <w:sz w:val="13"/>
          <w:szCs w:val="13"/>
          <w:color w:val="auto"/>
        </w:rPr>
        <w:t>Consists of (a) 8,454 shares of Common Stock held by Dr. Young, (b) 430,000 shares of Common Stock underlying stock options that are currently exercisable or would be exercisable within 60 days of February 12, 2024 and (c) restricted stock units for 10,625 shares of Common Stock that vest within 60 days of February 12, 2024.</w:t>
      </w:r>
    </w:p>
    <w:p>
      <w:pPr>
        <w:spacing w:after="0" w:line="60"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Consists of (a) 9,513 shares of Common Stock held by Dr. von Moltke, (b) 518,750 shares of Common Stock underlying stock options that are currently exercisable or would be exercisable within 60 days of February 12, 2024 and (c) restricted stock units for 11,875 shares of Common Stock that vest within 60 days of February 12, 2024.</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12, 2024.</w:t>
      </w:r>
    </w:p>
    <w:p>
      <w:pPr>
        <w:spacing w:after="0" w:line="99" w:lineRule="exact"/>
        <w:rPr>
          <w:sz w:val="20"/>
          <w:szCs w:val="20"/>
          <w:color w:val="auto"/>
        </w:rPr>
      </w:pPr>
    </w:p>
    <w:p>
      <w:pPr>
        <w:ind w:right="560"/>
        <w:spacing w:after="0" w:line="267" w:lineRule="auto"/>
        <w:rPr>
          <w:sz w:val="20"/>
          <w:szCs w:val="20"/>
          <w:color w:val="auto"/>
        </w:rPr>
      </w:pPr>
      <w:r>
        <w:rPr>
          <w:rFonts w:ascii="Arial" w:cs="Arial" w:eastAsia="Arial" w:hAnsi="Arial"/>
          <w:sz w:val="13"/>
          <w:szCs w:val="13"/>
          <w:color w:val="auto"/>
        </w:rPr>
        <w:t>Consists of (a) 3,589 shares of Common Stock held by Mr. Berenson and (b) 118,000 shares of Common Stock underlying stock options that are currently exercisable or would be exercisable within 60 days of February 12, 2024.</w:t>
      </w:r>
    </w:p>
    <w:p>
      <w:pPr>
        <w:spacing w:after="0" w:line="60" w:lineRule="exact"/>
        <w:rPr>
          <w:sz w:val="20"/>
          <w:szCs w:val="20"/>
          <w:color w:val="auto"/>
        </w:rPr>
      </w:pPr>
    </w:p>
    <w:p>
      <w:pPr>
        <w:ind w:right="680"/>
        <w:spacing w:after="0" w:line="267" w:lineRule="auto"/>
        <w:rPr>
          <w:sz w:val="20"/>
          <w:szCs w:val="20"/>
          <w:color w:val="auto"/>
        </w:rPr>
      </w:pPr>
      <w:r>
        <w:rPr>
          <w:rFonts w:ascii="Arial" w:cs="Arial" w:eastAsia="Arial" w:hAnsi="Arial"/>
          <w:sz w:val="13"/>
          <w:szCs w:val="13"/>
          <w:color w:val="auto"/>
        </w:rPr>
        <w:t>Consists of (a) 47,619 shares of Common Stock held by Mr. Biondi and (b) 118,000 shares of Common Stock underlying stock options that are currently exercisable or would be exercisable within 60 days of February 12, 2024.</w:t>
      </w:r>
    </w:p>
    <w:p>
      <w:pPr>
        <w:spacing w:after="0" w:line="60"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Consists of (a) 31,746 shares of Common Stock held by Dr. Dere and (b) 148,000 shares of Common Stock underlying stock options that are currently exercisable or would be exercisable within 60 days of February 12, 2024.</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12, 2024.</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Consists of shares of Common Stock underlying stock options that are currently exercisable or would be exercisable within 60 days of February 12, 2024.</w:t>
      </w:r>
    </w:p>
    <w:p>
      <w:pPr>
        <w:spacing w:after="0" w:line="99" w:lineRule="exact"/>
        <w:rPr>
          <w:sz w:val="20"/>
          <w:szCs w:val="20"/>
          <w:color w:val="auto"/>
        </w:rPr>
      </w:pPr>
    </w:p>
    <w:p>
      <w:pPr>
        <w:ind w:right="600"/>
        <w:spacing w:after="0" w:line="267" w:lineRule="auto"/>
        <w:rPr>
          <w:sz w:val="20"/>
          <w:szCs w:val="20"/>
          <w:color w:val="auto"/>
        </w:rPr>
      </w:pPr>
      <w:r>
        <w:rPr>
          <w:rFonts w:ascii="Arial" w:cs="Arial" w:eastAsia="Arial" w:hAnsi="Arial"/>
          <w:sz w:val="13"/>
          <w:szCs w:val="13"/>
          <w:color w:val="auto"/>
        </w:rPr>
        <w:t>Consists of (a) 63,492 shares of Common Stock held by Mr. Kender and (b) 238,000 shares of Common Stock underlying stock options that are currently exercisable or would be exercisable within 60 days of February 12, 2024.</w:t>
      </w:r>
    </w:p>
    <w:p>
      <w:pPr>
        <w:spacing w:after="0" w:line="60"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Consists of (a) 693,027 shares of Common Stock, (b) 6,722,067 shares of Common Stock underlying stock options that are currently exercisable or would be exercisable within 60 days of February 12, 2024 and (c) restricted stock units for 98,125 shares of Common Stock that vest within 60 days of February 12, 2024.</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463550</wp:posOffset>
            </wp:positionV>
            <wp:extent cx="716216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100" w:space="280"/>
            <w:col w:w="10860"/>
          </w:cols>
          <w:pgMar w:left="320" w:top="1095"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765" cy="825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Policies and Procedures for Related Person Transactions</w:t>
      </w:r>
    </w:p>
    <w:p>
      <w:pPr>
        <w:spacing w:after="0" w:line="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160"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2023.</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Related Parties</w:t>
      </w:r>
    </w:p>
    <w:p>
      <w:pPr>
        <w:spacing w:after="0" w:line="3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In January 2016 we entered into the Collaboration and License Agreement (the “2016 License Agreement”) with Nestec Ltd., which was succeeded in interest by Société des Produits Nestlé S.A. (together with NHSc Pharma Partners, which was succeeded in interest by NHSc Rx License GmbH, “Nestlé”), an affiliate of Nestlé S.A., which holds approximately 5.2% of our Common Stock as of February 12, 2024, for the development and commercialization of certain of our product candidates in development for the treatment and management of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infection (“CDI”) and inflammatory bowel disease (“IBD”), including ulcerative colitis and Crohn’s disease. The 2016 License Agreement supports the development of our portfolio of products for CDI and IBD in markets outside of the United States and Canada (the “2016 Licensed Territory”).</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Under the 2016 License Agreement, we granted to Nestlé an exclusive, royalty-bearing license to develop and commercialize in the 2016 Licensed Territory certain products based on our microbiome technology that are being developed for the treatment of CDI and IBD, including VOWST, SER-262, SER-287 and SER-301 (collectively, the “2016 Collaboration Products”). The 2016 License Agreement sets forth our and Nestlé’s respective obligations for development, commercialization, regulatory and manufacturing and supply activities for the 2016 Collaboration Products with respect to the licensed fields and the 2016 Licensed Territory.</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Under the 2016 License Agreement, Nestlé paid us an upfront cash payment of $120.0 million in February 2016 and has agreed to pay us tiered royalties, at percentages ranging from the high single digits to high teens, of net sales of 2016 Collaboration Products in the 2016 Licensed Territory. Additionally, Nestlé has agreed to pay us up to $660.0 million for the achievement of certain development and regulatory milestones and up to an aggregate of $1.125 billion for the achievement of certain commercial milestones related to the sales of 2016 Collaboration Products. We received a $10.0 million milestone payment in 2016 associated with the initiation of our Phase 1b study for SER-262 in CDI and a $20.0 million milestone payment in 2017 associated with the initiation of our Phase 3 study of VOWST in multiply recurrent CDI.</w:t>
      </w:r>
    </w:p>
    <w:p>
      <w:pPr>
        <w:spacing w:after="0" w:line="15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November 2018, we executed the letter agreement with Nestlé (the “Letter Agreement”), modifying certain terms of the 2016 License Agreement. Under the Letter Agreement, Nestlé agreed to accelerate the payment of the $20.0 million Phase 3 commencement milestone to be payable upon the commencement of the Phase 2b study for SER-287. The Phase 2b study was initiated and the $40.0 million of milestone payments were received in December 2018. We also received a $10.0 million milestone payment in 2020 associated with the initiation of our Phase 1b study for SER-301. To date, we have received $80.0 million in development milestones under the 2016 License Agreement and the Letter Agreement.</w:t>
      </w:r>
    </w:p>
    <w:p>
      <w:pPr>
        <w:spacing w:after="0" w:line="360"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2016 License Agreement continues in effect until terminated by either us or Nestlé on the following bases: (i) Nestlé may terminate the 2016 License Agreement in the event of serious safety issues related to any of the 2016 Collaboration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0"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Products; (ii) we may terminate the 2016 License Agreement if Nestlé challenges the validity or enforceability of any of our licensed patents; and</w:t>
      </w:r>
    </w:p>
    <w:p>
      <w:pPr>
        <w:spacing w:after="0" w:line="17" w:lineRule="exact"/>
        <w:rPr>
          <w:sz w:val="20"/>
          <w:szCs w:val="20"/>
          <w:color w:val="auto"/>
        </w:rPr>
      </w:pPr>
    </w:p>
    <w:p>
      <w:pPr>
        <w:ind w:right="120" w:firstLine="5"/>
        <w:spacing w:after="0" w:line="246" w:lineRule="auto"/>
        <w:tabs>
          <w:tab w:leader="none" w:pos="281" w:val="left"/>
        </w:tabs>
        <w:numPr>
          <w:ilvl w:val="0"/>
          <w:numId w:val="33"/>
        </w:numPr>
        <w:rPr>
          <w:rFonts w:ascii="Arial" w:cs="Arial" w:eastAsia="Arial" w:hAnsi="Arial"/>
          <w:sz w:val="17"/>
          <w:szCs w:val="17"/>
          <w:color w:val="auto"/>
        </w:rPr>
      </w:pPr>
      <w:r>
        <w:rPr>
          <w:rFonts w:ascii="Arial" w:cs="Arial" w:eastAsia="Arial" w:hAnsi="Arial"/>
          <w:sz w:val="17"/>
          <w:szCs w:val="17"/>
          <w:color w:val="auto"/>
        </w:rPr>
        <w:t>either we or Nestlé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p>
    <w:p>
      <w:pPr>
        <w:spacing w:after="0" w:line="16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July 2021, we entered into a License Agreement (the “2021 License Agreement”) with NHSc Pharma Partners, which was succeeded in interest by NHSc Rx License GmbH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VOWST) that are developed by us or on our behalf for the treatment of CDI and recurrent CDI, as well as any other indications pursued for the products upon mutual agreement of the parties (the “2021 Field”), in the United States and Canada (the “2021 Licensed Territory”), and (ii) VOWST and any improvements and modifications thereto developed pursuant to the terms of the 2021 License Agreement (the “2021 Collaboration Products”) for any indications in the 2021 Licensed Territory.</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were responsible for, and used commercially reasonable efforts in, conducting development of VOWST in the 2021 Field in the United States until first regulatory approval for VOWST was obtained in the 2021 Field in the United States and in accordance with a development and regulatory activity plan, at our cost, subject to certain exceptions specified in the 2021 License Agreement. We are also responsible for all regulatory affairs related to the 2021 Collaboration Products in the 2021 Field in the 2021 Licensed Territory, at our cost, except that expenses incurred for regulatory activities approved by a joint steering committee pursuant to a life cycle management plan for the 2021 Collaboration Products are shared equally between the parties. We are now solely responsible for manufacturing and supplying VOWST for development in the 2021 Field in the 2021 Licensed Territory.</w:t>
      </w:r>
    </w:p>
    <w:p>
      <w:pPr>
        <w:spacing w:after="0" w:line="15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Nestlé has the sole right to commercialize VOWST in the 2021 Licensed Territory in accordance with a commercialization plan, subject to our right to elect to provide up to a specified percentage of all promotional details for a certain target audience. Each party will use commercially reasonable efforts to commercialize VOWST in the 2021 Licensed Territory in accordance with the commercialization plan. Both parties will perform medical affairs activities for VOWST in the 2021 Licensed Territory in accordance with a medical affairs plan. We are solely responsible for the manufacturing and supply of VOWST for commercialization under a supply agreement that has been executed between the parties. We were responsible for commercialization and medical affairs activities costs incurred by the parties until first commercial sale of the first 2021 Collaboration Product, or VOWST, in the 2021 Licensed Territory and in accordance with a pre-launch plan, up to a specified cap. Since the first commercial sale of VOWST in June 2023, we are entitled to share equally in its commercial profits and losses.</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exchange for the grant of the licenses under the 2021 License Agreement, Nestlé agreed to pay us a non-refundable, non-creditable and non-cancellable upfront payment of $175.0 million, which was received in July 2021. Nestlé also agreed to pay us an additional $125.0 million due upon FDA approval of VOWST, which was received in May 2023, $10.0 million upon Canadian regulatory approval of VOWST, and sales target milestones payments totaling up to $225.0 million.</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2021 License Agreement continues in effect until all development and commercialization activities for VOWST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with twelve months’ prior written notice, effective only on or after the third anniversary of first commercial sale of VOWST in the 2021 Licensed Territory. We may also terminate the 2021 License Agreement immediately upon written notice if Nestlé challenges any licensed patent in the 2021 Licensed Territory.</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52" w:name="page53"/>
    <w:bookmarkEnd w:id="52"/>
    <w:p>
      <w:pPr>
        <w:spacing w:after="0" w:line="283" w:lineRule="auto"/>
        <w:rPr>
          <w:sz w:val="20"/>
          <w:szCs w:val="20"/>
          <w:color w:val="auto"/>
        </w:rPr>
      </w:pPr>
      <w:r>
        <w:rPr>
          <w:rFonts w:ascii="Arial" w:cs="Arial" w:eastAsia="Arial" w:hAnsi="Arial"/>
          <w:sz w:val="17"/>
          <w:szCs w:val="17"/>
          <w:color w:val="auto"/>
        </w:rPr>
        <w:t>provisions including ownership, patent prosecution, enforcement and defense, certain indemnification rights in favor of each party, and customary confidentiality provisions and limitations of liability.</w:t>
      </w:r>
    </w:p>
    <w:p>
      <w:pPr>
        <w:spacing w:after="0" w:line="128"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In June 2022, we entered into a securities purchase agreement with Flagship Pioneering Fund VII, L.P. and Nutritional Health LTP Fund, L.P., affiliates of Flagship Pioneering, or Flagship, one of our significant stockholders, for the sale of 8,738,243 shares of our Common Stock at a purchase price of $3.15 per share as part of a registered direct offering, which closed on July 5, 2022. We received proceeds from Flagship of $27.5 million.</w:t>
      </w:r>
    </w:p>
    <w:p>
      <w:pPr>
        <w:spacing w:after="0" w:line="386"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In July 2022, we entered into a pledge and utilization agreement with Flagship Pioneering Labs TPC, Inc., an affiliate of Flagship, for an option to lease certain manufacturing space. We paid $833 thousand for this option. In June 2023, we elected not to renew the option.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3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3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986" w:right="39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765" cy="8255"/>
                    </a:xfrm>
                    <a:prstGeom prst="rect">
                      <a:avLst/>
                    </a:prstGeom>
                    <a:noFill/>
                  </pic:spPr>
                </pic:pic>
              </a:graphicData>
            </a:graphic>
          </wp:anchor>
        </w:drawing>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During the fiscal year ended December 31, 2023, Paul R. Biondi, Kurt C. Graves, and Richard N. Kender served as members of our Compensation and Talent Committee. Meryl S. Zausner served as a member of our Compensation and Talent Committee until June 22, 2023. No member of our Compensation and Talent Committee during the fiscal year ended December 31, 2023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2023.</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765" cy="8255"/>
                    </a:xfrm>
                    <a:prstGeom prst="rect">
                      <a:avLst/>
                    </a:prstGeom>
                    <a:noFill/>
                  </pic:spPr>
                </pic:pic>
              </a:graphicData>
            </a:graphic>
          </wp:anchor>
        </w:drawing>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Stockholders who intend to have a proposal considered for inclusion in our proxy materials for presentation at our 2025 Annual Meeting of Stockholders pursuant to Rule 14a-8 under the Exchange Act must submit the proposal to our Secretary at our offices at 200 Sidney Street, 4th Floor, Cambridge, MA 02139 in writing not later than November 5, 2024.</w:t>
      </w:r>
    </w:p>
    <w:p>
      <w:pPr>
        <w:spacing w:after="0" w:line="14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Stockholders intending to present a proposal at the 2025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the Company must receive notice of such a proposal or nomination for the 2025 Annual Meeting of Stockholders no earlier than December 5, 2024 and no later than January 4, 2025. The notice must contain the information required by the Amended and Restated Bylaws, a copy of which is available upon request to our Secretary. In the event that the date of the 2025 Annual Meeting of Stockholders is more than 30 days before or more than 60 days after April 4, 2025, then our Secretary must receive such written notice not earlier than the 120th day prior to the 2025 Annual Meeting and not later than the 90th day prior to the 2025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365" w:lineRule="exact"/>
        <w:rPr>
          <w:sz w:val="20"/>
          <w:szCs w:val="20"/>
          <w:color w:val="auto"/>
        </w:rPr>
      </w:pPr>
    </w:p>
    <w:p>
      <w:pPr>
        <w:ind w:right="700"/>
        <w:spacing w:after="0" w:line="262" w:lineRule="auto"/>
        <w:rPr>
          <w:sz w:val="20"/>
          <w:szCs w:val="20"/>
          <w:color w:val="auto"/>
        </w:rPr>
      </w:pPr>
      <w:r>
        <w:rPr>
          <w:rFonts w:ascii="Arial" w:cs="Arial" w:eastAsia="Arial" w:hAnsi="Arial"/>
          <w:sz w:val="17"/>
          <w:szCs w:val="17"/>
          <w:color w:val="auto"/>
        </w:rPr>
        <w:t>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Exchange Act.</w:t>
      </w:r>
    </w:p>
    <w:p>
      <w:pPr>
        <w:spacing w:after="0" w:line="145"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proposal that does not comply with these or other applicable requirements.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80" w:right="37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765" cy="825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40"/>
          </w:cols>
          <w:pgMar w:left="320" w:top="1180" w:right="5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765" cy="825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55"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Certain information contained in this proxy statement relating to the occupations and security holdings of our directors and officers is based upon information received from the individual directors and officers.</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 xml:space="preserve">Stockholders may obtain our proxy statement (and any amendments and supplements thereto) and other documents as and when filed by us with the SEC without charge from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0"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645795</wp:posOffset>
            </wp:positionV>
            <wp:extent cx="71367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765" cy="8255"/>
                    </a:xfrm>
                    <a:prstGeom prst="rect">
                      <a:avLst/>
                    </a:prstGeom>
                    <a:noFill/>
                  </pic:spPr>
                </pic:pic>
              </a:graphicData>
            </a:graphic>
          </wp:anchor>
        </w:drawing>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367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 copy of Seres’ Annual Report on Form 10-K for the fiscal year ended December 31, 2023, including financial statements and schedules thereto, as filed with the SEC but not including exhibits, will be (i) mailed with this proxy statement and (ii) sent without charge, along with copies of the exhibits for a reasonable fee, to any stockholder of record on February 12, 2024 upon written request addressed to: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Seres Therapeutics, Inc.</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Secretary</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101 Cambridgepark Drive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Cambridge, MA 02140</w:t>
      </w:r>
    </w:p>
    <w:p>
      <w:pPr>
        <w:spacing w:after="0" w:line="181"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 xml:space="preserve">You also may access this proxy statement and our Annual Report on Form 10-K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You also may access our Annual Report on Form 10-K for the year ended December 31, 2023 at </w:t>
      </w:r>
      <w:r>
        <w:rPr>
          <w:rFonts w:ascii="Arial" w:cs="Arial" w:eastAsia="Arial" w:hAnsi="Arial"/>
          <w:sz w:val="17"/>
          <w:szCs w:val="17"/>
          <w:i w:val="1"/>
          <w:iCs w:val="1"/>
          <w:color w:val="auto"/>
        </w:rPr>
        <w:t>www.serestherapeutics.com</w:t>
      </w:r>
      <w:r>
        <w:rPr>
          <w:rFonts w:ascii="Arial" w:cs="Arial" w:eastAsia="Arial" w:hAnsi="Arial"/>
          <w:sz w:val="17"/>
          <w:szCs w:val="17"/>
          <w:color w:val="auto"/>
        </w:rPr>
        <w:t>.</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1902460" cy="431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2460" cy="43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Thomas J. DesRosier, Secretary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March 5, 2024</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6216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0" w:right="35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770255</wp:posOffset>
            </wp:positionV>
            <wp:extent cx="7162165" cy="8187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2165" cy="818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770255</wp:posOffset>
            </wp:positionV>
            <wp:extent cx="7162165" cy="81292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2165" cy="812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
      <w:numFmt w:val="bullet"/>
      <w:start w:val="1"/>
    </w:lvl>
    <w:lvl w:ilvl="1">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2024-03-05T09:23:36Z</dcterms:created>
  <dcterms:modified xsi:type="dcterms:W3CDTF">2024-03-05T09:23:36Z</dcterms:modified>
</cp:coreProperties>
</file>