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Henn Matthew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SERES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CAMBRIDGE PARK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Seres Therapeutics, Inc.</w:t>
              </w:r>
            </w:hyperlink>
            <w:r>
              <w:rPr/>
              <w:t xml:space="preserve"> [ </w:t>
            </w:r>
            <w:r>
              <w:rPr>
                <w:rFonts w:ascii="Times;serif" w:hAnsi="Times;serif"/>
                <w:color w:val="0000FF"/>
                <w:sz w:val="24"/>
                <w:shd w:fill="FFFFFF" w:val="clear"/>
              </w:rPr>
              <w:t>MCRB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8,076</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4.55</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7,995</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Issuer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in this Form 4 were effected pursuant to a Rule 10b5-1 instruction adopted by the reporting person on April 13, 2023, solely with the intent to cover taxes in connection with the vesting of the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vested and settled as to 25% of the restricted stock units on February 15, 2024. The remainder of the restricted stock units have vested and settled or will vest and settle in 12 equal quarterly installments thereafter. The restricted stock units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stock units vested and settled as to 25% of the restricted stock units on February 15, 2025. The remainder of the restricted stock units have vested and settled or will vest and settle in 12 equal quarterly installments thereafter. The restricted stock units have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President and Chief Scientific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J. DesRosier, Attorney-in-Fact for Matthew R. Henn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67321" TargetMode="External"/><Relationship Id="rId5" Type="http://schemas.openxmlformats.org/officeDocument/2006/relationships/hyperlink" Target="http://www.sec.gov/cgi-bin/browse-edgar?action=getcompany&amp;CIK=00016098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775</Words>
  <Characters>4100</Characters>
  <CharactersWithSpaces>4770</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