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6895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15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DesRosier Thomas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SERES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CAMBRIDGE PARK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Seres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MCRB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136"/>
        <w:spacing w:after="0"/>
        <w:rPr>
          <w:sz w:val="20"/>
          <w:szCs w:val="20"/>
          <w:color w:val="auto"/>
        </w:rPr>
      </w:pPr>
      <w:r>
        <w:rPr>
          <w:rFonts w:ascii="Times New Roman" w:cs="Times New Roman" w:eastAsia="Times New Roman" w:hAnsi="Times New Roman"/>
          <w:sz w:val="17"/>
          <w:szCs w:val="17"/>
          <w:color w:val="0000FF"/>
        </w:rPr>
        <w:t>See Remarks</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15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05/15/2026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244</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8,033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05/18/2026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16"/>
              <w:spacing w:after="0"/>
              <w:rPr>
                <w:sz w:val="20"/>
                <w:szCs w:val="20"/>
                <w:color w:val="auto"/>
              </w:rPr>
            </w:pPr>
            <w:r>
              <w:rPr>
                <w:rFonts w:ascii="Times New Roman" w:cs="Times New Roman" w:eastAsia="Times New Roman" w:hAnsi="Times New Roman"/>
                <w:sz w:val="17"/>
                <w:szCs w:val="17"/>
                <w:color w:val="0000FF"/>
              </w:rPr>
              <w:t>79</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7.53</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7,954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05/15/2026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133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398</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111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4" w:lineRule="exact"/>
              <w:rPr>
                <w:sz w:val="20"/>
                <w:szCs w:val="20"/>
                <w:color w:val="auto"/>
              </w:rPr>
            </w:pPr>
            <w:r>
              <w:rPr>
                <w:rFonts w:ascii="Times New Roman" w:cs="Times New Roman" w:eastAsia="Times New Roman" w:hAnsi="Times New Roman"/>
                <w:sz w:val="13"/>
                <w:szCs w:val="13"/>
                <w:color w:val="0000FF"/>
              </w:rPr>
              <w:t>05/15/2026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111</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779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instruction adopted by the reporting person on March 2, 2023, solely with the intent to cover taxes in connection with the vesting of the restricted stock units.</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and settled as to 25% of the restricted stock units on February 15, 2024. The remainder of the restricted stock units have vested and settled or will vest and settle in 12 equal quarterly installments thereafter. The restricted stock units have no expiration date.</w:t>
      </w:r>
    </w:p>
    <w:p>
      <w:pPr>
        <w:spacing w:after="0" w:line="14"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and settled as to 25% of the restricted stock units on February 15, 2025. The remainder of the restricted stock units have vested and settled or will vest and settle in 12 equal quarterly installments thereafter. The restricted stock units have no expiration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EVP and Chief Legal Officer</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J. DesRosier</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05/19/2026</w:t>
            </w:r>
          </w:p>
        </w:tc>
      </w:tr>
      <w:tr>
        <w:trPr>
          <w:trHeight w:val="20"/>
        </w:trPr>
        <w:tc>
          <w:tcPr>
            <w:tcW w:w="1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5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5744" TargetMode="External"/><Relationship Id="rId14" Type="http://schemas.openxmlformats.org/officeDocument/2006/relationships/hyperlink" Target="http://www.sec.gov/cgi-bin/browse-edgar?action=getcompany&amp;CIK=00016098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2026-05-19T15:07:17Z</dcterms:created>
  <dcterms:modified xsi:type="dcterms:W3CDTF">2026-05-19T15:07:17Z</dcterms:modified>
</cp:coreProperties>
</file>