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-107950</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7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-107950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290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transition period from</w:t>
            </w:r>
          </w:p>
        </w:tc>
        <w:tc>
          <w:tcPr>
            <w:tcW w:w="1000" w:type="dxa"/>
            <w:vAlign w:val="bottom"/>
            <w:gridSpan w:val="3"/>
          </w:tcPr>
          <w:p>
            <w:pPr>
              <w:ind w:left="220"/>
              <w:spacing w:after="0"/>
              <w:rPr>
                <w:sz w:val="20"/>
                <w:szCs w:val="20"/>
                <w:color w:val="auto"/>
              </w:rPr>
            </w:pPr>
            <w:r>
              <w:rPr>
                <w:rFonts w:ascii="Arial" w:cs="Arial" w:eastAsia="Arial" w:hAnsi="Arial"/>
                <w:sz w:val="16"/>
                <w:szCs w:val="16"/>
                <w:b w:val="1"/>
                <w:bCs w:val="1"/>
                <w:color w:val="auto"/>
              </w:rPr>
              <w:t>to</w:t>
            </w: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3900" w:type="dxa"/>
            <w:vAlign w:val="bottom"/>
            <w:gridSpan w:val="7"/>
          </w:tcPr>
          <w:p>
            <w:pPr>
              <w:jc w:val="center"/>
              <w:ind w:left="247"/>
              <w:spacing w:after="0"/>
              <w:rPr>
                <w:sz w:val="20"/>
                <w:szCs w:val="20"/>
                <w:color w:val="auto"/>
              </w:rPr>
            </w:pPr>
            <w:r>
              <w:rPr>
                <w:rFonts w:ascii="Arial" w:cs="Arial" w:eastAsia="Arial" w:hAnsi="Arial"/>
                <w:sz w:val="16"/>
                <w:szCs w:val="16"/>
                <w:b w:val="1"/>
                <w:bCs w:val="1"/>
                <w:color w:val="auto"/>
                <w:w w:val="91"/>
              </w:rPr>
              <w:t>Commission File Number: 001-37465</w:t>
            </w:r>
          </w:p>
        </w:tc>
        <w:tc>
          <w:tcPr>
            <w:tcW w:w="5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50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Arial" w:cs="Arial" w:eastAsia="Arial" w:hAnsi="Arial"/>
                <w:sz w:val="41"/>
                <w:szCs w:val="41"/>
                <w:b w:val="1"/>
                <w:bCs w:val="1"/>
                <w:color w:val="auto"/>
                <w:w w:val="87"/>
              </w:rPr>
              <w:t>Seres</w:t>
            </w:r>
          </w:p>
        </w:tc>
        <w:tc>
          <w:tcPr>
            <w:tcW w:w="2240" w:type="dxa"/>
            <w:vAlign w:val="bottom"/>
            <w:tcBorders>
              <w:bottom w:val="single" w:sz="8" w:color="auto"/>
            </w:tcBorders>
            <w:gridSpan w:val="2"/>
          </w:tcPr>
          <w:p>
            <w:pPr>
              <w:spacing w:after="0"/>
              <w:rPr>
                <w:sz w:val="7"/>
                <w:szCs w:val="7"/>
                <w:color w:val="auto"/>
              </w:rPr>
            </w:pPr>
          </w:p>
        </w:tc>
        <w:tc>
          <w:tcPr>
            <w:tcW w:w="100" w:type="dxa"/>
            <w:vAlign w:val="bottom"/>
            <w:vMerge w:val="restart"/>
          </w:tcPr>
          <w:p>
            <w:pPr>
              <w:spacing w:after="0"/>
              <w:rPr>
                <w:sz w:val="7"/>
                <w:szCs w:val="7"/>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41"/>
                <w:szCs w:val="41"/>
                <w:b w:val="1"/>
                <w:bCs w:val="1"/>
                <w:color w:val="auto"/>
              </w:rPr>
              <w:t>Inc.</w:t>
            </w: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6"/>
        </w:trPr>
        <w:tc>
          <w:tcPr>
            <w:tcW w:w="350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41"/>
                <w:szCs w:val="41"/>
                <w:b w:val="1"/>
                <w:bCs w:val="1"/>
                <w:color w:val="auto"/>
                <w:w w:val="82"/>
              </w:rPr>
              <w:t>Therapeutics,</w:t>
            </w:r>
          </w:p>
        </w:tc>
        <w:tc>
          <w:tcPr>
            <w:tcW w:w="10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4460" w:type="dxa"/>
            <w:vAlign w:val="bottom"/>
            <w:gridSpan w:val="8"/>
          </w:tcPr>
          <w:p>
            <w:pPr>
              <w:jc w:val="center"/>
              <w:ind w:right="128"/>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500" w:type="dxa"/>
            <w:vAlign w:val="bottom"/>
          </w:tcPr>
          <w:p>
            <w:pPr>
              <w:jc w:val="center"/>
              <w:ind w:left="925"/>
              <w:spacing w:after="0"/>
              <w:rPr>
                <w:sz w:val="20"/>
                <w:szCs w:val="20"/>
                <w:color w:val="auto"/>
              </w:rPr>
            </w:pPr>
            <w:r>
              <w:rPr>
                <w:rFonts w:ascii="Arial" w:cs="Arial" w:eastAsia="Arial" w:hAnsi="Arial"/>
                <w:sz w:val="16"/>
                <w:szCs w:val="16"/>
                <w:b w:val="1"/>
                <w:bCs w:val="1"/>
                <w:color w:val="auto"/>
                <w:w w:val="93"/>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60" w:type="dxa"/>
            <w:vAlign w:val="bottom"/>
          </w:tcPr>
          <w:p>
            <w:pPr>
              <w:jc w:val="right"/>
              <w:ind w:right="1746"/>
              <w:spacing w:after="0"/>
              <w:rPr>
                <w:sz w:val="20"/>
                <w:szCs w:val="20"/>
                <w:color w:val="auto"/>
              </w:rPr>
            </w:pPr>
            <w:r>
              <w:rPr>
                <w:rFonts w:ascii="Arial" w:cs="Arial" w:eastAsia="Arial" w:hAnsi="Arial"/>
                <w:sz w:val="16"/>
                <w:szCs w:val="16"/>
                <w:b w:val="1"/>
                <w:bCs w:val="1"/>
                <w:color w:val="231F20"/>
              </w:rPr>
              <w:t>27-4326290</w:t>
            </w:r>
          </w:p>
        </w:tc>
        <w:tc>
          <w:tcPr>
            <w:tcW w:w="0" w:type="dxa"/>
            <w:vAlign w:val="bottom"/>
          </w:tcPr>
          <w:p>
            <w:pPr>
              <w:spacing w:after="0"/>
              <w:rPr>
                <w:sz w:val="1"/>
                <w:szCs w:val="1"/>
                <w:color w:val="auto"/>
              </w:rPr>
            </w:pPr>
          </w:p>
        </w:tc>
      </w:tr>
      <w:tr>
        <w:trPr>
          <w:trHeight w:val="148"/>
        </w:trPr>
        <w:tc>
          <w:tcPr>
            <w:tcW w:w="350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6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0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Incorporation or Organization)</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center"/>
              <w:ind w:right="110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3500" w:type="dxa"/>
            <w:vAlign w:val="bottom"/>
          </w:tcPr>
          <w:p>
            <w:pPr>
              <w:jc w:val="center"/>
              <w:ind w:left="925"/>
              <w:spacing w:after="0" w:line="254" w:lineRule="exact"/>
              <w:rPr>
                <w:sz w:val="20"/>
                <w:szCs w:val="20"/>
                <w:color w:val="auto"/>
              </w:rPr>
            </w:pPr>
            <w:r>
              <w:rPr>
                <w:rFonts w:ascii="Arial" w:cs="Arial" w:eastAsia="Arial" w:hAnsi="Arial"/>
                <w:sz w:val="16"/>
                <w:szCs w:val="16"/>
                <w:b w:val="1"/>
                <w:bCs w:val="1"/>
                <w:color w:val="auto"/>
                <w:w w:val="89"/>
              </w:rPr>
              <w:t>200 Sidney Street – 4</w:t>
            </w:r>
            <w:r>
              <w:rPr>
                <w:rFonts w:ascii="Arial" w:cs="Arial" w:eastAsia="Arial" w:hAnsi="Arial"/>
                <w:sz w:val="27"/>
                <w:szCs w:val="27"/>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500" w:type="dxa"/>
            <w:vAlign w:val="bottom"/>
          </w:tcPr>
          <w:p>
            <w:pPr>
              <w:jc w:val="center"/>
              <w:ind w:left="925"/>
              <w:spacing w:after="0"/>
              <w:rPr>
                <w:sz w:val="20"/>
                <w:szCs w:val="20"/>
                <w:color w:val="auto"/>
              </w:rPr>
            </w:pPr>
            <w:r>
              <w:rPr>
                <w:rFonts w:ascii="Arial" w:cs="Arial" w:eastAsia="Arial" w:hAnsi="Arial"/>
                <w:sz w:val="16"/>
                <w:szCs w:val="16"/>
                <w:b w:val="1"/>
                <w:bCs w:val="1"/>
                <w:color w:val="auto"/>
                <w:w w:val="89"/>
              </w:rPr>
              <w:t>Cambridge, Massachusetts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right"/>
              <w:ind w:right="1946"/>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86"/>
        </w:trPr>
        <w:tc>
          <w:tcPr>
            <w:tcW w:w="3500" w:type="dxa"/>
            <w:vAlign w:val="bottom"/>
          </w:tcPr>
          <w:p>
            <w:pPr>
              <w:jc w:val="center"/>
              <w:ind w:left="92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center"/>
              <w:ind w:right="1106"/>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2900" w:type="dxa"/>
            <w:vAlign w:val="bottom"/>
            <w:gridSpan w:val="4"/>
          </w:tcPr>
          <w:p>
            <w:pPr>
              <w:jc w:val="center"/>
              <w:ind w:left="1267"/>
              <w:spacing w:after="0"/>
              <w:rPr>
                <w:sz w:val="20"/>
                <w:szCs w:val="20"/>
                <w:color w:val="auto"/>
              </w:rPr>
            </w:pPr>
            <w:r>
              <w:rPr>
                <w:rFonts w:ascii="Arial" w:cs="Arial" w:eastAsia="Arial" w:hAnsi="Arial"/>
                <w:sz w:val="16"/>
                <w:szCs w:val="16"/>
                <w:b w:val="1"/>
                <w:bCs w:val="1"/>
                <w:color w:val="auto"/>
                <w:w w:val="93"/>
              </w:rPr>
              <w:t>(617) 945-9626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3900" w:type="dxa"/>
            <w:vAlign w:val="bottom"/>
            <w:gridSpan w:val="7"/>
          </w:tcPr>
          <w:p>
            <w:pPr>
              <w:jc w:val="center"/>
              <w:ind w:left="247"/>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900" w:type="dxa"/>
            <w:vAlign w:val="bottom"/>
            <w:gridSpan w:val="7"/>
          </w:tcPr>
          <w:p>
            <w:pPr>
              <w:jc w:val="center"/>
              <w:ind w:left="247"/>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tcPr>
          <w:p>
            <w:pPr>
              <w:jc w:val="center"/>
              <w:ind w:left="825"/>
              <w:spacing w:after="0"/>
              <w:rPr>
                <w:sz w:val="20"/>
                <w:szCs w:val="20"/>
                <w:color w:val="auto"/>
              </w:rPr>
            </w:pPr>
            <w:r>
              <w:rPr>
                <w:rFonts w:ascii="Arial" w:cs="Arial" w:eastAsia="Arial" w:hAnsi="Arial"/>
                <w:sz w:val="14"/>
                <w:szCs w:val="14"/>
                <w:b w:val="1"/>
                <w:bCs w:val="1"/>
                <w:color w:val="auto"/>
                <w:w w:val="89"/>
              </w:rPr>
              <w:t>Title of each class</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w w:val="92"/>
              </w:rPr>
              <w:t>Trading Symbol(s)</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jc w:val="center"/>
              <w:ind w:right="48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6"/>
        </w:trPr>
        <w:tc>
          <w:tcPr>
            <w:tcW w:w="3500" w:type="dxa"/>
            <w:vAlign w:val="bottom"/>
          </w:tcPr>
          <w:p>
            <w:pPr>
              <w:jc w:val="center"/>
              <w:ind w:left="805"/>
              <w:spacing w:after="0"/>
              <w:rPr>
                <w:sz w:val="20"/>
                <w:szCs w:val="20"/>
                <w:color w:val="auto"/>
              </w:rPr>
            </w:pPr>
            <w:r>
              <w:rPr>
                <w:rFonts w:ascii="Arial" w:cs="Arial" w:eastAsia="Arial" w:hAnsi="Arial"/>
                <w:sz w:val="14"/>
                <w:szCs w:val="14"/>
                <w:color w:val="auto"/>
                <w:w w:val="91"/>
              </w:rPr>
              <w:t>Common stock, par value $0.001 per share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jc w:val="center"/>
              <w:ind w:left="203"/>
              <w:spacing w:after="0"/>
              <w:rPr>
                <w:sz w:val="20"/>
                <w:szCs w:val="20"/>
                <w:color w:val="auto"/>
              </w:rPr>
            </w:pPr>
            <w:r>
              <w:rPr>
                <w:rFonts w:ascii="Arial" w:cs="Arial" w:eastAsia="Arial" w:hAnsi="Arial"/>
                <w:sz w:val="14"/>
                <w:szCs w:val="14"/>
                <w:color w:val="auto"/>
              </w:rPr>
              <w:t>MCRB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60" w:type="dxa"/>
            <w:vAlign w:val="bottom"/>
          </w:tcPr>
          <w:p>
            <w:pPr>
              <w:jc w:val="center"/>
              <w:ind w:right="1066"/>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265"/>
        </w:trPr>
        <w:tc>
          <w:tcPr>
            <w:tcW w:w="3500" w:type="dxa"/>
            <w:vAlign w:val="bottom"/>
          </w:tcPr>
          <w:p>
            <w:pPr>
              <w:spacing w:after="0"/>
              <w:rPr>
                <w:sz w:val="23"/>
                <w:szCs w:val="23"/>
                <w:color w:val="auto"/>
              </w:rPr>
            </w:pPr>
          </w:p>
        </w:tc>
        <w:tc>
          <w:tcPr>
            <w:tcW w:w="4460" w:type="dxa"/>
            <w:vAlign w:val="bottom"/>
            <w:gridSpan w:val="8"/>
          </w:tcPr>
          <w:p>
            <w:pPr>
              <w:jc w:val="center"/>
              <w:ind w:right="148"/>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4500" w:type="dxa"/>
            <w:vAlign w:val="bottom"/>
            <w:gridSpan w:val="4"/>
          </w:tcPr>
          <w:p>
            <w:pPr>
              <w:spacing w:after="0"/>
              <w:rPr>
                <w:sz w:val="6"/>
                <w:szCs w:val="6"/>
                <w:color w:val="auto"/>
              </w:rPr>
            </w:pPr>
          </w:p>
        </w:tc>
        <w:tc>
          <w:tcPr>
            <w:tcW w:w="2240" w:type="dxa"/>
            <w:vAlign w:val="bottom"/>
            <w:tcBorders>
              <w:bottom w:val="single" w:sz="8" w:color="auto"/>
            </w:tcBorders>
            <w:gridSpan w:val="2"/>
          </w:tcPr>
          <w:p>
            <w:pPr>
              <w:spacing w:after="0"/>
              <w:rPr>
                <w:sz w:val="6"/>
                <w:szCs w:val="6"/>
                <w:color w:val="auto"/>
              </w:rPr>
            </w:pPr>
          </w:p>
        </w:tc>
        <w:tc>
          <w:tcPr>
            <w:tcW w:w="660" w:type="dxa"/>
            <w:vAlign w:val="bottom"/>
            <w:gridSpan w:val="2"/>
          </w:tcPr>
          <w:p>
            <w:pPr>
              <w:spacing w:after="0"/>
              <w:rPr>
                <w:sz w:val="6"/>
                <w:szCs w:val="6"/>
                <w:color w:val="auto"/>
              </w:rPr>
            </w:pPr>
          </w:p>
        </w:tc>
        <w:tc>
          <w:tcPr>
            <w:tcW w:w="560" w:type="dxa"/>
            <w:vAlign w:val="bottom"/>
            <w:vMerge w:val="restart"/>
          </w:tcPr>
          <w:p>
            <w:pPr>
              <w:ind w:left="20"/>
              <w:spacing w:after="0" w:line="161" w:lineRule="exact"/>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p>
        </w:tc>
        <w:tc>
          <w:tcPr>
            <w:tcW w:w="3260" w:type="dxa"/>
            <w:vAlign w:val="bottom"/>
            <w:vMerge w:val="restart"/>
          </w:tcPr>
          <w:p>
            <w:pPr>
              <w:ind w:left="20"/>
              <w:spacing w:after="0" w:line="161" w:lineRule="exact"/>
              <w:rPr>
                <w:sz w:val="20"/>
                <w:szCs w:val="20"/>
                <w:color w:val="auto"/>
              </w:rPr>
            </w:pP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7"/>
        </w:trPr>
        <w:tc>
          <w:tcPr>
            <w:tcW w:w="7400" w:type="dxa"/>
            <w:vAlign w:val="bottom"/>
            <w:gridSpan w:val="8"/>
          </w:tcPr>
          <w:p>
            <w:pPr>
              <w:ind w:left="52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vMerge w:val="continue"/>
          </w:tcPr>
          <w:p>
            <w:pPr>
              <w:spacing w:after="0"/>
              <w:rPr>
                <w:sz w:val="16"/>
                <w:szCs w:val="16"/>
                <w:color w:val="auto"/>
              </w:rPr>
            </w:pP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00" w:type="dxa"/>
            <w:vAlign w:val="bottom"/>
            <w:gridSpan w:val="8"/>
          </w:tcPr>
          <w:p>
            <w:pPr>
              <w:ind w:left="52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b w:val="1"/>
                <w:bCs w:val="1"/>
                <w:color w:val="auto"/>
                <w:w w:val="93"/>
              </w:rPr>
              <w:t xml:space="preserve">Yes </w:t>
            </w:r>
            <w:r>
              <w:rPr>
                <w:rFonts w:ascii="MS PGothic" w:cs="MS PGothic" w:eastAsia="MS PGothic" w:hAnsi="MS PGothic"/>
                <w:sz w:val="14"/>
                <w:szCs w:val="14"/>
                <w:color w:val="auto"/>
                <w:w w:val="93"/>
              </w:rPr>
              <w:t>☐</w:t>
            </w:r>
          </w:p>
        </w:tc>
        <w:tc>
          <w:tcPr>
            <w:tcW w:w="3260" w:type="dxa"/>
            <w:vAlign w:val="bottom"/>
          </w:tcPr>
          <w:p>
            <w:pPr>
              <w:ind w:left="140"/>
              <w:spacing w:after="0" w:line="161" w:lineRule="exact"/>
              <w:rPr>
                <w:sz w:val="20"/>
                <w:szCs w:val="20"/>
                <w:color w:val="auto"/>
              </w:rPr>
            </w:pP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6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8" w:lineRule="exact"/>
        <w:rPr>
          <w:sz w:val="24"/>
          <w:szCs w:val="24"/>
          <w:color w:val="auto"/>
        </w:rPr>
      </w:pPr>
    </w:p>
    <w:p>
      <w:pPr>
        <w:ind w:right="4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85" w:lineRule="exact"/>
        <w:rPr>
          <w:sz w:val="24"/>
          <w:szCs w:val="24"/>
          <w:color w:val="auto"/>
        </w:rPr>
      </w:pPr>
    </w:p>
    <w:p>
      <w:pPr>
        <w:ind w:right="4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filed a report on the attestation to its management’s assessment of the effectiveness of its internal control over financial reporting under</w:t>
      </w:r>
    </w:p>
    <w:p>
      <w:pPr>
        <w:sectPr>
          <w:pgSz w:w="11900" w:h="16838" w:orient="portrait"/>
          <w:cols w:equalWidth="0" w:num="1">
            <w:col w:w="11220"/>
          </w:cols>
          <w:pgMar w:left="320" w:top="400" w:right="35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1" w:lineRule="exact"/>
        <w:rPr>
          <w:sz w:val="24"/>
          <w:szCs w:val="24"/>
          <w:color w:val="auto"/>
        </w:rPr>
      </w:pPr>
    </w:p>
    <w:p>
      <w:pPr>
        <w:sectPr>
          <w:pgSz w:w="11900" w:h="16838" w:orient="portrait"/>
          <w:cols w:equalWidth="0" w:num="2">
            <w:col w:w="8200" w:space="300"/>
            <w:col w:w="2720"/>
          </w:cols>
          <w:pgMar w:left="320" w:top="400" w:right="359" w:bottom="1440" w:gutter="0" w:footer="0" w:header="0"/>
          <w:type w:val="continuous"/>
        </w:sectPr>
      </w:pPr>
    </w:p>
    <w:p>
      <w:pPr>
        <w:spacing w:after="0" w:line="28"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line="130" w:lineRule="exact"/>
        <w:rPr>
          <w:sz w:val="20"/>
          <w:szCs w:val="20"/>
          <w:color w:val="auto"/>
        </w:rPr>
      </w:pPr>
      <w:r>
        <w:rPr>
          <w:rFonts w:ascii="Arial" w:cs="Arial" w:eastAsia="Arial" w:hAnsi="Arial"/>
          <w:sz w:val="13"/>
          <w:szCs w:val="13"/>
          <w:b w:val="1"/>
          <w:bCs w:val="1"/>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b w:val="1"/>
          <w:bCs w:val="1"/>
          <w:color w:val="auto"/>
        </w:rPr>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sectPr>
          <w:pgSz w:w="11900" w:h="16838" w:orient="portrait"/>
          <w:cols w:equalWidth="0" w:num="3">
            <w:col w:w="6460" w:space="140"/>
            <w:col w:w="400" w:space="160"/>
            <w:col w:w="4060"/>
          </w:cols>
          <w:pgMar w:left="320" w:top="400" w:right="359" w:bottom="1440" w:gutter="0" w:footer="0" w:header="0"/>
          <w:type w:val="continuous"/>
        </w:sectPr>
      </w:pPr>
    </w:p>
    <w:p>
      <w:pPr>
        <w:ind w:right="20" w:firstLine="510"/>
        <w:spacing w:after="0" w:line="238"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based on the closing price of the registrant’s common stock as reported on the Nasdaq Global Select Market on June 30, 2020, was $219,853,799. Solely for purposes of this disclosure, shares of common stock held by executive officers, directors and certain stockholders of the registrant as of such date have been excluded because such holders may be deemed to be affiliates.</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24, 2021, there were 91,549,412 shares of the registrant’s common stock, par value $0.001 per share, outstanding.</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60" w:firstLine="510"/>
        <w:spacing w:after="0" w:line="253" w:lineRule="auto"/>
        <w:rPr>
          <w:sz w:val="20"/>
          <w:szCs w:val="20"/>
          <w:color w:val="auto"/>
        </w:rPr>
      </w:pPr>
      <w:r>
        <w:rPr>
          <w:rFonts w:ascii="Arial" w:cs="Arial" w:eastAsia="Arial" w:hAnsi="Arial"/>
          <w:sz w:val="14"/>
          <w:szCs w:val="14"/>
          <w:color w:val="auto"/>
        </w:rPr>
        <w:t>Portions of the registrant’s definitive Proxy Statement relating to its 2021 Annual Meeting of Stockholders to be filed with the SEC within 120 days after the end of the fiscal year ended December 31, 2020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type w:val="continuous"/>
        </w:sectPr>
      </w:pPr>
    </w:p>
    <w:bookmarkStart w:id="1" w:name="page2"/>
    <w:bookmarkEnd w:id="1"/>
    <w:p>
      <w:pPr>
        <w:jc w:val="center"/>
        <w:ind w:left="11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p>
      <w:pPr>
        <w:spacing w:after="0" w:line="27" w:lineRule="exact"/>
        <w:rPr>
          <w:sz w:val="20"/>
          <w:szCs w:val="20"/>
          <w:color w:val="auto"/>
        </w:rPr>
      </w:pPr>
    </w:p>
    <w:p>
      <w:pPr>
        <w:spacing w:after="0"/>
        <w:tabs>
          <w:tab w:leader="none" w:pos="140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5"/>
            <w:szCs w:val="15"/>
            <w:u w:val="single" w:color="auto"/>
            <w:color w:val="0000EE"/>
          </w:rPr>
          <w:t>Business</w:t>
        </w:r>
      </w:hyperlink>
    </w:p>
    <w:p>
      <w:pPr>
        <w:spacing w:after="0" w:line="9"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1A.</w:t>
      </w:r>
      <w:r>
        <w:rPr>
          <w:sz w:val="20"/>
          <w:szCs w:val="20"/>
          <w:color w:val="auto"/>
        </w:rPr>
        <w:tab/>
      </w:r>
      <w:hyperlink w:anchor="page35">
        <w:r>
          <w:rPr>
            <w:rFonts w:ascii="Arial" w:cs="Arial" w:eastAsia="Arial" w:hAnsi="Arial"/>
            <w:sz w:val="16"/>
            <w:szCs w:val="16"/>
            <w:u w:val="single" w:color="auto"/>
            <w:color w:val="0000EE"/>
          </w:rPr>
          <w:t>Risk Factors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1B.</w:t>
      </w:r>
      <w:r>
        <w:rPr>
          <w:sz w:val="20"/>
          <w:szCs w:val="20"/>
          <w:color w:val="auto"/>
        </w:rPr>
        <w:tab/>
      </w:r>
      <w:hyperlink w:anchor="page69">
        <w:r>
          <w:rPr>
            <w:rFonts w:ascii="Arial" w:cs="Arial" w:eastAsia="Arial" w:hAnsi="Arial"/>
            <w:sz w:val="16"/>
            <w:szCs w:val="16"/>
            <w:u w:val="single" w:color="auto"/>
            <w:color w:val="0000EE"/>
          </w:rPr>
          <w:t>Unresolved Staff Comments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69">
        <w:r>
          <w:rPr>
            <w:rFonts w:ascii="Arial" w:cs="Arial" w:eastAsia="Arial" w:hAnsi="Arial"/>
            <w:sz w:val="16"/>
            <w:szCs w:val="16"/>
            <w:u w:val="single" w:color="auto"/>
            <w:color w:val="0000EE"/>
          </w:rPr>
          <w:t>Properties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69">
        <w:r>
          <w:rPr>
            <w:rFonts w:ascii="Arial" w:cs="Arial" w:eastAsia="Arial" w:hAnsi="Arial"/>
            <w:sz w:val="16"/>
            <w:szCs w:val="16"/>
            <w:u w:val="single" w:color="auto"/>
            <w:color w:val="0000EE"/>
          </w:rPr>
          <w:t>Legal Proceedings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69">
        <w:r>
          <w:rPr>
            <w:rFonts w:ascii="Arial" w:cs="Arial" w:eastAsia="Arial" w:hAnsi="Arial"/>
            <w:sz w:val="16"/>
            <w:szCs w:val="16"/>
            <w:u w:val="single" w:color="auto"/>
            <w:color w:val="0000EE"/>
          </w:rPr>
          <w:t>Mine Safety Disclosures</w:t>
        </w:r>
      </w:hyperlink>
    </w:p>
    <w:p>
      <w:pPr>
        <w:spacing w:after="0" w:line="16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PART II.</w:t>
        </w:r>
      </w:hyperlink>
    </w:p>
    <w:p>
      <w:pPr>
        <w:spacing w:after="0" w:line="27"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5.</w:t>
      </w:r>
      <w:r>
        <w:rPr>
          <w:sz w:val="20"/>
          <w:szCs w:val="20"/>
          <w:color w:val="auto"/>
        </w:rPr>
        <w:tab/>
      </w:r>
      <w:hyperlink w:anchor="page70">
        <w:r>
          <w:rPr>
            <w:rFonts w:ascii="Arial" w:cs="Arial" w:eastAsia="Arial" w:hAnsi="Arial"/>
            <w:sz w:val="16"/>
            <w:szCs w:val="16"/>
            <w:u w:val="single" w:color="auto"/>
            <w:color w:val="0000EE"/>
          </w:rPr>
          <w:t>Market for Registrant’s Common Equity, Related Stockholder Matters and Issuer Purchases of Equity Securities</w:t>
        </w:r>
      </w:hyperlink>
    </w:p>
    <w:p>
      <w:pPr>
        <w:spacing w:after="0" w:line="76"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6.</w:t>
      </w:r>
      <w:r>
        <w:rPr>
          <w:sz w:val="20"/>
          <w:szCs w:val="20"/>
          <w:color w:val="auto"/>
        </w:rPr>
        <w:tab/>
      </w:r>
      <w:hyperlink w:anchor="page71">
        <w:r>
          <w:rPr>
            <w:rFonts w:ascii="Arial" w:cs="Arial" w:eastAsia="Arial" w:hAnsi="Arial"/>
            <w:sz w:val="16"/>
            <w:szCs w:val="16"/>
            <w:u w:val="single" w:color="auto"/>
            <w:color w:val="0000EE"/>
          </w:rPr>
          <w:t>Selected Financial Data</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7.</w:t>
      </w:r>
      <w:r>
        <w:rPr>
          <w:sz w:val="20"/>
          <w:szCs w:val="20"/>
          <w:color w:val="auto"/>
        </w:rPr>
        <w:tab/>
      </w:r>
      <w:hyperlink w:anchor="page72">
        <w:r>
          <w:rPr>
            <w:rFonts w:ascii="Arial" w:cs="Arial" w:eastAsia="Arial" w:hAnsi="Arial"/>
            <w:sz w:val="16"/>
            <w:szCs w:val="16"/>
            <w:u w:val="single" w:color="auto"/>
            <w:color w:val="0000EE"/>
          </w:rPr>
          <w:t>Management’s Discussion and Analysis of Financial Condition and Results of Operations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7A.</w:t>
      </w:r>
      <w:r>
        <w:rPr>
          <w:sz w:val="20"/>
          <w:szCs w:val="20"/>
          <w:color w:val="auto"/>
        </w:rPr>
        <w:tab/>
      </w:r>
      <w:hyperlink w:anchor="page90">
        <w:r>
          <w:rPr>
            <w:rFonts w:ascii="Arial" w:cs="Arial" w:eastAsia="Arial" w:hAnsi="Arial"/>
            <w:sz w:val="16"/>
            <w:szCs w:val="16"/>
            <w:u w:val="single" w:color="auto"/>
            <w:color w:val="0000EE"/>
          </w:rPr>
          <w:t>Quantitative and Qualitative Disclosures about Market Risk</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8.</w:t>
      </w:r>
      <w:r>
        <w:rPr>
          <w:sz w:val="20"/>
          <w:szCs w:val="20"/>
          <w:color w:val="auto"/>
        </w:rPr>
        <w:tab/>
      </w:r>
      <w:hyperlink w:anchor="page90">
        <w:r>
          <w:rPr>
            <w:rFonts w:ascii="Arial" w:cs="Arial" w:eastAsia="Arial" w:hAnsi="Arial"/>
            <w:sz w:val="16"/>
            <w:szCs w:val="16"/>
            <w:u w:val="single" w:color="auto"/>
            <w:color w:val="0000EE"/>
          </w:rPr>
          <w:t>Financial Statements and Supplementary Data</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9.</w:t>
      </w:r>
      <w:r>
        <w:rPr>
          <w:sz w:val="20"/>
          <w:szCs w:val="20"/>
          <w:color w:val="auto"/>
        </w:rPr>
        <w:tab/>
      </w:r>
      <w:hyperlink w:anchor="page90">
        <w:r>
          <w:rPr>
            <w:rFonts w:ascii="Arial" w:cs="Arial" w:eastAsia="Arial" w:hAnsi="Arial"/>
            <w:sz w:val="16"/>
            <w:szCs w:val="16"/>
            <w:u w:val="single" w:color="auto"/>
            <w:color w:val="0000EE"/>
          </w:rPr>
          <w:t>Changes in and Disagreements with Accountants on Accounting and Financial Disclosure</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9A.</w:t>
      </w:r>
      <w:r>
        <w:rPr>
          <w:sz w:val="20"/>
          <w:szCs w:val="20"/>
          <w:color w:val="auto"/>
        </w:rPr>
        <w:tab/>
      </w:r>
      <w:hyperlink w:anchor="page90">
        <w:r>
          <w:rPr>
            <w:rFonts w:ascii="Arial" w:cs="Arial" w:eastAsia="Arial" w:hAnsi="Arial"/>
            <w:sz w:val="16"/>
            <w:szCs w:val="16"/>
            <w:u w:val="single" w:color="auto"/>
            <w:color w:val="0000EE"/>
          </w:rPr>
          <w:t>Controls and Procedures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9B.</w:t>
      </w:r>
      <w:r>
        <w:rPr>
          <w:sz w:val="20"/>
          <w:szCs w:val="20"/>
          <w:color w:val="auto"/>
        </w:rPr>
        <w:tab/>
      </w:r>
      <w:hyperlink w:anchor="page91">
        <w:r>
          <w:rPr>
            <w:rFonts w:ascii="Arial" w:cs="Arial" w:eastAsia="Arial" w:hAnsi="Arial"/>
            <w:sz w:val="16"/>
            <w:szCs w:val="16"/>
            <w:u w:val="single" w:color="auto"/>
            <w:color w:val="0000EE"/>
          </w:rPr>
          <w:t>Other Information</w:t>
        </w:r>
      </w:hyperlink>
    </w:p>
    <w:p>
      <w:pPr>
        <w:spacing w:after="0" w:line="16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PART III.</w:t>
        </w:r>
      </w:hyperlink>
    </w:p>
    <w:p>
      <w:pPr>
        <w:spacing w:after="0" w:line="27"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10.</w:t>
      </w:r>
      <w:r>
        <w:rPr>
          <w:sz w:val="20"/>
          <w:szCs w:val="20"/>
          <w:color w:val="auto"/>
        </w:rPr>
        <w:tab/>
      </w:r>
      <w:hyperlink w:anchor="page92">
        <w:r>
          <w:rPr>
            <w:rFonts w:ascii="Arial" w:cs="Arial" w:eastAsia="Arial" w:hAnsi="Arial"/>
            <w:sz w:val="16"/>
            <w:szCs w:val="16"/>
            <w:u w:val="single" w:color="auto"/>
            <w:color w:val="0000EE"/>
          </w:rPr>
          <w:t>Directors, Executive Officers and Corporate Governance</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11.</w:t>
      </w:r>
      <w:r>
        <w:rPr>
          <w:sz w:val="20"/>
          <w:szCs w:val="20"/>
          <w:color w:val="auto"/>
        </w:rPr>
        <w:tab/>
      </w:r>
      <w:hyperlink w:anchor="page96">
        <w:r>
          <w:rPr>
            <w:rFonts w:ascii="Arial" w:cs="Arial" w:eastAsia="Arial" w:hAnsi="Arial"/>
            <w:sz w:val="16"/>
            <w:szCs w:val="16"/>
            <w:u w:val="single" w:color="auto"/>
            <w:color w:val="0000EE"/>
          </w:rPr>
          <w:t>Executive Compensation</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12.</w:t>
      </w:r>
      <w:r>
        <w:rPr>
          <w:sz w:val="20"/>
          <w:szCs w:val="20"/>
          <w:color w:val="auto"/>
        </w:rPr>
        <w:tab/>
      </w:r>
      <w:hyperlink w:anchor="page96">
        <w:r>
          <w:rPr>
            <w:rFonts w:ascii="Arial" w:cs="Arial" w:eastAsia="Arial" w:hAnsi="Arial"/>
            <w:sz w:val="16"/>
            <w:szCs w:val="16"/>
            <w:u w:val="single" w:color="auto"/>
            <w:color w:val="0000EE"/>
          </w:rPr>
          <w:t>Security Ownership of Certain Beneficial Owners and Management and Related Stockholder Matters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13.</w:t>
      </w:r>
      <w:r>
        <w:rPr>
          <w:sz w:val="20"/>
          <w:szCs w:val="20"/>
          <w:color w:val="auto"/>
        </w:rPr>
        <w:tab/>
      </w:r>
      <w:hyperlink w:anchor="page96">
        <w:r>
          <w:rPr>
            <w:rFonts w:ascii="Arial" w:cs="Arial" w:eastAsia="Arial" w:hAnsi="Arial"/>
            <w:sz w:val="16"/>
            <w:szCs w:val="16"/>
            <w:u w:val="single" w:color="auto"/>
            <w:color w:val="0000EE"/>
          </w:rPr>
          <w:t>Certain Relationships and Related Transactions and Director Independence</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14.</w:t>
      </w:r>
      <w:r>
        <w:rPr>
          <w:sz w:val="20"/>
          <w:szCs w:val="20"/>
          <w:color w:val="auto"/>
        </w:rPr>
        <w:tab/>
      </w:r>
      <w:hyperlink w:anchor="page96">
        <w:r>
          <w:rPr>
            <w:rFonts w:ascii="Arial" w:cs="Arial" w:eastAsia="Arial" w:hAnsi="Arial"/>
            <w:sz w:val="16"/>
            <w:szCs w:val="16"/>
            <w:u w:val="single" w:color="auto"/>
            <w:color w:val="0000EE"/>
          </w:rPr>
          <w:t>Principal Accountant Fees and Services</w:t>
        </w:r>
      </w:hyperlink>
    </w:p>
    <w:p>
      <w:pPr>
        <w:spacing w:after="0" w:line="16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7">
        <w:r>
          <w:rPr>
            <w:rFonts w:ascii="Arial" w:cs="Arial" w:eastAsia="Arial" w:hAnsi="Arial"/>
            <w:sz w:val="18"/>
            <w:szCs w:val="18"/>
            <w:b w:val="1"/>
            <w:bCs w:val="1"/>
            <w:u w:val="single" w:color="auto"/>
            <w:color w:val="0000EE"/>
          </w:rPr>
          <w:t>PART IV.</w:t>
        </w:r>
      </w:hyperlink>
    </w:p>
    <w:p>
      <w:pPr>
        <w:spacing w:after="0" w:line="27"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15.</w:t>
      </w:r>
      <w:r>
        <w:rPr>
          <w:sz w:val="20"/>
          <w:szCs w:val="20"/>
          <w:color w:val="auto"/>
        </w:rPr>
        <w:tab/>
      </w:r>
      <w:hyperlink w:anchor="page97">
        <w:r>
          <w:rPr>
            <w:rFonts w:ascii="Arial" w:cs="Arial" w:eastAsia="Arial" w:hAnsi="Arial"/>
            <w:sz w:val="16"/>
            <w:szCs w:val="16"/>
            <w:u w:val="single" w:color="auto"/>
            <w:color w:val="0000EE"/>
          </w:rPr>
          <w:t>Exhibits and Financial Statement Schedules</w:t>
        </w:r>
      </w:hyperlink>
    </w:p>
    <w:p>
      <w:pPr>
        <w:spacing w:after="0" w:line="23" w:lineRule="exact"/>
        <w:rPr>
          <w:sz w:val="20"/>
          <w:szCs w:val="20"/>
          <w:color w:val="auto"/>
        </w:rPr>
      </w:pPr>
    </w:p>
    <w:p>
      <w:pPr>
        <w:spacing w:after="0"/>
        <w:tabs>
          <w:tab w:leader="none" w:pos="1400" w:val="left"/>
        </w:tabs>
        <w:rPr>
          <w:rFonts w:ascii="Arial" w:cs="Arial" w:eastAsia="Arial" w:hAnsi="Arial"/>
          <w:sz w:val="16"/>
          <w:szCs w:val="16"/>
          <w:u w:val="single" w:color="auto"/>
          <w:color w:val="0000EE"/>
        </w:rPr>
      </w:pPr>
      <w:r>
        <w:rPr>
          <w:rFonts w:ascii="Arial" w:cs="Arial" w:eastAsia="Arial" w:hAnsi="Arial"/>
          <w:sz w:val="18"/>
          <w:szCs w:val="18"/>
          <w:color w:val="auto"/>
        </w:rPr>
        <w:t>Item 16.</w:t>
      </w:r>
      <w:r>
        <w:rPr>
          <w:sz w:val="20"/>
          <w:szCs w:val="20"/>
          <w:color w:val="auto"/>
        </w:rPr>
        <w:tab/>
      </w:r>
      <w:hyperlink w:anchor="page99">
        <w:r>
          <w:rPr>
            <w:rFonts w:ascii="Arial" w:cs="Arial" w:eastAsia="Arial" w:hAnsi="Arial"/>
            <w:sz w:val="16"/>
            <w:szCs w:val="16"/>
            <w:u w:val="single" w:color="auto"/>
            <w:color w:val="0000EE"/>
          </w:rPr>
          <w:t>Form 10-K Summary</w:t>
        </w:r>
      </w:hyperlink>
    </w:p>
    <w:p>
      <w:pPr>
        <w:spacing w:after="0" w:line="16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0">
        <w:r>
          <w:rPr>
            <w:rFonts w:ascii="Arial" w:cs="Arial" w:eastAsia="Arial" w:hAnsi="Arial"/>
            <w:sz w:val="18"/>
            <w:szCs w:val="18"/>
            <w:b w:val="1"/>
            <w:bCs w:val="1"/>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6350</wp:posOffset>
            </wp:positionV>
            <wp:extent cx="386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69</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69</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69</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69</w:t>
      </w: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70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71</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72</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91</w:t>
      </w:r>
    </w:p>
    <w:p>
      <w:pPr>
        <w:spacing w:after="0" w:line="200" w:lineRule="exact"/>
        <w:rPr>
          <w:sz w:val="20"/>
          <w:szCs w:val="20"/>
          <w:color w:val="auto"/>
        </w:rPr>
      </w:pPr>
    </w:p>
    <w:p>
      <w:pPr>
        <w:spacing w:after="0" w:line="2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92</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96</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96</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96</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96</w:t>
      </w:r>
    </w:p>
    <w:p>
      <w:pPr>
        <w:spacing w:after="0" w:line="200" w:lineRule="exact"/>
        <w:rPr>
          <w:sz w:val="20"/>
          <w:szCs w:val="20"/>
          <w:color w:val="auto"/>
        </w:rPr>
      </w:pPr>
    </w:p>
    <w:p>
      <w:pPr>
        <w:spacing w:after="0" w:line="2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97</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99</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ectPr>
          <w:pgSz w:w="11900" w:h="16838" w:orient="portrait"/>
          <w:cols w:equalWidth="0" w:num="2">
            <w:col w:w="10060" w:space="720"/>
            <w:col w:w="46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231F20"/>
        </w:rPr>
        <w:t>FORWARD-LOOKING STATEMENTS</w:t>
      </w:r>
    </w:p>
    <w:p>
      <w:pPr>
        <w:spacing w:after="0" w:line="27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Annual Report on Form 10-K.</w:t>
      </w:r>
    </w:p>
    <w:p>
      <w:pPr>
        <w:spacing w:after="0" w:line="178"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2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proprietary rights to trademarks used in this Annual Report on Form 10-K,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76" w:lineRule="exact"/>
        <w:rPr>
          <w:sz w:val="20"/>
          <w:szCs w:val="20"/>
          <w:color w:val="auto"/>
        </w:rPr>
      </w:pPr>
    </w:p>
    <w:p>
      <w:pPr>
        <w:ind w:left="740" w:right="4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development-stage company and have incurred significant losses since our inception. We expect to incur losses for the foreseeable future and may never achieve or maintain profitability.</w:t>
      </w:r>
    </w:p>
    <w:p>
      <w:pPr>
        <w:spacing w:after="0" w:line="62" w:lineRule="exact"/>
        <w:rPr>
          <w:rFonts w:ascii="Arial" w:cs="Arial" w:eastAsia="Arial" w:hAnsi="Arial"/>
          <w:sz w:val="18"/>
          <w:szCs w:val="18"/>
          <w:color w:val="auto"/>
        </w:rPr>
      </w:pPr>
    </w:p>
    <w:p>
      <w:pPr>
        <w:ind w:left="740" w:right="8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to evaluate the success of our business to date and to assess our future viability.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368" w:right="52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than SER-109 and SER-287, we are early in our development efforts and may not be successful in our efforts to use our microbiome therapeutics platform to build a pipeline of product candidates and develop marketable drugs.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are based on microbiome therapeutics, which is an unproven approach to therapeutic intervention.</w:t>
      </w:r>
    </w:p>
    <w:p>
      <w:pPr>
        <w:spacing w:after="0" w:line="117" w:lineRule="exact"/>
        <w:rPr>
          <w:rFonts w:ascii="Arial" w:cs="Arial" w:eastAsia="Arial" w:hAnsi="Arial"/>
          <w:sz w:val="18"/>
          <w:szCs w:val="18"/>
          <w:color w:val="auto"/>
        </w:rPr>
      </w:pPr>
    </w:p>
    <w:p>
      <w:pPr>
        <w:jc w:val="both"/>
        <w:ind w:left="368" w:right="640" w:hanging="368"/>
        <w:spacing w:after="0" w:line="342" w:lineRule="auto"/>
        <w:tabs>
          <w:tab w:leader="none" w:pos="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5" w:lineRule="exact"/>
        <w:rPr>
          <w:rFonts w:ascii="Arial" w:cs="Arial" w:eastAsia="Arial" w:hAnsi="Arial"/>
          <w:sz w:val="16"/>
          <w:szCs w:val="16"/>
          <w:color w:val="auto"/>
        </w:rPr>
      </w:pPr>
    </w:p>
    <w:p>
      <w:pPr>
        <w:ind w:left="368" w:right="10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difficulties in the enrollment of patients in clinical trials, could result in our receipt of necessary regulatory approvals being delayed or prevented.</w:t>
      </w:r>
    </w:p>
    <w:p>
      <w:pPr>
        <w:spacing w:after="0" w:line="62" w:lineRule="exact"/>
        <w:rPr>
          <w:rFonts w:ascii="Arial" w:cs="Arial" w:eastAsia="Arial" w:hAnsi="Arial"/>
          <w:sz w:val="18"/>
          <w:szCs w:val="18"/>
          <w:color w:val="auto"/>
        </w:rPr>
      </w:pPr>
    </w:p>
    <w:p>
      <w:pPr>
        <w:ind w:left="368" w:right="20" w:hanging="368"/>
        <w:spacing w:after="0" w:line="311" w:lineRule="auto"/>
        <w:tabs>
          <w:tab w:leader="none" w:pos="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40" w:lineRule="exact"/>
        <w:rPr>
          <w:rFonts w:ascii="Arial" w:cs="Arial" w:eastAsia="Arial" w:hAnsi="Arial"/>
          <w:sz w:val="16"/>
          <w:szCs w:val="16"/>
          <w:color w:val="auto"/>
        </w:rPr>
      </w:pPr>
    </w:p>
    <w:p>
      <w:pPr>
        <w:ind w:left="368" w:right="80" w:hanging="368"/>
        <w:spacing w:after="0" w:line="279" w:lineRule="auto"/>
        <w:tabs>
          <w:tab w:leader="none" w:pos="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Collaboration and License Agreement, or the License Agreement, with Société des Produits Nestlé S.A., or Nestlé, the successor in interest to Nestec Ltd., is important to our business. If we or Nestlé fail to adequately perform under the License Agreement, or if we or Nestlé terminate the License Agreement, the development and commercialization of our CDI and IBD product candidates, including SER-109, SER-287, and SER-301, would be delayed or terminated and our business would be adversely affected.</w:t>
      </w:r>
    </w:p>
    <w:p>
      <w:pPr>
        <w:spacing w:after="0" w:line="63" w:lineRule="exact"/>
        <w:rPr>
          <w:rFonts w:ascii="Arial" w:cs="Arial" w:eastAsia="Arial" w:hAnsi="Arial"/>
          <w:sz w:val="17"/>
          <w:szCs w:val="17"/>
          <w:color w:val="auto"/>
        </w:rPr>
      </w:pPr>
    </w:p>
    <w:p>
      <w:pPr>
        <w:ind w:left="368" w:right="56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rFonts w:ascii="Arial" w:cs="Arial" w:eastAsia="Arial" w:hAnsi="Arial"/>
          <w:sz w:val="18"/>
          <w:szCs w:val="18"/>
          <w:color w:val="auto"/>
        </w:rPr>
      </w:pPr>
    </w:p>
    <w:p>
      <w:pPr>
        <w:ind w:left="368" w:right="40" w:hanging="368"/>
        <w:spacing w:after="0" w:line="259"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78"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2" w:lineRule="exact"/>
        <w:rPr>
          <w:rFonts w:ascii="Arial" w:cs="Arial" w:eastAsia="Arial" w:hAnsi="Arial"/>
          <w:sz w:val="18"/>
          <w:szCs w:val="18"/>
          <w:color w:val="auto"/>
        </w:rPr>
      </w:pPr>
    </w:p>
    <w:p>
      <w:pPr>
        <w:ind w:left="368" w:right="40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competing products before or more successfully than we do.</w:t>
      </w:r>
    </w:p>
    <w:p>
      <w:pPr>
        <w:spacing w:after="0" w:line="62" w:lineRule="exact"/>
        <w:rPr>
          <w:rFonts w:ascii="Arial" w:cs="Arial" w:eastAsia="Arial" w:hAnsi="Arial"/>
          <w:sz w:val="18"/>
          <w:szCs w:val="18"/>
          <w:color w:val="auto"/>
        </w:rPr>
      </w:pPr>
    </w:p>
    <w:p>
      <w:pPr>
        <w:ind w:left="368" w:right="180"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5" w:lineRule="exact"/>
        <w:rPr>
          <w:rFonts w:ascii="Arial" w:cs="Arial" w:eastAsia="Arial" w:hAnsi="Arial"/>
          <w:sz w:val="18"/>
          <w:szCs w:val="18"/>
          <w:color w:val="auto"/>
        </w:rPr>
      </w:pPr>
    </w:p>
    <w:p>
      <w:pPr>
        <w:ind w:left="368"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caused by the novel strain of coronavirus has adversely impacted and could continue to adversely impact, our business, including our preclinical studies and clinical trials, results of operations and financial condition.</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117" w:lineRule="exact"/>
        <w:rPr>
          <w:rFonts w:ascii="Arial" w:cs="Arial" w:eastAsia="Arial" w:hAnsi="Arial"/>
          <w:sz w:val="18"/>
          <w:szCs w:val="18"/>
          <w:color w:val="auto"/>
        </w:rPr>
      </w:pPr>
    </w:p>
    <w:p>
      <w:pPr>
        <w:ind w:left="368" w:right="42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expand our operational capabilities, and as a result, we may encounter difficulties in managing our growth, which could disrupt our operations.</w:t>
      </w:r>
    </w:p>
    <w:p>
      <w:pPr>
        <w:spacing w:after="0" w:line="62"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incur costs as a result of being a public company, and our management will continue to devote substantial time to compliance initiatives and corporate governance practices.</w:t>
      </w:r>
    </w:p>
    <w:p>
      <w:pPr>
        <w:spacing w:after="0" w:line="170"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92" w:top="125"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are a microbiome therapeutics company developing a novel class of live biotherapeutic drugs, which are consortia of microbes designed to treat disease by modulating the microbiome to treat or prevent disease by repairing the function of a disease susceptible microbiome to a non-disease state. We have an advanced drug pipeline with late-stage clinical assets and a differentiated microbiome therapeutics drug discovery and development platform including good manufacturing practices, or GMP, manufacturing capabilities for this novel drug modality.</w:t>
      </w:r>
    </w:p>
    <w:p>
      <w:pPr>
        <w:spacing w:after="0" w:line="17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 xml:space="preserve">Our highest priority is preparing the SER-109 biologics license application, or BLA, for submission to the Food and Drug Administration, or FDA; we are focused on completing acquisition of the required safety database necessary for approval to treat </w:t>
      </w:r>
      <w:r>
        <w:rPr>
          <w:rFonts w:ascii="Arial" w:cs="Arial" w:eastAsia="Arial" w:hAnsi="Arial"/>
          <w:sz w:val="16"/>
          <w:szCs w:val="16"/>
          <w:i w:val="1"/>
          <w:iCs w:val="1"/>
          <w:color w:val="auto"/>
        </w:rPr>
        <w:t>Clostridioides difficile</w:t>
      </w:r>
      <w:r>
        <w:rPr>
          <w:rFonts w:ascii="Arial" w:cs="Arial" w:eastAsia="Arial" w:hAnsi="Arial"/>
          <w:sz w:val="16"/>
          <w:szCs w:val="16"/>
          <w:color w:val="auto"/>
        </w:rPr>
        <w:t xml:space="preserve"> infection or CDI, with SER-</w:t>
      </w:r>
    </w:p>
    <w:p>
      <w:pPr>
        <w:ind w:right="20" w:firstLine="8"/>
        <w:spacing w:after="0" w:line="273"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Additionally, using our microbiome therapeutics platform, we are focusing our resources on obtaining clinical results from our clinical programs in ulcerative colitis, or UC, a form of inflammatory bowel disease, or IBD, with SER-287 and SER-301, with SER-401 in patients with metastatic melanoma, and with SER-155 to prevent mortality due to gastrointestinal infections, bacteremia and GvHD in immunocompromised patients, including in patients receiving allogeneic hematopoietic stem cell transplantation, or allo-HSCT, or solid organ transplants.</w:t>
      </w:r>
    </w:p>
    <w:p>
      <w:pPr>
        <w:spacing w:after="0" w:line="1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SER-109, our lead clinical candidate, which has successfully completed a Phase 3 clinical study, is designed to rapidly modulate the gastrointestinal microbiome in patients with recurrent CDI. CDI is most often caused by the use of broad-spectrum antibiotics, which disrupt the gastrointestinal microbiome by decreasing microbial diversity, thus increasing susceptibility to infection by </w:t>
      </w:r>
      <w:r>
        <w:rPr>
          <w:rFonts w:ascii="Arial" w:cs="Arial" w:eastAsia="Arial" w:hAnsi="Arial"/>
          <w:sz w:val="16"/>
          <w:szCs w:val="16"/>
          <w:i w:val="1"/>
          <w:iCs w:val="1"/>
          <w:color w:val="auto"/>
        </w:rPr>
        <w:t>Clostridioides difficile</w:t>
      </w:r>
      <w:r>
        <w:rPr>
          <w:rFonts w:ascii="Arial" w:cs="Arial" w:eastAsia="Arial" w:hAnsi="Arial"/>
          <w:sz w:val="16"/>
          <w:szCs w:val="16"/>
          <w:color w:val="auto"/>
        </w:rPr>
        <w:t xml:space="preserve">, or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 spore forming bacterium.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expresses toxins leading to debilitating diarrhea in infected patients, and can also cause more severe outcomes, such as inflammation of the colon (colitis), toxic megacolon and death. The U.S. Centers for Disease Control, or CDC, has identified CDI as one of the top three most urgent bacterial threats in the United States. It is the most common cause of hospital acquired infection in the United States and has overtaken methicillin-resistant </w:t>
      </w:r>
      <w:r>
        <w:rPr>
          <w:rFonts w:ascii="Arial" w:cs="Arial" w:eastAsia="Arial" w:hAnsi="Arial"/>
          <w:sz w:val="16"/>
          <w:szCs w:val="16"/>
          <w:i w:val="1"/>
          <w:iCs w:val="1"/>
          <w:color w:val="auto"/>
        </w:rPr>
        <w:t>Staphylococcus aureus</w:t>
      </w:r>
      <w:r>
        <w:rPr>
          <w:rFonts w:ascii="Arial" w:cs="Arial" w:eastAsia="Arial" w:hAnsi="Arial"/>
          <w:sz w:val="16"/>
          <w:szCs w:val="16"/>
          <w:color w:val="auto"/>
        </w:rPr>
        <w:t>, or MRSA, in incidence of disease. CDI is responsible for the deaths of over 20,000 Americans each year. There are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453,000 cases of primary CDI within the United States each year and approximately 170,000 incidences of recurrent CDI. The standard of care for CDI is to treat with antibiotics. In many cases, antibiotic treatments may kill vegetative toxin-producing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thus resolving symptoms of </w:t>
      </w:r>
      <w:r>
        <w:rPr>
          <w:rFonts w:ascii="Arial" w:cs="Arial" w:eastAsia="Arial" w:hAnsi="Arial"/>
          <w:sz w:val="16"/>
          <w:szCs w:val="16"/>
          <w:i w:val="1"/>
          <w:iCs w:val="1"/>
          <w:color w:val="auto"/>
        </w:rPr>
        <w:t>C.</w:t>
      </w:r>
      <w:r>
        <w:rPr>
          <w:rFonts w:ascii="Arial" w:cs="Arial" w:eastAsia="Arial" w:hAnsi="Arial"/>
          <w:sz w:val="16"/>
          <w:szCs w:val="16"/>
          <w:color w:val="auto"/>
        </w:rPr>
        <w:t xml:space="preserve"> </w:t>
      </w:r>
      <w:r>
        <w:rPr>
          <w:rFonts w:ascii="Arial" w:cs="Arial" w:eastAsia="Arial" w:hAnsi="Arial"/>
          <w:sz w:val="16"/>
          <w:szCs w:val="16"/>
          <w:i w:val="1"/>
          <w:iCs w:val="1"/>
          <w:color w:val="auto"/>
        </w:rPr>
        <w:t>difficile</w:t>
      </w:r>
      <w:r>
        <w:rPr>
          <w:rFonts w:ascii="Arial" w:cs="Arial" w:eastAsia="Arial" w:hAnsi="Arial"/>
          <w:sz w:val="16"/>
          <w:szCs w:val="16"/>
          <w:color w:val="auto"/>
        </w:rPr>
        <w:t>. However, these antibiotic treatments also kill beneficial bacteria indiscriminately, thus maintaining or exacerbating the disrupted microbiome,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potentially making patients more susceptible to a recurrence of CDI. Furthermore, antibiotics do not eliminate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spores, allowing the spores to rapidly germinate in a disrupted microbiome and cause a recurrence of the infection. Published data suggests that the risk of recurrence is approximately 25% after the primary CDI and increases to greater than or equal to 40% after a first recurrence. SER-109, if approved, is intended to treat individuals with recurrent CDI, a patient population which includes approximately 170,000 individuals per year in the United States.</w:t>
      </w:r>
    </w:p>
    <w:p>
      <w:pPr>
        <w:spacing w:after="0" w:line="2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SER-109 is an oral microbiome therapeutic candidate consisting of a consortium of highly purified Firmicute spores, which normally live in the healthy microbiome. SER-109 is designed to prevent further recurrences of CDI in patients with a history of multiple infections by modulating the disrupted microbiome to a state that resists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colonization and growth. We completed enrollment with 182 patients with multiply recurrent CDI in ECOSPOR III. The study was designed to evaluate patients for 24 weeks with the primary endpoint of comparing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 The SER-109 manufacturing purification process is designed to remove unwanted microbes thereby reducing the risk of pathogen transmission beyond donor screening alone.</w:t>
      </w:r>
    </w:p>
    <w:p>
      <w:pPr>
        <w:spacing w:after="0" w:line="178"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6"/>
          <w:szCs w:val="16"/>
          <w:color w:val="auto"/>
        </w:rPr>
        <w:t>In August 2020, we reported positive topline results from the interim analysis of the pivotal Phase 3 ECOSPOR III study evaluating SER-109 for multiply recurrent CDI. Those results showed that SER-109 administration resulted in a highly statistically significant absolute decrease of 30.2% in the proportion of patients who experienced a recurrence in CDI within eight weeks of administration versus placebo, the study’s primary endpoint, and which remained consistent at 12-weeks end point with a 31.1% absolute decrease. At eight weeks of treatment, 11.1% of patients administered SER-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109 experienced a CDI recurrence, versus 41.3% of placebo patients. The study results were equally compelling when characterized by the alternative metric of sustained clinical response, where 88.9% of patients in the SER-109 arm achieved this objective at eight weeks. Subsequent analyses from the completed Phase 3 study using the final statistically defined Intent-to-Treat population show that 12.4% of subjects experienced a recurrence, versus 39.8% on placebo, which represents a relative risk of 0.32 (95% CI 0.18-0.58; p&lt;.001), with an absolute risk reduction of 27% and a relative risk reduction of 69%. The percent on SER-109 with a sustained clinical response was approximately 88%. The number-needed-to treat was 3.7. In the same updated analysis, the 12 week rate of recurrence in the SER-109 arm was 18.0%, compared to a rate of 46.2% in the placebo arm, representing an absolute risk reduction of 28% (relative risk 0.40; 95% CI 0.24-0.65; p-value = 0.002), and thereby consistent with the results seen at eight weeks. Results across stratifications of age and antibiotics remained similar. The study’s efficacy results related to the primary endpoint from all analyses exceeded the statistical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right="500"/>
        <w:spacing w:after="0" w:line="277" w:lineRule="auto"/>
        <w:rPr>
          <w:sz w:val="20"/>
          <w:szCs w:val="20"/>
          <w:color w:val="auto"/>
        </w:rPr>
      </w:pPr>
      <w:r>
        <w:rPr>
          <w:rFonts w:ascii="Arial" w:cs="Arial" w:eastAsia="Arial" w:hAnsi="Arial"/>
          <w:sz w:val="18"/>
          <w:szCs w:val="18"/>
          <w:color w:val="auto"/>
        </w:rPr>
        <w:t>threshold previously provided in consultation with the FDA that could allow this single clinical study to fulfill efficacy requirements for a BLA. The efficacy remained durable through twenty-four weeks of follow-up.</w:t>
      </w:r>
    </w:p>
    <w:p>
      <w:pPr>
        <w:spacing w:after="0" w:line="170"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The SER-109 safety results observed to-date were favorable, with an adverse event profile comparable to placebo. We are actively enrolling patients in our SER-109 open-label study, which also allows enrollment of patients with single or multiple recurrences of CDI, to expand the safety database to meet the FDA threshold of at least 300 patients.</w:t>
      </w:r>
    </w:p>
    <w:p>
      <w:pPr>
        <w:spacing w:after="0" w:line="184"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SER-287, an oral microbiome therapeutic candidate consisting of a consortium of highly purified Firmicute spores, is designed to normalize the gastrointestinal microbiome of individuals with UC. In December 2018, we commenced a three-arm placebo-controlled Phase 2b clinical trial that was designed to evaluate SER-287 in approximately 201 patients with mild-to-moderate UC, termed ECO-RESET. Two groups of patients are receiving different doses of SER-287, both following pre-conditioning with a short course of oral vancomycin. A third group are receiving placebo. The study’s primary endpoint will evaluate clinical remission measured after 10 weeks of SER-287 administration. Patients then enter a 26-week exploratory maintenance follow-up period. Endoscopic improvement will be measured as a secondary efficacy measure. Based on feedback from the FDA, if the data from this trial is positive, we expect that the Phase 2b clinical trial could be one of two pivotal trials to enable a BLA to be submitted for SER-287 for the treatment of UC. We anticipate top-line results in mid-2021.</w:t>
      </w:r>
    </w:p>
    <w:p>
      <w:pPr>
        <w:spacing w:after="0" w:line="21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The clinical development of SER-287 to treat UC, is supported by successful preclinical and clinical studies. Preclinical colitis animal models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screens provided evidence that SER-287 administration has the potential to reduce pathology and modulate inflammatory and immunological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 pathways. Published clinical reports also suggest that modulation of the microbiome through repetitive fecal microbiota transplantation, or FMT, may lead to meaningful clinical response in UC patients.</w:t>
      </w:r>
    </w:p>
    <w:p>
      <w:pPr>
        <w:spacing w:after="0" w:line="21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completed our Phase 1b clinical study for SER-287, in subjects with active mild to moderate UC who were failing their current therapies. The results of the SER-287 Phase 1b study, a randomized, double-blinded, placebo-controlled, multiple-dose, induction study enrolled patients with active mild-to-moderate UC, with Total Modified Mayo scores of 4 to 10 were positive. The study enrolled 58 subjects who exhibited pre-study disease activity despite ongoing treatment with standard-of-care therapeutics. SER-287 safety and tolerability was a primary study endpoint. The study showed no imbalance in adverse events in SER-287-treated patients as compared to patients treated with placebo and no drug-related serious adverse events were observed.</w:t>
      </w:r>
    </w:p>
    <w:p>
      <w:pPr>
        <w:spacing w:after="0" w:line="20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Analyses of microbiome data, a co-primary endpoint of the trial, showed that SER-287 induced regimen-dependent engraftment of SER-287 derived bacterial species into the colonic microbiome of patients treated with SER-287. Patients administered vancomycin pre-conditioning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pharmacologic impact of the SER-287 engraftment was supported by metabolomic and transcriptomic data. Analysis of metabolites and gene expression signatures associated with inflammation and immune modulation, showed correlations with remission in SER-287 treated subjects. A paper titled “A Phase 1b Safety Study of SER-287, a Spore-Based Microbiome Therapeutic, For Active Mild-To-Moderate Ulcerative Colitis” was highlighted as the cover article in the January 2021 print edition of the leading journal Gastroenterology including data analysis on clinical remission, endoscopic improvement, modulation of the gastrointestinal microbiome, and a favorable safety profile.</w:t>
      </w:r>
    </w:p>
    <w:p>
      <w:pPr>
        <w:spacing w:after="0" w:line="182" w:lineRule="exact"/>
        <w:rPr>
          <w:sz w:val="20"/>
          <w:szCs w:val="20"/>
          <w:color w:val="auto"/>
        </w:rPr>
      </w:pPr>
    </w:p>
    <w:p>
      <w:pPr>
        <w:ind w:right="80" w:firstLine="510"/>
        <w:spacing w:after="0" w:line="295" w:lineRule="auto"/>
        <w:rPr>
          <w:sz w:val="20"/>
          <w:szCs w:val="20"/>
          <w:color w:val="auto"/>
        </w:rPr>
      </w:pPr>
      <w:r>
        <w:rPr>
          <w:rFonts w:ascii="Arial" w:cs="Arial" w:eastAsia="Arial" w:hAnsi="Arial"/>
          <w:sz w:val="16"/>
          <w:szCs w:val="16"/>
          <w:color w:val="auto"/>
        </w:rPr>
        <w:t>We are also advancing our microbiome drug discovery and development capabilities and our next generation therapeutics, including SER-301, a therapeutic candidate for UC. SER-301 is a consortium of cultivated bacteria designed using our reverse translational discovery platform that incorporates analysis of microbiome biomarkers from human clinical data and preclinical assessments using human cell-based assays and in vitro/ex vivo and in vivo disease models. SER-301 is designed to reduce induction of pro-inflammatory activity, improve epithelial barrier integrity and TNF-α driven inflammation in intestinal epithelial cells, or IECs, and modulate UC-relevant anti-inflammatory, innate and adaptive immune pathways. SER-301 is being produced using our advanced fermentation, formulation and delivery platforms. It includes strains delivered in spore form, as well as strains cultivated in non-spore (vegetative) form and delivered using enterically-protected technology designed to release in the colon. In November 2020 we enrolled our first patient in the SER-301 Phase 1b study. This initial clinical study of SER-301 is being conducted in Australia and New Zealand.</w:t>
      </w:r>
    </w:p>
    <w:p>
      <w:pPr>
        <w:spacing w:after="0" w:line="1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SER-155 is an oral microbiome therapeutic candidate, consisting of a consortium of cultivated bacteria, that we are advancing into clinical development. The rationale for this program is based in part on published clinical evidence from our collaborators at Memorial Sloan Kettering Cancer Center showing that allo-HSCT patients with decreased diversity of commensal microbes were significantly more likely to die due to infection and/or lethal graft versus host disease, or GvHD. SER-155 is a consortium of cultivated bacteria designed using our reverse translational discovery platform to prevent mortality due to gastrointestinal infections, bacteremia and GvHD in immunocompromised patients, including in patients receiving allo-HSCT or solid organ transplants. SER-155 is designed to decrease infection and translocation of antibiotic resistant bacteria in the gastrointestinal tract and modulate host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line="275" w:lineRule="auto"/>
        <w:rPr>
          <w:sz w:val="20"/>
          <w:szCs w:val="20"/>
          <w:color w:val="auto"/>
        </w:rPr>
      </w:pPr>
      <w:r>
        <w:rPr>
          <w:rFonts w:ascii="Arial" w:cs="Arial" w:eastAsia="Arial" w:hAnsi="Arial"/>
          <w:sz w:val="17"/>
          <w:szCs w:val="17"/>
          <w:color w:val="auto"/>
        </w:rPr>
        <w:t>immune responses to decrease GvHD. In November 2017, we were awarded a highly competitive grant from CARB-X to support continued preclinical research and early development work for SER-155. In 2019, Seres was awarded additional funding from CARB-X to support clinical development of SER-155, including support through investigational new drug application, or IND submission and Phase 1b evaluation. The 2019 CARB-X grant provides us with an additional $4.8 million of funding for research, manufacture, and IND submission, with potential for an additional $7.0 million for Phase 1b development, upon completion of milestones. We expect to initiate clinical development of SER-155 in the first half of 2021.</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SER-401 is an oral microbiome therapeutic candidate, consisting of a consortium of purified bacteria and comprising a bacterial signature similar to that observed in checkpoint inhibitor immunotherapy responders. In March 2019, the first patient was dosed in the Phase 1b clinical study with MD Anderson and the Parker Institute, to evaluate SER-401’s potential to augment the response of anti-PD-1 checkpoint inhibitor therapy. The study is designed to enroll 30 patients with metastatic melanoma who are being treated with nivolumab, an anti-PD-1 therapy. Patients are randomized at a 2-to-1 ratio to either SER-401 or placebo. The study’s primary endpoints are to evaluate safety and tolerability. Its secondary endpoints are to evaluate the correlation of microbiome biomarkers of response to various clinical and immunological outcome measures.</w:t>
      </w:r>
    </w:p>
    <w:p>
      <w:pPr>
        <w:spacing w:after="0" w:line="178"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Seres continues to monitor the impact of the COVID-19 pandemic on company operations and ongoing clinical development activity, including on the SER-401 Phase 1b study in metastatic melanoma. We are working with MD Anderson and PICI to evaluate the potential impact to the SER-401 Phase 1b readout.</w:t>
      </w:r>
    </w:p>
    <w:p>
      <w:pPr>
        <w:spacing w:after="0" w:line="184"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in microbiome therapeutics, drug development, commercialization, chemistry, manufacturing and controls, or CMC, public company management and finance. Our management team has extensive experience in microbial ecology, microbiology and live biological products, with over 25 years of experience studying the microbiome and over 60 published papers on the science of the microbiome. Additionally, our team has extensive experience in building out commercial capabilities in specialty diseases and has a track record for success in the commercialization of vaccine products, which have analogous manufacturing processes to that of microbiome therapeutics.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Our goal is to remain the leading biopharmaceutical company developing and commercializing microbiome therapeutics to address significant unmet medical needs. We intend to focus in the near term on gaining FDA approval for SER-109 for recurrent CDI and continuing development of our highest priority clinical programs. Additionally, we continue to advance our differentiated microbiome drug discovery, development and manufacturing platforms and capabilities.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Advancing our Programs</w:t>
      </w:r>
    </w:p>
    <w:p>
      <w:pPr>
        <w:spacing w:after="0" w:line="117" w:lineRule="exact"/>
        <w:rPr>
          <w:sz w:val="20"/>
          <w:szCs w:val="20"/>
          <w:color w:val="auto"/>
        </w:rPr>
      </w:pPr>
    </w:p>
    <w:p>
      <w:pPr>
        <w:ind w:left="1000" w:right="20" w:hanging="493"/>
        <w:spacing w:after="0" w:line="267"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Advancing the development of our lead product candidate, SER-109, for patients with recurrent CDI toward a BLA filing and product commercialization. </w:t>
      </w:r>
      <w:r>
        <w:rPr>
          <w:rFonts w:ascii="Arial" w:cs="Arial" w:eastAsia="Arial" w:hAnsi="Arial"/>
          <w:sz w:val="17"/>
          <w:szCs w:val="17"/>
          <w:color w:val="auto"/>
        </w:rPr>
        <w:t>In August 2020 we reported positive topline results from the interim analysis of the pivotal Phase 3 ECOSPOR III study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evaluating SER-109 for recurrent CDI. Those results showed that SER-109 administration resulted in a highly statistically significant absolute decrease of 30.2% in the proportion of patients who experienced a recurrence in CDI within eight weeks of administration versus placebo, the study’s primary endpoint. At eight weeks of treatment, 11.1% of patients administered SER-109 experienced a CDI recurrence, versus 41.3% of placebo patients. The study results were equally compelling when characterized by the alternative metric of sustained clinical response, where 88.9% of patients in the SER-109 arm achieved this objective at eight weeks. Subsequent analyses from the completed Phase 3 study using the final statistically defined Intent-to-Treat population show that 12.4% of subjects experienced a recurrence, versus 39.8% on placebo which represents a relative risk of 0.32 (95% CI 0.18-0.58; p&lt;.001), with an absolute risk reduction of 27% and a relative risk reduction of 69%. The percent on SER-109 with a sustained clinical response was approximately 88%. The number-needed-to treat was 3.7. In the same updated analysis, the 12 week rate of recurrence in the SER-109 arm was 18.0%, compared to a rate of 46.2% in the placebo arm, representing an absolute risk reduction of 28% (relative risk 0.40; 95% CI 0.24-0.65; p-value = 0.002), and thereby consistent with the results seen at eight weeks. Results across stratifications of age and antibiotics remained similar. The study’s efficacy results from all analyses exceeded the statistical threshold previously provided in consultation with the FDA that could allow this single clinical study to fulfill efficacy requirements for a biological license application, or BLA. The SER-109 safety results observed to-date were favorable, with an adverse event profile comparable to placebo. We are actively enrolling patients in our SER-109 open-label study, which also admits patients with a single recurrence of CDI, to expand the safety database to meet the FDA threshold of at least 300 patients. SER-109 has been granted both Orphan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 w:name="page8"/>
    <w:bookmarkEnd w:id="7"/>
    <w:p>
      <w:pPr>
        <w:ind w:left="1000" w:right="80"/>
        <w:spacing w:after="0" w:line="277" w:lineRule="auto"/>
        <w:rPr>
          <w:sz w:val="20"/>
          <w:szCs w:val="20"/>
          <w:color w:val="auto"/>
        </w:rPr>
      </w:pPr>
      <w:r>
        <w:rPr>
          <w:rFonts w:ascii="Arial" w:cs="Arial" w:eastAsia="Arial" w:hAnsi="Arial"/>
          <w:sz w:val="18"/>
          <w:szCs w:val="18"/>
          <w:color w:val="auto"/>
        </w:rPr>
        <w:t>Drug and Breakthrough Therapy designation by the FDA for the treatment of CDI. Breakthrough Therapy designation provides for intensive guidance from the FDA in an effort to expedite the drug development process.</w:t>
      </w:r>
    </w:p>
    <w:p>
      <w:pPr>
        <w:spacing w:after="0" w:line="278" w:lineRule="exact"/>
        <w:rPr>
          <w:sz w:val="20"/>
          <w:szCs w:val="20"/>
          <w:color w:val="auto"/>
        </w:rPr>
      </w:pPr>
    </w:p>
    <w:p>
      <w:pPr>
        <w:ind w:left="1000" w:hanging="493"/>
        <w:spacing w:after="0" w:line="217" w:lineRule="exact"/>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clinical development of SER-287 for the treatment of UC. </w:t>
      </w:r>
      <w:r>
        <w:rPr>
          <w:rFonts w:ascii="Arial" w:cs="Arial" w:eastAsia="Arial" w:hAnsi="Arial"/>
          <w:sz w:val="16"/>
          <w:szCs w:val="16"/>
          <w:color w:val="auto"/>
        </w:rPr>
        <w:t>The clinical development of SER-287 to treat UC is supported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clinical and preclinical studies in multiple animal models of colitis that provided evidence that SER-287 administration may result in reduced inflammation. Published clinical reports suggest that modulation of the microbiome through repetitive FMT may lead to meaningful clinical response in certain UC patients. In December 2015, we initiated a Phase 1b clinical trial evaluating SER</w:t>
      </w:r>
      <w:r>
        <w:rPr>
          <w:rFonts w:ascii="MS PGothic" w:cs="MS PGothic" w:eastAsia="MS PGothic" w:hAnsi="MS PGothic"/>
          <w:sz w:val="16"/>
          <w:szCs w:val="16"/>
          <w:color w:val="auto"/>
        </w:rPr>
        <w:t>‐</w:t>
      </w:r>
      <w:r>
        <w:rPr>
          <w:rFonts w:ascii="Arial" w:cs="Arial" w:eastAsia="Arial" w:hAnsi="Arial"/>
          <w:sz w:val="16"/>
          <w:szCs w:val="16"/>
          <w:color w:val="auto"/>
        </w:rPr>
        <w:t>287 in patients with mild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 xml:space="preserve"> moderate UC who were failing current therapies. In October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5-amino-salacylic acid, low dose corticosteroids, or immunomodulatory therapy. Based on the encouraging data from the Phase 1b trial, in December 2018, we initiated our Phase 2b trial, ECO-RESET, evaluating SER-287 in patients with active mild-to-moderate UC. Based on feedback obtained from the FDA on the SER-287 Phase 2b study design, we believe the study, if successful, could serve as one of two required pivotal trials supporting potential future registration of SER-287. The Phase 2b study is a three-arm placebo-controlled trial of approximately 200 patients with active mild-to-moderate UC. Two groups of patients will receive different doses of SER-287, both following pre-conditioning with a short course of oral vancomycin. A third study arm will receive placebo. The study’s primary endpoint will evaluate clinical remission measured after 10 weeks of SER-287 administration. Endoscopic improvement will be measured as a secondary efficacy measure. SER-287 has been granted Orphan Drug Designation for pediatric UC.</w:t>
      </w:r>
    </w:p>
    <w:p>
      <w:pPr>
        <w:spacing w:after="0" w:line="105" w:lineRule="exact"/>
        <w:rPr>
          <w:rFonts w:ascii="Arial" w:cs="Arial" w:eastAsia="Arial" w:hAnsi="Arial"/>
          <w:sz w:val="16"/>
          <w:szCs w:val="16"/>
          <w:color w:val="auto"/>
        </w:rPr>
      </w:pPr>
    </w:p>
    <w:p>
      <w:pPr>
        <w:ind w:left="1000" w:right="40" w:hanging="493"/>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SER-301 for the treatment of IBD. </w:t>
      </w:r>
      <w:r>
        <w:rPr>
          <w:rFonts w:ascii="Arial" w:cs="Arial" w:eastAsia="Arial" w:hAnsi="Arial"/>
          <w:sz w:val="18"/>
          <w:szCs w:val="18"/>
          <w:color w:val="auto"/>
        </w:rPr>
        <w:t>We are developing SER-301, a microbiome therapeutic candidate comprised of a consortium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cultivated bacteria, for the treatment of IBD leveraging pharmacokinetic and pharmacodynamic data from our SER-287 clinical trial, our knowledge of modulation of the microbiome seen in patients with UC, as well as insights from our SER-262 clinical study. In November 2020 we enrolled our first patient in the SER-301 Phase 1b study. This initial clinical study of SER-301 is being conducted in Australia and New Zealand.</w:t>
      </w:r>
    </w:p>
    <w:p>
      <w:pPr>
        <w:spacing w:after="0" w:line="79" w:lineRule="exact"/>
        <w:rPr>
          <w:rFonts w:ascii="Arial" w:cs="Arial" w:eastAsia="Arial" w:hAnsi="Arial"/>
          <w:sz w:val="18"/>
          <w:szCs w:val="18"/>
          <w:color w:val="auto"/>
        </w:rPr>
      </w:pPr>
    </w:p>
    <w:p>
      <w:pPr>
        <w:ind w:left="1000" w:hanging="493"/>
        <w:spacing w:after="0" w:line="28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Developing SER-155 to prevent mortality from sepsis and graft-vs-host disease in patients undergoing allo-HSCT. </w:t>
      </w:r>
      <w:r>
        <w:rPr>
          <w:rFonts w:ascii="Arial" w:cs="Arial" w:eastAsia="Arial" w:hAnsi="Arial"/>
          <w:sz w:val="17"/>
          <w:szCs w:val="17"/>
          <w:color w:val="auto"/>
        </w:rPr>
        <w:t>We have nominated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SER-155 lead candidate, a microbiome therapeutic comprised of a consortium of cultivated bacteria and are advancing the candidate into clinical development. We expect to initiate clinical development of SER-155 in the first half of 2021.</w:t>
      </w:r>
    </w:p>
    <w:p>
      <w:pPr>
        <w:spacing w:after="0" w:line="57" w:lineRule="exact"/>
        <w:rPr>
          <w:rFonts w:ascii="Arial" w:cs="Arial" w:eastAsia="Arial" w:hAnsi="Arial"/>
          <w:sz w:val="17"/>
          <w:szCs w:val="17"/>
          <w:color w:val="auto"/>
        </w:rPr>
      </w:pPr>
    </w:p>
    <w:p>
      <w:pPr>
        <w:ind w:left="1000" w:right="140" w:hanging="493"/>
        <w:spacing w:after="0" w:line="296"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Developing SER-401 for use with CPIs in patients with solid tumors. </w:t>
      </w:r>
      <w:r>
        <w:rPr>
          <w:rFonts w:ascii="Arial" w:cs="Arial" w:eastAsia="Arial" w:hAnsi="Arial"/>
          <w:sz w:val="16"/>
          <w:szCs w:val="16"/>
          <w:color w:val="auto"/>
        </w:rPr>
        <w:t>We are developing SER-401 for administration in combination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CPI treatment to increase efficacy in patients with solid tumors. The design is being driven by insights from our collaborators at MD Anderson and recent published data in a number of high-profile scientific journals from other international research groups that suggest that the microbiome may impact patients’ response to CPI treatment. Together with our collaborators, we have initiated a Phase 1b multicenter study in metastatic melanoma patients as part of our collaboration with MD Anderson and the Parker Institute.</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Advancing Our Capabilities</w:t>
      </w:r>
    </w:p>
    <w:p>
      <w:pPr>
        <w:spacing w:after="0" w:line="225" w:lineRule="exact"/>
        <w:rPr>
          <w:sz w:val="20"/>
          <w:szCs w:val="20"/>
          <w:color w:val="auto"/>
        </w:rPr>
      </w:pPr>
    </w:p>
    <w:p>
      <w:pPr>
        <w:ind w:left="1000" w:hanging="493"/>
        <w:spacing w:after="0" w:line="254"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our leading reverse translation microbiome therapeutics platform to develop additional innovative and novel microbiome therapeutics across a range of serious medical conditions with high unmet need including infectious and inflammatory disease and disease associated with modulation of host immunity. </w:t>
      </w:r>
      <w:r>
        <w:rPr>
          <w:rFonts w:ascii="Arial" w:cs="Arial" w:eastAsia="Arial" w:hAnsi="Arial"/>
          <w:sz w:val="18"/>
          <w:szCs w:val="18"/>
          <w:color w:val="auto"/>
        </w:rPr>
        <w:t>We believe that the combination of experience, proprietary data and proprietary know-how related to the microbiome and of the production of microbial strains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microbiome therapeutics.</w:t>
      </w:r>
    </w:p>
    <w:p>
      <w:pPr>
        <w:spacing w:after="0" w:line="194" w:lineRule="exact"/>
        <w:rPr>
          <w:rFonts w:ascii="Arial" w:cs="Arial" w:eastAsia="Arial" w:hAnsi="Arial"/>
          <w:sz w:val="18"/>
          <w:szCs w:val="18"/>
          <w:color w:val="auto"/>
        </w:rPr>
      </w:pPr>
    </w:p>
    <w:p>
      <w:pPr>
        <w:ind w:left="1000" w:right="80" w:hanging="493"/>
        <w:spacing w:after="0" w:line="25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manufacturing capabilities sufficient to support commercialization of any approved microbiome therapeutic candidates. </w:t>
      </w:r>
      <w:r>
        <w:rPr>
          <w:rFonts w:ascii="Arial" w:cs="Arial" w:eastAsia="Arial" w:hAnsi="Arial"/>
          <w:sz w:val="18"/>
          <w:szCs w:val="18"/>
          <w:color w:val="auto"/>
        </w:rPr>
        <w:t>Microbiome therapeutic manufacturing requires capabilities that are distinct from other biologic drugs. We have made strategic investments in manufacturing capabilities to help ensure that we maintain control of our know-how and also because we believe these capabilities will be necessary and highly advantageous for the development of future microbiome therapeutic candidates. Our bioprocess and manufacturing personnel are focused on creating a platform of manufacturing expertise that will set the stage for further advances in the emerging field of microbiome therapeutics.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Microbiome Therapeutics Platform</w:t>
      </w:r>
    </w:p>
    <w:p>
      <w:pPr>
        <w:spacing w:after="0" w:line="22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have developed the leading microbiome therapeutics platform which we believe enables us to apply our capabilities to efficiently identify, manufacture and develop novel microbiome therapeutics for serious human diseases. We use a reverse translational discovery platform that incorporates analysis of microbiome biomarkers from human clinical data and preclinical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ind w:right="160"/>
        <w:spacing w:after="0" w:line="259" w:lineRule="auto"/>
        <w:rPr>
          <w:sz w:val="20"/>
          <w:szCs w:val="20"/>
          <w:color w:val="auto"/>
        </w:rPr>
      </w:pPr>
      <w:r>
        <w:rPr>
          <w:rFonts w:ascii="Arial" w:cs="Arial" w:eastAsia="Arial" w:hAnsi="Arial"/>
          <w:sz w:val="18"/>
          <w:szCs w:val="18"/>
          <w:color w:val="auto"/>
        </w:rPr>
        <w:t xml:space="preserve">assessments using human cell-based assays and </w:t>
      </w:r>
      <w:r>
        <w:rPr>
          <w:rFonts w:ascii="Arial" w:cs="Arial" w:eastAsia="Arial" w:hAnsi="Arial"/>
          <w:sz w:val="18"/>
          <w:szCs w:val="18"/>
          <w:i w:val="1"/>
          <w:iCs w:val="1"/>
          <w:color w:val="auto"/>
        </w:rPr>
        <w:t>in vitro/ex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disease models. Specifically, we start with data sets from both healthy subjects and subjects with disease to delineate at high-resolution the composition of the microbiome and physiological state of subjects and to identify specific microbiome and host signatures that associate with disease or the onset of disease. These in-human insights are leveraged in preclinical drug design and development.</w:t>
      </w:r>
    </w:p>
    <w:p>
      <w:pPr>
        <w:spacing w:after="0" w:line="18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Our discovery process begins with human data derived from clinical trials and cohort studies, which we use as a basis for target identification and the design of our microbiome therapeutic candidates. We compare healthy, normal colonic microbiomes to those in an unhealthy disrupted or disease state, revealing the ecological, compositional and functional differences between various states of disease and during the transition from health to disease or vice versa. Specifically, we identify at high-resolution, specific groups, species and strains of microbes as well as microbe-associated metabolites that are associated with disease states. These microbiome biomarkers are associated with host signatures and biomarkers of disease to identify disease targets for our microbiome therapeutics. Our clinical data from the SER-109, SER-262 and SER-287 programs, and microbiome data generated with external collaborators, serve to instruct us on how the introduction of certain keystone microbes have the potential to restructure the microbiome and modulate the metabolic state of the gut to shift it to a non-disease state.</w:t>
      </w:r>
    </w:p>
    <w:p>
      <w:pPr>
        <w:spacing w:after="0" w:line="17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 xml:space="preserve">We have developed a proprietary suite of assays and bioinformatics and computational tools, which facilitate our insights into the human microbiome. We have established proprietary, curated, reference databases and algorithms that: (i) integrate high-resolution genomic, metagenomic, metabolomic, and transcriptomic data sets, and data from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human cell-based assays, and </w:t>
      </w:r>
      <w:r>
        <w:rPr>
          <w:rFonts w:ascii="Arial" w:cs="Arial" w:eastAsia="Arial" w:hAnsi="Arial"/>
          <w:sz w:val="18"/>
          <w:szCs w:val="18"/>
          <w:i w:val="1"/>
          <w:iCs w:val="1"/>
          <w:color w:val="auto"/>
        </w:rPr>
        <w:t>in vitro/ex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disease models, and (ii) enable us to track changes in the microbiome at the level of microbial species and individual strains and associate these changes with changes in the metabolic state of the gut and host physiology. Our analytics can integrate gene profiling and metabolomics data (the small molecules made by the microbiome) with genomic data (the collection of microbes defined by sequencing) to delineate microbiome biomarkers (the specific species or strains and functional pathways) that contribute to the state of disease or health. Further, we have established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analytics for pharmacokinetic and pharmacodynamic assessments of microbiome therapeutics.</w:t>
      </w:r>
    </w:p>
    <w:p>
      <w:pPr>
        <w:spacing w:after="0" w:line="19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 xml:space="preserve">Our proprietary strain library of bacterial isolates from healthy donors and patients enables us to translate microbiome biomarker insights into defined consortia of bacteria. The strain library contains bacterial species isolated from individuals that are either healthy or that have a disease. Seres has developed extensive isolation and cultivation know-how. The strain library contains a majority of the Human Microbiome Project’s “most wanted” and many novel species not described in other databases or the scientific literature. The functional properties of strains are characterized using proprietary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ex vivo </w:t>
      </w:r>
      <w:r>
        <w:rPr>
          <w:rFonts w:ascii="Arial" w:cs="Arial" w:eastAsia="Arial" w:hAnsi="Arial"/>
          <w:sz w:val="17"/>
          <w:szCs w:val="17"/>
          <w:color w:val="auto"/>
        </w:rPr>
        <w:t>human cell-based assays as well as full-genome sequences and genome functional annotation. Functional characterization of target strains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properties such as how the bacteria interact with human colonic epithelial cells and human immune cells. We also seek to understand how these microbes improve the health of barrier cells in the gut and how this may impact immune responses.</w:t>
      </w:r>
    </w:p>
    <w:p>
      <w:pPr>
        <w:spacing w:after="0" w:line="17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 xml:space="preserve">We select bacteria from our library with specific predicted properties using novel algorithms for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functional design and grow the compositions in the lab to be tested both </w:t>
      </w:r>
      <w:r>
        <w:rPr>
          <w:rFonts w:ascii="Arial" w:cs="Arial" w:eastAsia="Arial" w:hAnsi="Arial"/>
          <w:sz w:val="17"/>
          <w:szCs w:val="17"/>
          <w:i w:val="1"/>
          <w:iCs w:val="1"/>
          <w:color w:val="auto"/>
        </w:rPr>
        <w:t>in vitro/ex vivo models</w:t>
      </w:r>
      <w:r>
        <w:rPr>
          <w:rFonts w:ascii="Arial" w:cs="Arial" w:eastAsia="Arial" w:hAnsi="Arial"/>
          <w:sz w:val="17"/>
          <w:szCs w:val="17"/>
          <w:color w:val="auto"/>
        </w:rPr>
        <w:t xml:space="preserve"> as delineated above and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models. Our animal models include conventional mice, germ-free mice, and “humanized” mice that possess only bacteria derived from humans; these models were developed to minimize confounding variables presented by murine microbes. Data from our </w:t>
      </w:r>
      <w:r>
        <w:rPr>
          <w:rFonts w:ascii="Arial" w:cs="Arial" w:eastAsia="Arial" w:hAnsi="Arial"/>
          <w:sz w:val="17"/>
          <w:szCs w:val="17"/>
          <w:i w:val="1"/>
          <w:iCs w:val="1"/>
          <w:color w:val="auto"/>
        </w:rPr>
        <w:t>in vitro/ex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screens are analyzed and used to optimize compositional designs; introducing new bacterial strains and optimizing existing strains until we identify a lead composition suitable for clinical testing.</w:t>
      </w:r>
    </w:p>
    <w:p>
      <w:pPr>
        <w:spacing w:after="0" w:line="1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Finally, we manufacture the bacterial composition under current Good Manufacturing Practices, or cGMP,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 We continue working to address quality control requirements for our microbiome therapeutic candidates using proprietary microbiological and sequence-based testing schemes, including high-throughput quantitative analytics to assess the identity, potency, and purity of the final product. We intend to work with regulators to meet the requirements for product approval.</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Disease Overview and Our Product Pipeline</w:t>
      </w:r>
    </w:p>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believe our microbiome therapeutic candidates represent a novel approach with potential application across a broad range of human diseases. Our most advanced drug development program, SER-109, focuses on recurrent CDI. SER-109 has successfully completed a Phase 3 study and the product candidate has been designated as a Breakthrough Therapy and an Orphan Drug by the FDA for the treatment of CDI. We are actively enrolling patients in our SER-109 open-label study, which also is enrolling patients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right="160"/>
        <w:spacing w:after="0" w:line="290" w:lineRule="auto"/>
        <w:rPr>
          <w:sz w:val="20"/>
          <w:szCs w:val="20"/>
          <w:color w:val="auto"/>
        </w:rPr>
      </w:pPr>
      <w:r>
        <w:rPr>
          <w:rFonts w:ascii="Arial" w:cs="Arial" w:eastAsia="Arial" w:hAnsi="Arial"/>
          <w:sz w:val="16"/>
          <w:szCs w:val="16"/>
          <w:color w:val="auto"/>
        </w:rPr>
        <w:t>either a single or multiple recurrence of CDI, to expand the safety database to meet the FDA specified threshold of at least 300 patients. SER-287 is being evaluated in a Phase 2 study for the treatment of active mild-to-moderate UC and has completed a Phase 1b study in the United States. SER-287 has been designated an Orphan Drug for pediatric UC by the FDA. We have designed SER-301, a microbiome therapeutic candidate comprised of a consortium of cultivated bacteria, for the treatment of UC. We are advancing SER-155 into clinical developments, and we are designing SER-401 for combination therapy with immune CPIs in cancer. We have also conducted early stage research on potential microbiome therapeutic candidates for the treatment of metabolic disorders, such as early-stage, non-insulin dependent diabetes, NASH, and metabolic syndrome. Research in these indications is focused on developing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CDI Overview and SER-109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Clostridioides difficile Infection</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 xml:space="preserve">C. difficile </w:t>
      </w:r>
      <w:r>
        <w:rPr>
          <w:rFonts w:ascii="Arial" w:cs="Arial" w:eastAsia="Arial" w:hAnsi="Arial"/>
          <w:sz w:val="18"/>
          <w:szCs w:val="18"/>
          <w:color w:val="auto"/>
        </w:rPr>
        <w:t>is a Gram-positive, toxin-producing, spore forming bacterium that may cause debilitating diarrhea in infected individuals, but can also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lead to more severe outcomes, such as inflammation of the colon, or colitis, toxic megacolon and death.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bacteria express toxins that disrupt the structural architecture of cells causing leakage of fluids through the GI epithelium. The cells disrupted by these toxins eventually undergo apoptosis and die, disrupting the epithelial barrier and exposing the immune system to inflammatory stimuli, severe and persistent diarrhea and, in the most serious cases, death.</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CDI is most often associated with the prior use of antibiotics, although age and poor immune status are important risk factors as well. Antibiotics are thought to decrease colonization resistance to CDI by disrupting the microbiome. Since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are able to survive for long periods of time outside the body, and because healthcare settings are often sites of significant antibiotic use, CDI is a leading cause of healthcare-associated infections in the US, with long-term care facilities specifically having some of the highest CDI rates. CDI is also a cause of morbidity and mortality among hospitalized cancer patients and bone marrow transplant patients as their immune systems are suppressed by cytotoxic drugs, which inhibit or prevent the functioning of cells, and they may be heavily treated with antibiotics to prevent or treat infections. More recently, the rise of community-acquired CDI has been recognized as a growing problem.</w:t>
      </w:r>
    </w:p>
    <w:p>
      <w:pPr>
        <w:spacing w:after="0" w:line="19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The Centers for Disease Control and Prevention, or CDC, has identified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as one of the top three most urgent antibiotic-resistant bacterial threats in the United States. It is the most common cause of hospital acquired infection in the United States, having overtaken MRSA. CDI is responsible for the deaths of over 20,000 Americans each year. There are approximately 453,000 cases of primary CDI within the United States each year and approximately 170,000 incidences of recurrent CDI. CDI is also costly to the healthcare system. According to a study published in Clinical Infectious Diseases, the economic burden of CDI in 2008 in U.S. acute care facilities alone was estimated to be as much as $4.8 billion. In addition, the average recurrent CDI treatment cost in the U.S. is estimated to be $34 thousand per patient, comprising mostly (88%) hospital-related costs (</w:t>
      </w:r>
      <w:r>
        <w:rPr>
          <w:rFonts w:ascii="Arial" w:cs="Arial" w:eastAsia="Arial" w:hAnsi="Arial"/>
          <w:sz w:val="16"/>
          <w:szCs w:val="16"/>
          <w:i w:val="1"/>
          <w:iCs w:val="1"/>
          <w:color w:val="auto"/>
        </w:rPr>
        <w:t>Rodrigues Infect</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Hosp Epidemiol 2017</w:t>
      </w:r>
      <w:r>
        <w:rPr>
          <w:rFonts w:ascii="Arial" w:cs="Arial" w:eastAsia="Arial" w:hAnsi="Arial"/>
          <w:sz w:val="16"/>
          <w:szCs w:val="16"/>
          <w:color w:val="auto"/>
        </w:rPr>
        <w:t>). The national incidence of CDI remains high despite declining from 476,000 in 2011 to 462,000 in 2017 (Guh,</w:t>
      </w:r>
      <w:r>
        <w:rPr>
          <w:rFonts w:ascii="Arial" w:cs="Arial" w:eastAsia="Arial" w:hAnsi="Arial"/>
          <w:sz w:val="16"/>
          <w:szCs w:val="16"/>
          <w:i w:val="1"/>
          <w:iCs w:val="1"/>
          <w:color w:val="auto"/>
        </w:rPr>
        <w:t xml:space="preserve"> New England Journal of Medicine 2020</w:t>
      </w:r>
      <w:r>
        <w:rPr>
          <w:rFonts w:ascii="Arial" w:cs="Arial" w:eastAsia="Arial" w:hAnsi="Arial"/>
          <w:sz w:val="16"/>
          <w:szCs w:val="16"/>
          <w:color w:val="auto"/>
        </w:rPr>
        <w:t>). Further, according to a 2014 article in the</w:t>
      </w:r>
      <w:r>
        <w:rPr>
          <w:rFonts w:ascii="Arial" w:cs="Arial" w:eastAsia="Arial" w:hAnsi="Arial"/>
          <w:sz w:val="16"/>
          <w:szCs w:val="16"/>
          <w:i w:val="1"/>
          <w:iCs w:val="1"/>
          <w:color w:val="auto"/>
        </w:rPr>
        <w:t xml:space="preserve"> American Journal of Infection Control</w:t>
      </w:r>
      <w:r>
        <w:rPr>
          <w:rFonts w:ascii="Arial" w:cs="Arial" w:eastAsia="Arial" w:hAnsi="Arial"/>
          <w:sz w:val="16"/>
          <w:szCs w:val="16"/>
          <w:color w:val="auto"/>
        </w:rPr>
        <w:t>, from 2001 to 2010, incidence of CDI</w:t>
      </w:r>
      <w:r>
        <w:rPr>
          <w:rFonts w:ascii="Arial" w:cs="Arial" w:eastAsia="Arial" w:hAnsi="Arial"/>
          <w:sz w:val="16"/>
          <w:szCs w:val="16"/>
          <w:i w:val="1"/>
          <w:iCs w:val="1"/>
          <w:color w:val="auto"/>
        </w:rPr>
        <w:t xml:space="preserve"> </w:t>
      </w:r>
      <w:r>
        <w:rPr>
          <w:rFonts w:ascii="Arial" w:cs="Arial" w:eastAsia="Arial" w:hAnsi="Arial"/>
          <w:sz w:val="16"/>
          <w:szCs w:val="16"/>
          <w:color w:val="auto"/>
        </w:rPr>
        <w:t>per 1,000 patients discharged increased from 4.5 to 8.2 with an average hospital stay of eight days. Due to suboptimal approaches to treatment, patients with primary CDI have an approximate 20% - 25% change of recurrent infection increasing to greater than 40% after the first recurrence (</w:t>
      </w:r>
      <w:r>
        <w:rPr>
          <w:rFonts w:ascii="Arial" w:cs="Arial" w:eastAsia="Arial" w:hAnsi="Arial"/>
          <w:sz w:val="16"/>
          <w:szCs w:val="16"/>
          <w:i w:val="1"/>
          <w:iCs w:val="1"/>
          <w:color w:val="auto"/>
        </w:rPr>
        <w:t>Gerding, CID</w:t>
      </w:r>
      <w:r>
        <w:rPr>
          <w:rFonts w:ascii="Arial" w:cs="Arial" w:eastAsia="Arial" w:hAnsi="Arial"/>
          <w:sz w:val="16"/>
          <w:szCs w:val="16"/>
          <w:color w:val="auto"/>
        </w:rPr>
        <w:t xml:space="preserve"> </w:t>
      </w:r>
      <w:r>
        <w:rPr>
          <w:rFonts w:ascii="Arial" w:cs="Arial" w:eastAsia="Arial" w:hAnsi="Arial"/>
          <w:sz w:val="16"/>
          <w:szCs w:val="16"/>
          <w:i w:val="1"/>
          <w:iCs w:val="1"/>
          <w:color w:val="auto"/>
        </w:rPr>
        <w:t>2018; Lashner ACG 2020; Dubberke CID 2018</w:t>
      </w:r>
      <w:r>
        <w:rPr>
          <w:rFonts w:ascii="Arial" w:cs="Arial" w:eastAsia="Arial" w:hAnsi="Arial"/>
          <w:sz w:val="16"/>
          <w:szCs w:val="16"/>
          <w:color w:val="auto"/>
        </w:rPr>
        <w:t>). Based on an epidemiological study conducted by the CDC, the incidence of CDI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based on a positive toxin or molecular assay in patients who did not have a positive result in the previous 8 weeks, was estimated to be 453,000 (95% confidence interval, 397,100 to 508,500) (Lessa et. al., </w:t>
      </w:r>
      <w:r>
        <w:rPr>
          <w:rFonts w:ascii="Arial" w:cs="Arial" w:eastAsia="Arial" w:hAnsi="Arial"/>
          <w:sz w:val="16"/>
          <w:szCs w:val="16"/>
          <w:i w:val="1"/>
          <w:iCs w:val="1"/>
          <w:color w:val="auto"/>
        </w:rPr>
        <w:t>Burden of</w:t>
      </w:r>
      <w:r>
        <w:rPr>
          <w:rFonts w:ascii="Arial" w:cs="Arial" w:eastAsia="Arial" w:hAnsi="Arial"/>
          <w:sz w:val="16"/>
          <w:szCs w:val="16"/>
          <w:color w:val="auto"/>
        </w:rPr>
        <w:t xml:space="preserve"> Clostridium difficile </w:t>
      </w:r>
      <w:r>
        <w:rPr>
          <w:rFonts w:ascii="Arial" w:cs="Arial" w:eastAsia="Arial" w:hAnsi="Arial"/>
          <w:sz w:val="16"/>
          <w:szCs w:val="16"/>
          <w:i w:val="1"/>
          <w:iCs w:val="1"/>
          <w:color w:val="auto"/>
        </w:rPr>
        <w:t>Infection in the United States</w:t>
      </w:r>
      <w:r>
        <w:rPr>
          <w:rFonts w:ascii="Arial" w:cs="Arial" w:eastAsia="Arial" w:hAnsi="Arial"/>
          <w:sz w:val="16"/>
          <w:szCs w:val="16"/>
          <w:color w:val="auto"/>
        </w:rPr>
        <w:t>, New England J. of Medicine, 2015).</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i w:val="1"/>
          <w:iCs w:val="1"/>
          <w:color w:val="auto"/>
        </w:rPr>
        <w:t>Antibiotics</w:t>
      </w:r>
      <w:r>
        <w:rPr>
          <w:rFonts w:ascii="Arial" w:cs="Arial" w:eastAsia="Arial" w:hAnsi="Arial"/>
          <w:sz w:val="18"/>
          <w:szCs w:val="18"/>
          <w:color w:val="auto"/>
        </w:rPr>
        <w:t>. According to the Infectious Disease Society of America, or IDSA, guidelines, the current standard of care for primary CDI is to treat</w:t>
      </w:r>
      <w:r>
        <w:rPr>
          <w:rFonts w:ascii="Arial" w:cs="Arial" w:eastAsia="Arial" w:hAnsi="Arial"/>
          <w:sz w:val="18"/>
          <w:szCs w:val="18"/>
          <w:i w:val="1"/>
          <w:iCs w:val="1"/>
          <w:color w:val="auto"/>
        </w:rPr>
        <w:t xml:space="preserve"> </w:t>
      </w:r>
      <w:r>
        <w:rPr>
          <w:rFonts w:ascii="Arial" w:cs="Arial" w:eastAsia="Arial" w:hAnsi="Arial"/>
          <w:sz w:val="18"/>
          <w:szCs w:val="18"/>
          <w:color w:val="auto"/>
        </w:rPr>
        <w:t>with antibiotics, such as fidaxomicin or vancomycin. Fidaxomicin is recommended to treat primary CDI, it does not have a label claim to reduce or prevent CDI recurrence. No antibiotic therapeutics are currently approved for treatment of recurrent CDI.</w:t>
      </w:r>
    </w:p>
    <w:p>
      <w:pPr>
        <w:spacing w:after="0" w:line="184"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 xml:space="preserve">Recurrent CDI, defined as the presence of diarrhea and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assay within two to eight weeks following the initial episode, is not well addressed by any of the available antibiotics. The risk of recurrent CDI increases to greater than 40% after the first recurrence. In extreme cases, patients are treated continuously for years with vancomycin, even while they continue to experience gastrointestinal symptoms including diarrhea and abdominal discomfort.</w:t>
      </w:r>
    </w:p>
    <w:p>
      <w:pPr>
        <w:spacing w:after="0" w:line="18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 xml:space="preserve">Antibiotics have two major limitations: they have no effect on the spores that germinate in a disrupted microbiome and their use appears to exacerbate microbiome disruption, resulting in increased risk of future CDI. Research in animal models has shown that antibiotic use not only eliminates many healthy bacteria in the GI tract, but also leads to the release of nutrients that facilitate the growth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Arial" w:cs="Arial" w:eastAsia="Arial" w:hAnsi="Arial"/>
          <w:sz w:val="18"/>
          <w:szCs w:val="18"/>
          <w:i w:val="1"/>
          <w:iCs w:val="1"/>
          <w:color w:val="auto"/>
        </w:rPr>
        <w:t>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i w:val="1"/>
          <w:iCs w:val="1"/>
          <w:color w:val="auto"/>
        </w:rPr>
        <w:t>difficile</w:t>
      </w:r>
      <w:r>
        <w:rPr>
          <w:rFonts w:ascii="Arial" w:cs="Arial" w:eastAsia="Arial" w:hAnsi="Arial"/>
          <w:sz w:val="18"/>
          <w:szCs w:val="18"/>
          <w:color w:val="auto"/>
        </w:rPr>
        <w:t>, as it requires primary bile acids for germination of its spores. As a result, antibiotic use may induce a lasting microbiome disruption that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possible for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 colonize a person and then cause, or further perpetuate, disease.</w:t>
      </w:r>
    </w:p>
    <w:p>
      <w:pPr>
        <w:spacing w:after="0" w:line="170"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i w:val="1"/>
          <w:iCs w:val="1"/>
          <w:color w:val="auto"/>
        </w:rPr>
        <w:t xml:space="preserve">Fecal microbiota transplantation. </w:t>
      </w:r>
      <w:r>
        <w:rPr>
          <w:rFonts w:ascii="Arial" w:cs="Arial" w:eastAsia="Arial" w:hAnsi="Arial"/>
          <w:sz w:val="16"/>
          <w:szCs w:val="16"/>
          <w:color w:val="auto"/>
        </w:rPr>
        <w:t>FMT, also known as a stool transplantation, is an unapproved procedure during which donated stool,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fecal microbes, is typically instilled via colonoscopy into a patient with CDI. FMT presents several challenges for effective treatment of the disease. FMT has the potential to transmit infectious or allergenic agents between hosts, involves the transmission of hundreds of unknown strains of bacteria, fungi, viruses and potentially parasites from donor to subject, and is difficult to perform on a mass scale. In November 2019 the FDA held a public hearing to obtain input on the use of FMT to treat </w:t>
      </w:r>
      <w:r>
        <w:rPr>
          <w:rFonts w:ascii="Arial" w:cs="Arial" w:eastAsia="Arial" w:hAnsi="Arial"/>
          <w:sz w:val="16"/>
          <w:szCs w:val="16"/>
          <w:i w:val="1"/>
          <w:iCs w:val="1"/>
          <w:color w:val="auto"/>
        </w:rPr>
        <w:t>Clostridioides difficile</w:t>
      </w:r>
      <w:r>
        <w:rPr>
          <w:rFonts w:ascii="Arial" w:cs="Arial" w:eastAsia="Arial" w:hAnsi="Arial"/>
          <w:sz w:val="16"/>
          <w:szCs w:val="16"/>
          <w:color w:val="auto"/>
        </w:rPr>
        <w:t xml:space="preserve"> infection not responsive to standard therapies. Presentations were made by the academic community and development companies regarding the current and future use of FMT. In January, 2020, we submitted comments to the docket for the meeting that recommended: 1) increased scrutiny and regulation of unapproved, commercially available FMT that does not comply with IND requirements;</w:t>
      </w:r>
    </w:p>
    <w:p>
      <w:pPr>
        <w:spacing w:after="0" w:line="2" w:lineRule="exact"/>
        <w:rPr>
          <w:sz w:val="20"/>
          <w:szCs w:val="20"/>
          <w:color w:val="auto"/>
        </w:rPr>
      </w:pPr>
    </w:p>
    <w:p>
      <w:pPr>
        <w:ind w:right="40" w:firstLine="8"/>
        <w:spacing w:after="0" w:line="281" w:lineRule="auto"/>
        <w:tabs>
          <w:tab w:leader="none" w:pos="195"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implementation of guidance for establishing safety of source materials for all microbiome products; and 3) safety and efficacy of all microbiome products to reduce recurrent CDI must be based on adequate and well controlled clinical trials including accurate assurance of diagnosis of the disease state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specifically toxin testing.</w:t>
      </w:r>
    </w:p>
    <w:p>
      <w:pPr>
        <w:spacing w:after="0" w:line="21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Additionally, FMT is inherently non-standardized so that different desired and/or undesired material may be transmitted in any given donation. FMT is not approved by the FDA and we believe that, as currently practiced by clinical centers in the United States, it may be unable to gain such approval since the product, to our knowledge, cannot be characterized according to current regulatory requirements for identity, potency, purity and safety and has not been tested in rigorous, placebo controlled, randomized and blinded clinical studies. Commercial providers of FMT must meet FDA regulatory requirements for a biologics license and must produce FMT material using cGMP.</w:t>
      </w:r>
    </w:p>
    <w:p>
      <w:pPr>
        <w:spacing w:after="0" w:line="18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auto"/>
        </w:rPr>
        <w:t xml:space="preserve">Antibodies. </w:t>
      </w:r>
      <w:r>
        <w:rPr>
          <w:rFonts w:ascii="Arial" w:cs="Arial" w:eastAsia="Arial" w:hAnsi="Arial"/>
          <w:sz w:val="18"/>
          <w:szCs w:val="18"/>
          <w:color w:val="auto"/>
        </w:rPr>
        <w:t>Bezlotoxumab a fully human monoclonal antibody directed against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toxin B was approved in the United States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in Europe in 2017 for the treatment of CDI. The antibody demonstrated 10% absolute risk reduction in preventing recurrence of CDI. Antibodies bind toxins to alleviate the symptoms of CDI, but they do not address the underlying disruption of the microbiome, which we believe is the cause of recurrent CDI. Bezlotoxumab requires intravenous infusion.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SER-109</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 xml:space="preserve">SER-109 is an oral microbiome therapeutic candidate consisting of a consortium of highly purified Firmicute spores from healthy screened donors. SER-109 is designed to prevent further recurrences of CDI in patients with a history of multiple infections by restructuring the disrupted microbiome to a state that resists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colonization and growth. SER-109, if approved, is intended to treat individuals with recurrent CDI, a patient population which includes approximately 170,000 individuals per year in the United States. We completed enrollment with 182 patients with multiply recurrent CDI in ECOSPOR III. All patients who entered ECOSPOR III were required to have tested positive for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toxin. This inclusion criterion was implemented in an effort to ensure enrollment of only patients with active infection rather than simple colonization. The study was designed to evaluate patients for 24 weeks with the primary endpoint of comparing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recurrence rate in subjects who receive SER-109 verses placebo at up to eight weeks after dosing. The SER-109 manufacturing purification process is designed to remove unwanted microbes thereby reducing the risk of pathogen transmission beyond donor screening alone.</w:t>
      </w:r>
    </w:p>
    <w:p>
      <w:pPr>
        <w:spacing w:after="0" w:line="196" w:lineRule="exact"/>
        <w:rPr>
          <w:sz w:val="20"/>
          <w:szCs w:val="20"/>
          <w:color w:val="auto"/>
        </w:rPr>
      </w:pPr>
    </w:p>
    <w:p>
      <w:pPr>
        <w:ind w:right="60" w:firstLine="510"/>
        <w:spacing w:after="0" w:line="283" w:lineRule="auto"/>
        <w:rPr>
          <w:sz w:val="20"/>
          <w:szCs w:val="20"/>
          <w:color w:val="auto"/>
        </w:rPr>
      </w:pPr>
      <w:r>
        <w:rPr>
          <w:rFonts w:ascii="Arial" w:cs="Arial" w:eastAsia="Arial" w:hAnsi="Arial"/>
          <w:sz w:val="16"/>
          <w:szCs w:val="16"/>
          <w:color w:val="auto"/>
        </w:rPr>
        <w:t>In August 2020, we reported positive topline results from the interim analysis of the pivotal Phase 3 ECOSPOR III study evaluating SER-109 for recurrent CDI. Those results showed that SER-109 administration resulted in a highly statistically significant absolute decrease of 30.2% in the proportion of patients who experienced a recurrence in CDI within eight weeks of administration versus placebo, the study’s primary endpoint, and which remained consistent at 12-weeks end point with a 31.1% absolute decrease. At eight weeks of treatment, 11.1% of patients administered SER-109 experienced a CDI recurrence, versus 41.3% of placebo patients. The study results were equally compelling when characterized by the alternative metric of sustained clinical response, where 88.9% of patients in the SER-109 arm achieved this objective at eight weeks. Subsequent analyses from the completed Phase 3 study using the final statistically defined Intent-to-Treat population show that 12.4% of subjects experienced a recurrence, versus 39.8% on placebo, which represents a relative risk of 0.32 (95% CI .018-0.58; p&lt;.001), with an absolute risk reduction of 27% and an relative risk reduction of 69%. The percent on SER-109 with a sustained clinical response was approximately 88%. The number-needed-to treat was 3.7. In the same updated analysis the 12 week rate of recurrence in the SER-109 arm was 18.0%, compared to a rate of 46.2% in the placebo arm, representing an absolute risk reduction of 28% (relative risk</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0.40; 95% CI 0.24-0.65; p-value = 0.002), and thereby consistent with the results seen at eight weeks. Results across stratifications of age and antibiotics remained similar. The study’s efficacy results from all analyses exceeded the statistical threshold previously provided in consultation with the FDA that could allow this single clinical study to fulfill efficacy requirements for a biological license application, or BLA. The efficacy remained durable through twenty-four weeks of follow-up.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120" w:firstLine="510"/>
        <w:spacing w:after="0" w:line="263" w:lineRule="auto"/>
        <w:rPr>
          <w:sz w:val="20"/>
          <w:szCs w:val="20"/>
          <w:color w:val="auto"/>
        </w:rPr>
      </w:pPr>
      <w:r>
        <w:rPr>
          <w:rFonts w:ascii="Arial" w:cs="Arial" w:eastAsia="Arial" w:hAnsi="Arial"/>
          <w:sz w:val="18"/>
          <w:szCs w:val="18"/>
          <w:color w:val="auto"/>
        </w:rPr>
        <w:t>The SER-109 safety results observed to-date were favorable, with an adverse event profile comparable to placebo. We are actively enrolling patients in our SER-109 open-label study, which is enrolling patients with single or multiple recurrences of CDI, to expand the safety database to meet the FDA threshold of at least 300 patients.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1b/2 clinical study design</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Phase 1b/2 clinical study was a two-part trial designed to evaluate the safety and efficacy of SER-109 in 30 patients with recurrent CDI. Part 1 of the study evaluated a single dose of SER-109 administered orally in 30 capsules over two days, with a dose that varied between 3 x 10</w:t>
      </w:r>
      <w:r>
        <w:rPr>
          <w:rFonts w:ascii="Arial" w:cs="Arial" w:eastAsia="Arial" w:hAnsi="Arial"/>
          <w:sz w:val="14"/>
          <w:szCs w:val="14"/>
          <w:color w:val="auto"/>
        </w:rPr>
        <w:t>7</w:t>
      </w:r>
      <w:r>
        <w:rPr>
          <w:rFonts w:ascii="Arial" w:cs="Arial" w:eastAsia="Arial" w:hAnsi="Arial"/>
          <w:sz w:val="17"/>
          <w:szCs w:val="17"/>
          <w:color w:val="auto"/>
        </w:rPr>
        <w:t xml:space="preserve"> and 2 x 10</w:t>
      </w:r>
      <w:r>
        <w:rPr>
          <w:rFonts w:ascii="Arial" w:cs="Arial" w:eastAsia="Arial" w:hAnsi="Arial"/>
          <w:sz w:val="14"/>
          <w:szCs w:val="14"/>
          <w:color w:val="auto"/>
        </w:rPr>
        <w:t>10</w:t>
      </w:r>
      <w:r>
        <w:rPr>
          <w:rFonts w:ascii="Arial" w:cs="Arial" w:eastAsia="Arial" w:hAnsi="Arial"/>
          <w:sz w:val="17"/>
          <w:szCs w:val="17"/>
          <w:color w:val="auto"/>
        </w:rPr>
        <w:t xml:space="preserve"> spores. Part 2 of the study evaluated a single dose of SER-109 administered orally in a range of one to 7 capsules over one day. The target dose in Part 2 was 1x10</w:t>
      </w:r>
      <w:r>
        <w:rPr>
          <w:rFonts w:ascii="Arial" w:cs="Arial" w:eastAsia="Arial" w:hAnsi="Arial"/>
          <w:sz w:val="14"/>
          <w:szCs w:val="14"/>
          <w:color w:val="auto"/>
        </w:rPr>
        <w:t>8</w:t>
      </w:r>
      <w:r>
        <w:rPr>
          <w:rFonts w:ascii="Arial" w:cs="Arial" w:eastAsia="Arial" w:hAnsi="Arial"/>
          <w:sz w:val="17"/>
          <w:szCs w:val="17"/>
          <w:color w:val="auto"/>
        </w:rPr>
        <w:t xml:space="preserve"> spores per dose, which was approximately 17-fold lower than the mean dose in Part 1.</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1b/2 clinical study results</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 xml:space="preserve">The primary efficacy measure was the absence of CDI (defined in this study as more than three unformed bowel movements in a 24-hour period with laboratory confirmation of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test) during the eight weeks after initiating therapy. Twenty-six of 30 patients, or 87% of patients, in the Phase 1b/2 clinical study achieved the primary efficacy endpoint, consisting of 13 patients in each of Part 1 and Part 2 of the study. Among the 26 patients was one patient who experienced an initial recurrence on Day 26 and was re-treated, per protocol, with a dose from the same donor. Following re-treatment, this patient also achieved the primary efficacy endpoint. Of the patients who did not meet the primary efficacy endpoint, one had a recurrence of CDI on Day 5 and did not receive a second treatment with SER-109 and the three other patients were determined by their attending investigator to be recovering from their diarrheal episode by the time they submitted their stool sample for CDI testing. The three patients were determined to be clinically CDI free at eight weeks. As a result, the clinical cure rate for the study, which we defined as the absence of CDI requiring antibiotic treatment during the eight-week period after SER-109 dosing, was 97%, or 29 of 30 patients. SER-109 was observed to be well tolerated in this study. The most common AEs were diarrhea, nausea, and abdominal pain. The majority of TEAEs were mild in severity and consistent with post-antibiotic recovery from CDI.</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 clinical study design</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Phase 2 clinical study was a randomized, double-blinded, placebo-controlled, parallel-group two arm trial that enrolled a total of 89 patients with a history of multiply-recurrent CDI, defined as 3 or more CDI episodes within 9 months. Subjects were randomized at a 2:1 ratio with 59 subjects receiving SER-109 and 30 subjects receiving placebo. SER-109 was administered orally as a single dose of 10</w:t>
      </w:r>
      <w:r>
        <w:rPr>
          <w:rFonts w:ascii="Arial" w:cs="Arial" w:eastAsia="Arial" w:hAnsi="Arial"/>
          <w:sz w:val="14"/>
          <w:szCs w:val="14"/>
          <w:color w:val="auto"/>
        </w:rPr>
        <w:t>8</w:t>
      </w:r>
      <w:r>
        <w:rPr>
          <w:rFonts w:ascii="Arial" w:cs="Arial" w:eastAsia="Arial" w:hAnsi="Arial"/>
          <w:sz w:val="17"/>
          <w:szCs w:val="17"/>
          <w:color w:val="auto"/>
        </w:rPr>
        <w:t xml:space="preserve"> bacterial spores, following the completion of antibiotic treatment for CDI. The study was conducted at 36 centers across the United States. The primary endpoint was the absence of recurrence of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difficile </w:t>
      </w:r>
      <w:r>
        <w:rPr>
          <w:rFonts w:ascii="Arial" w:cs="Arial" w:eastAsia="Arial" w:hAnsi="Arial"/>
          <w:sz w:val="17"/>
          <w:szCs w:val="17"/>
          <w:color w:val="auto"/>
        </w:rPr>
        <w:t>positive diarrhea requiring antibiotic treatment up to 8 weeks following treatment with SER-109 or placebo.</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 clinical study results</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predefined study primary efficacy endpoint was the relative risk of CDI recurrence up to 8 weeks after 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w:t>
      </w:r>
    </w:p>
    <w:p>
      <w:pPr>
        <w:spacing w:after="0" w:line="15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The most commonly reported AEs in both the SER-109 and placebo arms were in the GI category, and were diarrhea (25% vs 14%), abdominal pain (22% vs 14%), flatulence (12% vs 3%), and nausea (10% vs 10%), for SER-109 and placebo, respectively. No drug-related SAEs were observed. The SER-109 analyses were shared with the FDA. Based on feedback received from the FDA, a new Phase 3 SER-109 clinical study in patients with multiply recurrent CDI was initiated. Study participants were randomized 1:1 between SER-109 and placebo and received a total dose that is approximately 10-fold higher than in the Phase 2 study, administered over three consecutive days. Diagnosis of CDI for both study entry and for endpoint analysis was confirmed by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cytotoxin assay, compared to the first Phase 2, where most patients were diagnosed by polymerase chain reaction, or PCR.</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Analysis of Phase 1b/2 and Phase 2 clinical study results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our Phase 2 clinical study, the study’s primary endpoint of reducing the relative risk of CDI recurrence at up to 8 weeks after treatment was not achieved. In order to understand the difference in outcome between Phase 1b/2 and Phase 2 clinical studies, we conducted an analysis of the available clinical, microbiome and CMC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t xml:space="preserve">and processes, performed retrospective analysis using high-resolution whole metagenomics sequencing of Phase 1b/2 clinical study stool samples, and reviewed analytical methods, that may have differed between the Phase 1b/2 and Phase 2 clinical studies. We identified key factors that potentially explain the Phase 2 clinical study results, including issues related to both the accurate diagnosis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recurrent infection, and potential suboptimal dosing of subjects in the trial.</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factors include:</w:t>
      </w:r>
    </w:p>
    <w:p>
      <w:pPr>
        <w:spacing w:after="0" w:line="117" w:lineRule="exact"/>
        <w:rPr>
          <w:sz w:val="20"/>
          <w:szCs w:val="20"/>
          <w:color w:val="auto"/>
        </w:rPr>
      </w:pPr>
    </w:p>
    <w:p>
      <w:pPr>
        <w:ind w:left="1000" w:right="4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diagnostic test for entry may not have differentiated subjects with active CDI disease from those with other disease but who had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carriage (e.g., irritable bowel syndrome);</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diagnostic test for CDI recurrence during the study (the primary endpoint) overestimated recurrences, as PCR was the most common test performed;</w:t>
      </w:r>
    </w:p>
    <w:p>
      <w:pPr>
        <w:spacing w:after="0" w:line="62" w:lineRule="exact"/>
        <w:rPr>
          <w:rFonts w:ascii="Arial" w:cs="Arial" w:eastAsia="Arial" w:hAnsi="Arial"/>
          <w:sz w:val="18"/>
          <w:szCs w:val="18"/>
          <w:color w:val="auto"/>
        </w:rPr>
      </w:pPr>
    </w:p>
    <w:p>
      <w:pPr>
        <w:ind w:left="1000" w:right="10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safety profile of SER-109, which may include diarrhea in the first week following dosing, led to SER-109 subjects presenting for evaluation of recurrence at a time when they were likely to be colonized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leading to mistaken diagnosis of recurrent CDI; and</w:t>
      </w:r>
    </w:p>
    <w:p>
      <w:pPr>
        <w:spacing w:after="0" w:line="15" w:lineRule="exact"/>
        <w:rPr>
          <w:rFonts w:ascii="Arial" w:cs="Arial" w:eastAsia="Arial" w:hAnsi="Arial"/>
          <w:sz w:val="16"/>
          <w:szCs w:val="16"/>
          <w:color w:val="auto"/>
        </w:rPr>
      </w:pPr>
    </w:p>
    <w:p>
      <w:pPr>
        <w:ind w:left="1000" w:right="4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184"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From our reanalysis of the phase 1b/2 and 2 trials, we learned that there is a dose-dependent response governing early SER-109 pharmacokinetics, with increased engraftment associated with successful CDI resolution through 8 weeks. In the Phase 2 trial, SER-109 was dosed at 1 × 10</w:t>
      </w:r>
      <w:r>
        <w:rPr>
          <w:rFonts w:ascii="Arial" w:cs="Arial" w:eastAsia="Arial" w:hAnsi="Arial"/>
          <w:sz w:val="13"/>
          <w:szCs w:val="13"/>
          <w:color w:val="auto"/>
        </w:rPr>
        <w:t>8</w:t>
      </w:r>
      <w:r>
        <w:rPr>
          <w:rFonts w:ascii="Arial" w:cs="Arial" w:eastAsia="Arial" w:hAnsi="Arial"/>
          <w:sz w:val="16"/>
          <w:szCs w:val="16"/>
          <w:color w:val="auto"/>
        </w:rPr>
        <w:t xml:space="preserve"> spores based on equivalent clinical outcomes and week 8 engraftment measures observed between the phase 1 dosing cohorts. However, our integrated analysis of both trials revealed that (1) engraftment kinetics at week 1 were of greater importance for reducing rCDI than later time points, (2) week 1 engraftment was highly variable in Phase 2 subjects, and (3) rapid engraftment was dependent on dose, which was clearly suboptimal in the Phase 2 trial (McGovern, 2020; Young, 2020). We hypothesized that rapid engraftment of a microbiome therapeutic may be critical to efficacy since CDI recurrence usually occurs within 1–3 weeks of antibiotic discontinuation, the “window of vulnerability”; consistent with this hypothesis, in the Phase 2 trial, greater engraftment of SER-109 species at week 1 was correlated with reduced CDI rates. This correlation was not previously appreciated due to the use of lower resolution 16S rRNA gene amplicon–based methods used in the Phase 1b/2 study for determining drug engraftment (Khanna, 2016).</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3 clinical study design</w:t>
      </w:r>
    </w:p>
    <w:p>
      <w:pPr>
        <w:spacing w:after="0" w:line="11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 xml:space="preserve">In June 2017 we initiated a Phase 3 clinical study of SER-109 in patients with multiply recurrent CDI. Study participants were randomized 1:1 between SER-109 and placebo. Diagnosis of CDI for both study entry and for endpoint analysis utilizes a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cytotoxin assay, compared to the Phase 2 clinical study, where most patients were diagnosed by PCR. Patients in the SER-109 arm received a total SER-109 dose, administered over three days, approximately 10-fold higher than the dose used in the Phase 2 clinical study to drive rapid engraftment of SER-109 bacteria in treated patients. The study evaluated patients for 24 weeks and the primary endpoint was to compare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 CDI recurrence is defined as diarrhea (&gt;3 unformed bowel movements/day for 2 or more consecutive days), a positive CDI toxin test, and the decision by the primary investigator that antibiotic treatment is warranted. The study was conducted at approximately 100 sites in the United States and Canada.</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3 clinical study results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study enrolled 182 patients with multiply recurrent CDI. The analysis reported in August 2020 on the dataset locked for the interim analysis showed that SER-109 administration resulted in a highly statistically significant absolute decrease of 30.2% in the proportion of patients who experienced a recurrence in CDI within eight weeks of administration versus placebo, the study’s primary endpoint, and which remained consistent at 12-weeks end point with a 31.1% absolute decrease. At eight weeks of treatment, 11.1% of patients administered SER-109 experienced a CDI recurrence, versus 41.3% of placebo patients. The study results were equally compelling when characterized by the alternative metric of sustained clinical response, where 88.9% of patients in the SER-109 arm achieved this objective at eight weeks. Subsequent analyses from the completed Phase 3 study using the final statistically defined Intent-to-Treat population show that 12.4% of subjects experienced a recurrence, versus 39.8% on placebo, which represents a relative risk of 0.32 (95% CI 0.18-0.58; p&lt;.001), with an absolute risk reduction of 27% and a relative risk reduction of 69%. The percent on SER-109 with a sustained clinical response was approximately 88%. The number-needed-to treat was 3.7. In the same updated analysis, the 12 week rate of recurrence in the SER-109 arm was 18.0%, compared to a rate of 46.2% in the placebo arm, representing an absolute risk reduction of 28% (relative risk 0.40; 95% CI 0.24-0.65; p-value = 0.002),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biological license application, or BLA. The efficacy remained durable through twenty-four weeks of follow-up.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ind w:right="40" w:firstLine="510"/>
        <w:spacing w:after="0" w:line="257" w:lineRule="auto"/>
        <w:rPr>
          <w:sz w:val="20"/>
          <w:szCs w:val="20"/>
          <w:color w:val="auto"/>
        </w:rPr>
      </w:pPr>
      <w:r>
        <w:rPr>
          <w:rFonts w:ascii="Arial" w:cs="Arial" w:eastAsia="Arial" w:hAnsi="Arial"/>
          <w:sz w:val="18"/>
          <w:szCs w:val="18"/>
          <w:color w:val="auto"/>
        </w:rPr>
        <w:t>The SER-109 safety results observed to-date were favorable. SER-109 was well-tolerated through week 8, with a safety profile comparable to placebo. There was no clinically meaningful imbalance in incidence of adverse events between SER-109 and placebo arms. Overall incidence of patients who experienced treatment-emergent adverse events, or TEAEs, was 92.2% for SER-109 and 91.3% for placebo. SER-109 had no related serious treatment-related adverse events and no treatment related infections. The most commonly observed TEAEs were gastrointestinal disorders, the majority of which were mild to moderate in nature.</w:t>
      </w:r>
    </w:p>
    <w:p>
      <w:pPr>
        <w:spacing w:after="0" w:line="18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study data examined the pharmacokinetics (i.e., drug bacterial species engraftment) and pharmacodynamics (i.e., metabolic changes) following SER-109 dosing. The data demonstrate that SER-109 administration resulted in the rapid and durable engraftment of SER-109-derived bacterial species into the gastrointestinal tract as soon as one week following dosing, and that this engraftment was maintained at subsequent timepoints evaluated, including at the eight-week timepoint corresponding to the study’s primary endpoint and the 24-week safety follow-up timepoint. The presence of SER-109 bacterial species was significantly greater (p&lt;0.001) in SER-109 treated patients than in placebo patients at all timepoints evaluated. Significant differences were maintained in predefined subpopulation analyses of age and antibiotic use. Seres utilized advanced microbiome biomarker analytics and proprietary genomic reference datasets to identify, at a resolution of bacterial species, the gastrointestinal microbiome signatures associated with SER-109 engraftment.</w:t>
      </w:r>
    </w:p>
    <w:p>
      <w:pPr>
        <w:spacing w:after="0" w:line="1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 xml:space="preserve">SER-109 administration also resulted in modulation of the gastrointestinal metabolic landscape. Notably, data demonstrated a significant decrease in primary bile acids (p=0.038) and an increase in secondary bile acids (p&lt;0.001) by one-week post-dosing; significant differences were maintained through week eight for secondary bile acids. Notably, SER-109 subjects had less variance across subjects in bile acid response than placebo subjects. Observations for both primary and secondary bile acids were maintained in predefined subpopulation analyses of age and antibiotic use. All microbiome analyses were conducted according to the treatment subjects actually received. Published research as well as preclinical studies have demonstrated that primary bile acids support germination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spores that are the source of disease recurrence. In contrast, secondary bile acids have been reported to inhibit germination and the growth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(Theriot and Young, Annu. Rev. Microbiol. 2015).</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SER-109 is a purified consortium of Firmicute spores produced through a process of extraction from a natural human stool source, obtained from qualified, highly screened donors. The donor raw material is collected in a controlled setting, under a protocol that is designed to ensure that donors meet appropriate qualification criteria.</w:t>
      </w:r>
    </w:p>
    <w:p>
      <w:pPr>
        <w:spacing w:after="0" w:line="184"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Donors are required to be in good health, and to possess a medical history that minimizes the risk of exposure to and transmission of an infectious disease. Donors are tested for infectious agents and screened for GI and other health factors. Donors are monitored for health status changes during the donation period. At the end of the donation period, the qualification assessment is repeated to help ensure the donor has maintained their health status. After successful completion of an exit screening, donations are released for use in manufacturing.</w:t>
      </w:r>
    </w:p>
    <w:p>
      <w:pPr>
        <w:spacing w:after="0" w:line="17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initially process the donor material in a Cambridge manufacturing facility, and then transfer the process intermediate to a contract manufacturing organization, or CMO, to isolate and concentrate SER-109 for finishing to the oral capsule dosage form. The purified drug substance is tested for identity, potency and purity, and subsequently formulated into drug product where it is again tested for identity, potency, purity, and pharmaceutical properties. The final drug product dosage form is four hard capsules daily for 3-days. Steps are specifically built into the process to remove and kill non-spore microbes. We have conducted validation studies demonstrating the ability of the process to inactivate and clear hypothetical extraneous pathogens of concern, and we believe we have sufficient data from these studies to support ongoing and proposed clinical trials.</w:t>
      </w:r>
    </w:p>
    <w:p>
      <w:pPr>
        <w:spacing w:after="0" w:line="164"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We believe we can address market demand with a relatively small-scale manufacturing process. If approved, we anticipate that we will be able to produce a sufficient commercial supply of SER-109 to meet estimated demand in the United States using donations from a modest number of donors.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Ulcerative Colitis, SER-287 and SER-301</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UC is a relapsing-remitting chronic inflammatory disorder affecting the mucosal surface of the colon, leading to episodes of bloody diarrhea, urgency and mucosal inflammation (Danese and Fiocchi, 2011), which generally begins in young adulthood and endures for life. As the disease mostly affects young and middle-aged individuals, a time of peak reproductive and economic productivity, the disease leads to decreased quality of life in those affected by the condition, high morbidity, and significant health economic burden. (Ghosh and Mitchell, 2007; Kappelman et al., 2008; Rubin et al., 2014; Theede et al., 2015) The incidence of UC is rising worldwide, and the prevalence of the disease is highest in the United States, Canada, and Europe. In the United States alone, the prevalence of UC in adults is estimated to be 263 per 100,000, while in the pediatric population (age &lt;20 years), prevalence of the disease is estimated to be 33.9 per 100,000. (Kappelman et al., 2013)</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40" w:firstLine="510"/>
        <w:spacing w:after="0" w:line="257" w:lineRule="auto"/>
        <w:rPr>
          <w:sz w:val="20"/>
          <w:szCs w:val="20"/>
          <w:color w:val="auto"/>
        </w:rPr>
      </w:pPr>
      <w:r>
        <w:rPr>
          <w:rFonts w:ascii="Arial" w:cs="Arial" w:eastAsia="Arial" w:hAnsi="Arial"/>
          <w:sz w:val="18"/>
          <w:szCs w:val="18"/>
          <w:color w:val="auto"/>
        </w:rPr>
        <w:t>UC is characterized by recurring episodes of inflammation limited to the mucosal layer of the colon. The severity of symptoms, diarrhea associated with blood and abdominal pain, may range from mild disease to severe disease with more than 10 stools per day with severe cramps and continuous bleeding.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w:t>
      </w:r>
    </w:p>
    <w:p>
      <w:pPr>
        <w:spacing w:after="0" w:line="188"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pathogenesis of UC is unclear but thought to arise from an aberrant immune response to a change in the colonic environment in a genetically susceptible individual. The key features of UC include diffuse mucosal inflammation in a continuous pattern starting distally in the rectum to more proximal disease in the left colon to pancolitis.</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Symptoms of UC include rectal bleeding, tenesmus, increased stool frequency, urgency, incontinence, fever, fatigue and malaise, which negatively impact quality of life, physical and mental health and productivity. A subset of patients has extra-intestinal manifestations ranging from iron deficiency anemia to primary sclerosing cholangitis with implications for increased morbidity. In pediatric patients, the symptoms of UC have a more damaging impact, as they affect children’s growth and lead to delayed puberty. These patients also suffer from weight loss, anemia and joint symptoms and current therapy itself adversely impacts normal growth and development. (Kelsen et al., 2008). Treatment of UC with corticosteroids and immunosuppressive agents adds further medical complications to these vulnerable patients, including corticosteroid toxicity and increased risk of invasive infections and malignancy. Both environmental and genetic factors contribute to the etiology of the disease. Environmental factors may induce an ongoing immune response and inflammation in the genetically predisposed host. Efforts to identify specific environmental factors has implicated commensal bacteria or their products as key determinants of the inflammatory response in UC patients (Xavier et al., 2007). Thus, we believe SER-287 may target an “underlying cause” of UC rather than its symptoms.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Currently, patients with UC require life-long therapy. The goals of medical therapy are to induce and maintain clinical and endoscopic remission. Endoscopic remission is recognized as a key treatment goal since it better predicts short- and long-term clinical outcomes than symptomatic improvement alone. Attainment of these goals is generally associated with improved quality of life and decreased need for corticosteroids, and lower risk of hospitalization, colectomy, and colon cancer.</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Although the etiology of UC is not fully understood, much progress has been made in the understanding of pathogenesis. Under homeostatic conditions, there is a balance between pro-inflammatory and anti-inflammatory cytokine signals mediated by epithelial and immune cells in the gastrointestinal tract. However, UC is characterized by dysregulated mucosal immune responses and translocation of inflammatory mediators of microbiological origin across a disrupted gastrointestinal barrier that may cause or perpetuate inflammation leading to chronic inflammatory disease. Migration of innate and adaptive immune cells into gut mucosal tissues is potentiated by locally produced cytokines and chemokines, and by the expression of integrins that enhance cellular trafficking into the gut lamina propria. Inhibition of the immune response, via antibodies and proteins that sequester pro-inflammatory cytokines or block the function of integrins, has been an important target of UC drug development over the past decade.</w:t>
      </w:r>
    </w:p>
    <w:p>
      <w:pPr>
        <w:spacing w:after="0" w:line="177"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Management of UC includes medications that decrease general inflammation (e.g., 5-aminosalicylate derivatives, or 5-ASA, corticosteroids) or dampen specific components of the host immune response (e.g., immunomodulators, inhibitors of tumor necrosis factor, anti-integrin antibodies).</w:t>
      </w:r>
    </w:p>
    <w:p>
      <w:pPr>
        <w:spacing w:after="0" w:line="12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For mild-to-moderate disease, the 5-ASA derivatives are the standard of care for both induction and remission. 5-ASA derivatives achieve clinical remission in only 25-40% of patients during induction and approximately one-third of responders have disease flares during the first year of maintenance therapy, necessitating additional treatment interventions such as corticosteroids and immunomodulators (e.g. 6-mercaptopurine, methotrexate, azathioprine). Corticosteroids are not recommended by guideline panels for chronic therapy since these drugs are ineffective for maintaining remission and are associated with significant adverse events. Patients taking thiopurines require ongoing monitoring for hepatotoxicity, myelosuppression, and opportunistic infections, as well as counseling on the potential risk of lymphoma.</w:t>
      </w:r>
    </w:p>
    <w:p>
      <w:pPr>
        <w:spacing w:after="0" w:line="178"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Current medical therapies for the treatment of UC suppress the immune system rather than reduce the triggers of immune activation. We believe there remains an unmet need for safer agents with novel non-immunosuppressive mechanisms of action. Moreover, alternative therapy is needed for patients with mild-to-moderate UC who experience frequent flares or are intolerant to the aminosalicylate class of medication or where there are safety concerns relating to the use of immunomodulator or steroid therapy.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SER-287</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Given the modulation of the microbiome seen in UC patients, studies have explored the use of FMT to treat UC. (Angelberger et al., 2013; Colman and Rubin, 2014; Kump et al., 2013; Kunde et al., 2013; Moayyedi et al., 2015; Paramsothy et al., 2017; Costello SP et al JAMA 2019). Early reports of enhanced clinical remission and endoscopic improvement with repetitive FMT compared to placebo motivated the preclinical development and clinical testing of SER-287.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20" w:firstLine="510"/>
        <w:spacing w:after="0" w:line="268" w:lineRule="auto"/>
        <w:rPr>
          <w:sz w:val="20"/>
          <w:szCs w:val="20"/>
          <w:color w:val="auto"/>
        </w:rPr>
      </w:pPr>
      <w:r>
        <w:rPr>
          <w:rFonts w:ascii="Arial" w:cs="Arial" w:eastAsia="Arial" w:hAnsi="Arial"/>
          <w:sz w:val="17"/>
          <w:szCs w:val="17"/>
          <w:color w:val="auto"/>
        </w:rPr>
        <w:t>SER-287, an oral microbiome therapeutic candidate consisting of a consortium of highly purified Firmicute spores, is designed to normalize the gastrointestinal microbiome of individuals with UC. In December 2018, we commenced a three-arm placebo-controlled Phase 2b clinical trial that was designed to evaluate SER-287 in approximately 201 patients with mild-to-moderate UC. Two groups of patients are receiving different doses of SER-287, both following pre-conditioning with a short course of oral vancomycin. A third study arm will receive placebo. The study’s primary endpoint will evaluate clinical remission measured after 10 weeks of SER-287 administration. Patients then enter a 2-week exploratory maintenance follow-up</w:t>
      </w:r>
    </w:p>
    <w:p>
      <w:pPr>
        <w:spacing w:after="0" w:line="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period. Endoscopic improvement will be measured as a secondary efficacy measure. Based on feedback from the FDA, if the data from this trial is positive, we expect that the Phase 2b clinical trial could be one of two pivotal trials to enable a BLA to be submitted for SER-287 for the treatment of UC.</w:t>
      </w:r>
    </w:p>
    <w:p>
      <w:pPr>
        <w:spacing w:after="0" w:line="13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are approximately 700,000 UC patients in the United States and fewer than one-third of patients on current therapies achieve remission. Approved treatments are often inadequate to control disease activity and are often associated with significant side effects, including immunosuppression. We believe that SER-287 may address underlying drivers of inflammation in UC and, based on the favorable tolerability profile observed in our clinical trials of SER-287, we believe has the potential to be developed as both a foundational monotherapy, as well as a combination therapy with other UC drugs. SER-287 has been granted Fast Track Designation by the FDA for the induction and maintenance of clinical remission in adult subjects with active mild-to-moderate UC. SER-287 has been designated an Orphan Drug for pediatric UC by the FDA.</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Further details of Phase 1b clinical study design</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Phase 1b clinical study was a multicenter, randomized, double-blind, placebo-controlled multiple dose study utilizing weekly or daily dosing with SER-287. We enrolled eligible subjects at approximately 20 sites in the United States. The Phase 1b clinical study was designed to enroll adults 18 years of age and older who had mild-to-moderate UC as defined by a Total Modified Mayo score between 4 and 10, inclusive, with a modified Mayo endoscopic subscore ≥ 1, who were failing current therapies.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Patients were randomized to one of four study arms:</w:t>
      </w:r>
    </w:p>
    <w:p>
      <w:pPr>
        <w:spacing w:after="0" w:line="11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Pre-conditioning with placebo for 6 days, followed by weekly dosing of SER-287 for 8 weeks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Pre-conditioning with placebo for 6 days, followed by daily dosing with placebo for 8 weeks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Pre-conditioning with vancomycin for 6 days, followed by daily dosing of SER-287 for 8 weeks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Pre-conditioning with vancomycin for 6 days, followed by weekly dosing of SER-287 for 8 weeks</w:t>
      </w:r>
    </w:p>
    <w:p>
      <w:pPr>
        <w:spacing w:after="0" w:line="22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primary objectives of the study were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184"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The secondary objectives of the study were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and to compare the changes in exploratory biomarkers from mucosal biopsies and stool in each of the treatment arms from baseline through eight weeks.</w:t>
      </w:r>
    </w:p>
    <w:p>
      <w:pPr>
        <w:spacing w:after="0" w:line="187" w:lineRule="exact"/>
        <w:rPr>
          <w:sz w:val="20"/>
          <w:szCs w:val="20"/>
          <w:color w:val="auto"/>
        </w:rPr>
      </w:pPr>
    </w:p>
    <w:p>
      <w:pPr>
        <w:ind w:right="320" w:firstLine="510"/>
        <w:spacing w:after="0" w:line="255" w:lineRule="auto"/>
        <w:rPr>
          <w:sz w:val="20"/>
          <w:szCs w:val="20"/>
          <w:color w:val="auto"/>
        </w:rPr>
      </w:pPr>
      <w:r>
        <w:rPr>
          <w:rFonts w:ascii="Arial" w:cs="Arial" w:eastAsia="Arial" w:hAnsi="Arial"/>
          <w:sz w:val="18"/>
          <w:szCs w:val="18"/>
          <w:color w:val="auto"/>
        </w:rPr>
        <w:t>This study was designed to provide evidence of safety of SER-287 compared to placebo for the UC population, describe the changes in the microbiome as a result of treatment with SER-287 and provide potential predictive biomarkers for future studies. UC is characterized by a decrease in microbial diversity and richness, with a lower prevalence of spore-forming organisms within the phylum Firmicutes. Preliminary data using repetitive enema FMT suggest that microbial interventions can affect clinical outcomes in UC, and this study evaluated whether the ecology of bacterial spores in SER-287 could correct the modulation of the microbiome in UC, increase microbial diversity and safely lead to a clinical response in UC patients with mild-to-moderate disease.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results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Results were analyzed using the intent to treat, or ITT, “missing equals failure” analysis and the ITT “observed case” analysis methods. The ITT “missing equals failure” analysis, included all 58 randomized subjects. For this analysis, incalculable clinical endpoints due to missing data, UC medication added due to UC flare during the treatment period and discontinuation from the trial prior to Day 48 were considered as not achieving the clinical endpoints (worst outcome). However, if the end-of-trial endoscopy at Day 48, or later, was available, and the subject did not take additional UC medication due to UC flare, then the observed data was used to define success or failure for the subject. A period of 48 days of microbiome therapy was considered sufficient treatment to estimate the outcome of clinical endpoints and was prespecified. The ITT “observed case” analysis included 53 of 58 subjects randomized, excluding those who were missing their end-of-treatment endoscopies and used the observed data to define success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80"/>
        <w:spacing w:after="0" w:line="279" w:lineRule="auto"/>
        <w:rPr>
          <w:sz w:val="20"/>
          <w:szCs w:val="20"/>
          <w:color w:val="auto"/>
        </w:rPr>
      </w:pPr>
      <w:r>
        <w:rPr>
          <w:rFonts w:ascii="Arial" w:cs="Arial" w:eastAsia="Arial" w:hAnsi="Arial"/>
          <w:sz w:val="17"/>
          <w:szCs w:val="17"/>
          <w:color w:val="auto"/>
        </w:rPr>
        <w:t xml:space="preserve">failure for each subject in the analysis. A paper titled “A Phase 1b Safety Study of SER-287, a Spore-Based Microbiome Therapeutic, For Active Mild-To-Moderate Ulcerative Colitis” was published as the highlighted over article in the January 2021 print edition of the leading journal </w:t>
      </w:r>
      <w:r>
        <w:rPr>
          <w:rFonts w:ascii="Arial" w:cs="Arial" w:eastAsia="Arial" w:hAnsi="Arial"/>
          <w:sz w:val="17"/>
          <w:szCs w:val="17"/>
          <w:i w:val="1"/>
          <w:iCs w:val="1"/>
          <w:color w:val="auto"/>
        </w:rPr>
        <w:t>Gastroenterology</w:t>
      </w:r>
      <w:r>
        <w:rPr>
          <w:rFonts w:ascii="Arial" w:cs="Arial" w:eastAsia="Arial" w:hAnsi="Arial"/>
          <w:sz w:val="17"/>
          <w:szCs w:val="17"/>
          <w:color w:val="auto"/>
        </w:rPr>
        <w:t xml:space="preserve"> including data analysis from the Phase 1b trial of Ser-287 demonstrating that SER-287 administration was associated with positive impacts on clinical remission, endoscopic improvement, modulation of the gastrointestinal microbiome, and a favorable safety profile.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efficacy results</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the “missing equals failure” analysis, remission showed a statistically significant improvement in the vancomycin pre-conditioning / SER-287 once-daily dosing arm as compared to the placebo/placebo daily arm: 40% (6 of 15 in SER-287) vs 0% (0 of 11 in placebo); change from placebo of 40.0% (95% confidence interval: 15.2%, 64.8%), (p-value, 0.0237). (See Figure 1).</w:t>
      </w:r>
    </w:p>
    <w:p>
      <w:pPr>
        <w:spacing w:after="0" w:line="184"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SER-287 weekly treatment arms also showed an improvement over placebo in both remission and endoscopic improvement but the effect was less than with the daily dosing regimen, showing a dose-response to SER-287 in these efficacy endpoints. Addition of vancomycin to the SER-287 weekly dosing regimen did not clearly alter efficacy results, although we believe this may be due to the small size of the study.</w:t>
      </w:r>
    </w:p>
    <w:p>
      <w:pPr>
        <w:spacing w:after="0" w:line="16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Clinical response (data not shown), showed a numeric increase in the vancomycin/SER287 daily treatment arm compared to placebo but did not reach statistical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100330</wp:posOffset>
            </wp:positionV>
            <wp:extent cx="6146165" cy="1663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4616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160"/>
        <w:spacing w:after="0"/>
        <w:tabs>
          <w:tab w:leader="none" w:pos="3480" w:val="left"/>
        </w:tabs>
        <w:rPr>
          <w:sz w:val="20"/>
          <w:szCs w:val="20"/>
          <w:color w:val="auto"/>
        </w:rPr>
      </w:pPr>
      <w:r>
        <w:rPr>
          <w:rFonts w:ascii="Arial" w:cs="Arial" w:eastAsia="Arial" w:hAnsi="Arial"/>
          <w:sz w:val="18"/>
          <w:szCs w:val="18"/>
          <w:b w:val="1"/>
          <w:bCs w:val="1"/>
          <w:color w:val="auto"/>
        </w:rPr>
        <w:t>Figure 1:</w:t>
      </w:r>
      <w:r>
        <w:rPr>
          <w:sz w:val="20"/>
          <w:szCs w:val="20"/>
          <w:color w:val="auto"/>
        </w:rPr>
        <w:tab/>
      </w:r>
      <w:r>
        <w:rPr>
          <w:rFonts w:ascii="Arial" w:cs="Arial" w:eastAsia="Arial" w:hAnsi="Arial"/>
          <w:sz w:val="16"/>
          <w:szCs w:val="16"/>
          <w:b w:val="1"/>
          <w:bCs w:val="1"/>
          <w:color w:val="auto"/>
        </w:rPr>
        <w:t>SER-287 Phase 1b Clinical Study Efficacy Data – Missing Equals Failure</w:t>
      </w:r>
    </w:p>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 change from placebo; Remission was defined as a Total Modified Mayo score of less than or equal to 2, and an endoscopic sub-score of 0 or 1; Endoscopic improvement was defined as a decrease in endoscopic sub score of greater than or equal to 1. Endoscopy measures were analyzed by a Central Reader.</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Safety Results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primary safety objective (short-term safety) was to evaluate the safety and tolerability of SER-287 in adults with active mild-to-moderate UC up to 92 days after randomization as determined by clinical and laboratory safety assessments.</w:t>
      </w:r>
    </w:p>
    <w:p>
      <w:pPr>
        <w:spacing w:after="0" w:line="19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treatment-emergent adverse events, or TEAEs, were balanced across all the treatment arms. No drug-related serious adverse events, or SAEs, were reported. All adverse events, or AEs, were considered mild to moderate in intensity. Gastrointestinal, or GI, disorders had the greatest number of AEs compared to other system organ classes, with the most efficacious treatment arm (vancomycin/SER-287 daily) experiencing the lowest percentage of GI AEs.</w:t>
      </w:r>
    </w:p>
    <w:p>
      <w:pPr>
        <w:spacing w:after="0" w:line="22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SER-287 was observed to be well-tolerated in all treatment arms, showing a safety profile consistent with the placebo arm. The safety profile, when evaluating GI AEs, showed an improvement in the vancomycin/SER-287 treatment arm compared to vancomycin/placebo and the vancomycin/SER-287 weekly treatment arms.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A paper titled “A Phase 1b Safety Study of SER-287, a Spore-Based Microbiome Therapeutic, For Active Mild-To-Moderate Ulcerative Colitis” was published as the highlighted over article in the January 2021 print edition of the leading journal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including data analysis from the Phase 1b trial of Ser-287 demonstrating that SER-287 administration was associated with positive impacts on clinical remission, endoscopic improvement, modulation of the gastrointestinal microbiome, and a favorable tolerability profile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right="60" w:firstLine="510"/>
        <w:spacing w:after="0" w:line="290" w:lineRule="auto"/>
        <w:rPr>
          <w:sz w:val="20"/>
          <w:szCs w:val="20"/>
          <w:color w:val="auto"/>
        </w:rPr>
      </w:pPr>
      <w:r>
        <w:rPr>
          <w:rFonts w:ascii="Arial" w:cs="Arial" w:eastAsia="Arial" w:hAnsi="Arial"/>
          <w:sz w:val="16"/>
          <w:szCs w:val="16"/>
          <w:color w:val="auto"/>
        </w:rPr>
        <w:t>Microbiome results showed engraftment of SER-287-derived bacterial species in patients pre-conditioned with vancomycin who received SER-287. The degree of SER-287 engraftment, as measured by the number of detectable SER-287-derived bacterial species, increased in a dose-dependent manner, with daily dosing providing the most rapid and robust change in patients’ microbiome. Engraftment was maintained during the entire dosing period and was observed four weeks after the last dose of SER-287 was administered. Thus, engraftment was durable. Changes in the composition of the GI microbiome were associated with clinical remission and further associated with changes in stool metabolite and intestinal biopsy gene expression signatures associated with inflammation and immune modulation. Vancomycin pre-conditioning, as compared to placebo pre-conditioning, led to an immediate reduction of microbiome diversity followed by rapid and robust engraftment of SER-287-derived bacterial species. These data suggest that vancomycin pre-conditioning opens ecological niches for SER-287 engraftment in the human microbiome of patients with UC.</w:t>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2b clinical study design</w:t>
      </w:r>
    </w:p>
    <w:p>
      <w:pPr>
        <w:spacing w:after="0" w:line="117" w:lineRule="exact"/>
        <w:rPr>
          <w:sz w:val="20"/>
          <w:szCs w:val="20"/>
          <w:color w:val="auto"/>
        </w:rPr>
      </w:pPr>
    </w:p>
    <w:p>
      <w:pPr>
        <w:ind w:right="520" w:firstLine="510"/>
        <w:spacing w:after="0" w:line="308" w:lineRule="auto"/>
        <w:rPr>
          <w:sz w:val="20"/>
          <w:szCs w:val="20"/>
          <w:color w:val="auto"/>
        </w:rPr>
      </w:pPr>
      <w:r>
        <w:rPr>
          <w:rFonts w:ascii="Arial" w:cs="Arial" w:eastAsia="Arial" w:hAnsi="Arial"/>
          <w:sz w:val="17"/>
          <w:szCs w:val="17"/>
          <w:color w:val="auto"/>
        </w:rPr>
        <w:t>Based on feedback from the FDA, we believe that the results from the SER-287 Phase 2b ECO-RESET study in conjunction with data from a second pivotal study designed to also evaluate maintenance, could enable submission of a SER-287 Biologics License Application.</w:t>
      </w:r>
    </w:p>
    <w:p>
      <w:pPr>
        <w:spacing w:after="0" w:line="17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Phase 2b study, initiated in December 2018, is a three-arm placebo-controlled trial of approximately 200 patients with active mild-to-moderate UC. Two groups of patients will receive different doses of SER-287, both following pre-conditioning with a short course of oral vancomycin. A third study arm will receive placebo. The study’s primary endpoint will evaluate clinical remission measured after 10 weeks of SER-287 administration. Endoscopic improvement will be measured as a secondary efficacy measure.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SER-301</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 xml:space="preserve">SER-301, is an investigational, oral, microbiome therapeutic candidate comprised of a consortium of cultivated bacteria for the treatment of mild-to-moderate ulcerative colitis (UC). SER-301 is a consortium of cultivated bacteria designed using our reverse translational discovery platform that incorporates analysis of microbiome biomarkers from human clinical data and preclinical assessments using human cell-based assays and </w:t>
      </w:r>
      <w:r>
        <w:rPr>
          <w:rFonts w:ascii="Arial" w:cs="Arial" w:eastAsia="Arial" w:hAnsi="Arial"/>
          <w:sz w:val="16"/>
          <w:szCs w:val="16"/>
          <w:i w:val="1"/>
          <w:iCs w:val="1"/>
          <w:color w:val="auto"/>
        </w:rPr>
        <w:t>in vitro/ex</w:t>
      </w:r>
    </w:p>
    <w:p>
      <w:pPr>
        <w:spacing w:after="0" w:line="2"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i w:val="1"/>
          <w:iCs w:val="1"/>
          <w:color w:val="auto"/>
        </w:rPr>
        <w:t xml:space="preserve">vivo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disease models. SER-301 is designed to reduce induction of pro-inflammatory activity, improve epithelial barrier integrity and TNF-α</w:t>
      </w:r>
      <w:r>
        <w:rPr>
          <w:rFonts w:ascii="Arial" w:cs="Arial" w:eastAsia="Arial" w:hAnsi="Arial"/>
          <w:sz w:val="17"/>
          <w:szCs w:val="17"/>
          <w:i w:val="1"/>
          <w:iCs w:val="1"/>
          <w:color w:val="auto"/>
        </w:rPr>
        <w:t xml:space="preserve"> </w:t>
      </w:r>
      <w:r>
        <w:rPr>
          <w:rFonts w:ascii="Arial" w:cs="Arial" w:eastAsia="Arial" w:hAnsi="Arial"/>
          <w:sz w:val="17"/>
          <w:szCs w:val="17"/>
          <w:color w:val="auto"/>
        </w:rPr>
        <w:t>driven inflammation in IECs, and modulate UC-relevant anti-inflammatory, innate and adaptive immune pathways. SER-301 is being produced by our advanced fermentation, formulation and delivery platforms. It includes strains delivered in spore form, as well as strains fermented in non-spore (vegetative) form and delivered using enterically-protected technology designed to release in the colon.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design.</w:t>
      </w:r>
    </w:p>
    <w:p>
      <w:pPr>
        <w:spacing w:after="0" w:line="117"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The SER-301 Phase 1b study is being conducted in Australia and New Zealand in subjects with mild-to-moderate UC and is designed to include approximately 65 patients distributed across two cohorts. A first open-label cohort of 15 subjects will evaluate safety and pharmacokinetics (PK), as measured by bacterial engraftment. In the second cohort, 50 subjects will be randomized to receive either SER-301 or placebo, with a 3:2 randomization, respectively. The study utilizes an independent blinded central reader for the endoscopic component. The objectives for this cohort are to evaluate safety and PK, clinical remission, and other measures of drug pharmacology and efficacy will be evaluated as secondary endpoints.</w:t>
      </w:r>
    </w:p>
    <w:p>
      <w:pPr>
        <w:spacing w:after="0" w:line="310" w:lineRule="exact"/>
        <w:rPr>
          <w:sz w:val="20"/>
          <w:szCs w:val="20"/>
          <w:color w:val="auto"/>
        </w:rPr>
      </w:pPr>
    </w:p>
    <w:p>
      <w:pPr>
        <w:jc w:val="right"/>
        <w:ind w:right="10020"/>
        <w:spacing w:after="0"/>
        <w:rPr>
          <w:sz w:val="20"/>
          <w:szCs w:val="20"/>
          <w:color w:val="auto"/>
        </w:rPr>
      </w:pPr>
      <w:r>
        <w:rPr>
          <w:rFonts w:ascii="Arial" w:cs="Arial" w:eastAsia="Arial" w:hAnsi="Arial"/>
          <w:sz w:val="16"/>
          <w:szCs w:val="16"/>
          <w:b w:val="1"/>
          <w:bCs w:val="1"/>
          <w:i w:val="1"/>
          <w:iCs w:val="1"/>
          <w:color w:val="auto"/>
        </w:rPr>
        <w:t>Other Programs</w:t>
      </w:r>
    </w:p>
    <w:p>
      <w:pPr>
        <w:spacing w:after="0" w:line="140" w:lineRule="exact"/>
        <w:rPr>
          <w:sz w:val="20"/>
          <w:szCs w:val="20"/>
          <w:color w:val="auto"/>
        </w:rPr>
      </w:pPr>
    </w:p>
    <w:p>
      <w:pPr>
        <w:jc w:val="right"/>
        <w:ind w:right="10080"/>
        <w:spacing w:after="0"/>
        <w:rPr>
          <w:sz w:val="20"/>
          <w:szCs w:val="20"/>
          <w:color w:val="auto"/>
        </w:rPr>
      </w:pPr>
      <w:r>
        <w:rPr>
          <w:rFonts w:ascii="Arial" w:cs="Arial" w:eastAsia="Arial" w:hAnsi="Arial"/>
          <w:sz w:val="18"/>
          <w:szCs w:val="18"/>
          <w:i w:val="1"/>
          <w:iCs w:val="1"/>
          <w:color w:val="auto"/>
        </w:rPr>
        <w:t>SER-155</w:t>
      </w:r>
    </w:p>
    <w:p>
      <w:pPr>
        <w:spacing w:after="0" w:line="117" w:lineRule="exact"/>
        <w:rPr>
          <w:sz w:val="20"/>
          <w:szCs w:val="20"/>
          <w:color w:val="auto"/>
        </w:rPr>
      </w:pPr>
    </w:p>
    <w:p>
      <w:pPr>
        <w:ind w:right="200" w:firstLine="510"/>
        <w:spacing w:after="0" w:line="284" w:lineRule="auto"/>
        <w:rPr>
          <w:sz w:val="20"/>
          <w:szCs w:val="20"/>
          <w:color w:val="auto"/>
        </w:rPr>
      </w:pPr>
      <w:r>
        <w:rPr>
          <w:rFonts w:ascii="Arial" w:cs="Arial" w:eastAsia="Arial" w:hAnsi="Arial"/>
          <w:sz w:val="16"/>
          <w:szCs w:val="16"/>
          <w:color w:val="auto"/>
        </w:rPr>
        <w:t>SER-155, an oral consortium of cultivated bacteria is a microbiome therapeutic candidate that we are advancing into clinical development. The rationale for this program is based in part on published clinical evidence from our collaborators at Memorial Sloan Kettering Cancer Center showing that allo-HSCT patients with decreased diversity of commensal microbes are significantly more likely to die due to infection and/or lethal graft versus host disease, or GvHD. SER-155 is consortia of cultivated bacteria designed using our reverse translational discovery platform to prevent mortality due to gastrointestinal infections, bacteremia and GvHD in immunocompromised patients, including in patients receiving allogeneic hematopoietic stem cell transplantation (allo-HSCT) or solid organ transplants. SER-155 is designed to decrease infection and translocation of antibiotic resistant bacteria in the gastrointestinal tract and modulate host immune responses to decrease GvHD. In November 2017, we were awarded a highly competitive grant</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CARB-X to support continued preclinical research and early development work for SER-155. In 2019, Seres was awarded additional funding from CARB-X to support clinical development of SER-155, including support through IND filing and Phase 1b evaluation. The 2019 CARB-X grant provides us with an additional $4.8 million of funding for research, manufacture, and IND submission, with potential for an additional $7.0 million for Phase 1b development, upon completion of milestones. We expect to initiate clinical development of SER-155 in the first half of 2021.</w:t>
      </w:r>
    </w:p>
    <w:p>
      <w:pPr>
        <w:spacing w:after="0" w:line="3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SER-401</w:t>
      </w:r>
    </w:p>
    <w:p>
      <w:pPr>
        <w:spacing w:after="0" w:line="117"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We are also developing SER-401, for use with CPIs in patients with solid tumors to enhance efficacy and improve survival. SER-401, an oral consortium of purified bacteria is a microbiome therapeutic candidate comprising a bacterial signature similar to that observed in checkpoint inhibitor immunotherapy responders. In March 2019, the first patient was dosed in the Phase 1b clinical study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40"/>
        <w:spacing w:after="0" w:line="279" w:lineRule="auto"/>
        <w:rPr>
          <w:sz w:val="20"/>
          <w:szCs w:val="20"/>
          <w:color w:val="auto"/>
        </w:rPr>
      </w:pPr>
      <w:r>
        <w:rPr>
          <w:rFonts w:ascii="Arial" w:cs="Arial" w:eastAsia="Arial" w:hAnsi="Arial"/>
          <w:sz w:val="17"/>
          <w:szCs w:val="17"/>
          <w:color w:val="auto"/>
        </w:rPr>
        <w:t>with MD Anderson and PICI, to evaluate SER-401’s potential to augment the response of anti-PD-1 checkpoint inhibitor therapy. The study is designed to enroll 30 patients with metastatic melanoma who are being treated with nivolumab, an anti-PD-1 therapy. Patients are randomized at a 2-to-1 ratio to either SER-401 or placebo. The study’s primary endpoints are to evaluate safety and tolerability. Its secondary endpoints are to evaluate the correlation of microbiome biomarkers of response to various clinical and immunological outcome measures.</w:t>
      </w:r>
    </w:p>
    <w:p>
      <w:pPr>
        <w:spacing w:after="0" w:line="63"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We continue to monitor the impact of the COVID-19 pandemic on company operations and ongoing clinical development activity, including on the SER-401 Phase 1b study in metastatic melanoma. Mitigation activities to minimize COVID-19-related operation disruptions are ongoing, however, given the severity and evolving nature of the situation, the timing of the SER-401 Phase 1b clinical readout is uncertain.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 xml:space="preserve">If SER-109 is approved in the United States and Canada, we believe it can be commercialized with a focused specialty sales force that will target gastrointestinal and infectious disease physicians, which are the two primary groups of physicians who treat recurrent CDI patients. In preparation for ECOSPOR III regulatory submissions, we have initiated commercial readiness activities that include: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market assessments, publication and presentation planning, stakeholder and advocacy relationship mapping, brand name selection, and initiation of payer and reimbursement strategic planning.</w:t>
      </w:r>
    </w:p>
    <w:p>
      <w:pPr>
        <w:spacing w:after="0" w:line="157" w:lineRule="exact"/>
        <w:rPr>
          <w:sz w:val="20"/>
          <w:szCs w:val="20"/>
          <w:color w:val="auto"/>
        </w:rPr>
      </w:pPr>
    </w:p>
    <w:p>
      <w:pPr>
        <w:jc w:val="both"/>
        <w:ind w:right="40" w:firstLine="510"/>
        <w:spacing w:after="0" w:line="279" w:lineRule="auto"/>
        <w:rPr>
          <w:sz w:val="20"/>
          <w:szCs w:val="20"/>
          <w:color w:val="auto"/>
        </w:rPr>
      </w:pPr>
      <w:r>
        <w:rPr>
          <w:rFonts w:ascii="Arial" w:cs="Arial" w:eastAsia="Arial" w:hAnsi="Arial"/>
          <w:sz w:val="17"/>
          <w:szCs w:val="17"/>
          <w:color w:val="auto"/>
        </w:rPr>
        <w:t>In January 2016, we entered into an agreement with Nestec Ltd., which was succeeded in interest by Société des Produits Nestlé S.A., or Nestlé, for the development and commercialization outside of the United States and Canada of our product candidates in development for CDI and IBD, including UC and Crohn’s disease. The agreement will support the development of our portfolio of products for CDI and IBD in markets outside of the United States and Canada and provide financial support for our ongoing research and development.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production of live bacterial products is highly specialized. Owing to their hardiness and environmental persistence, production of spore-forming organisms poses unique considerations for product, personnel, and facility protection. Manufacturing activities with spores are subject to specialized regulations. We expect that a typical commercial fermentation will yield on the order of hundreds or thousands of doses per liter depending on the product and its composition. Additionally, because a given total dose is split between several strains, the per-strain requirements for production may be even lower. As a result, we believe the high productivity relative to the dose level will enable production scales for both clinical and commercial supply to be modest.</w:t>
      </w:r>
    </w:p>
    <w:p>
      <w:pPr>
        <w:spacing w:after="0" w:line="161"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76" w:lineRule="exact"/>
        <w:rPr>
          <w:sz w:val="20"/>
          <w:szCs w:val="20"/>
          <w:color w:val="auto"/>
        </w:rPr>
      </w:pPr>
    </w:p>
    <w:p>
      <w:pPr>
        <w:ind w:left="1000" w:hanging="493"/>
        <w:spacing w:after="0" w:line="29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Fermentation. </w:t>
      </w:r>
      <w:r>
        <w:rPr>
          <w:rFonts w:ascii="Arial" w:cs="Arial" w:eastAsia="Arial" w:hAnsi="Arial"/>
          <w:sz w:val="16"/>
          <w:szCs w:val="16"/>
          <w:color w:val="auto"/>
        </w:rPr>
        <w:t>We are using microscale screening to optimize culture of the bacterial strains of interest in our current and foreseeable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originating from a unique research cell bank precursor, so we expect the research cell banks and final drug product should be genetically and physiologically similar.</w:t>
      </w:r>
    </w:p>
    <w:p>
      <w:pPr>
        <w:spacing w:after="0" w:line="58" w:lineRule="exact"/>
        <w:rPr>
          <w:rFonts w:ascii="Arial" w:cs="Arial" w:eastAsia="Arial" w:hAnsi="Arial"/>
          <w:sz w:val="16"/>
          <w:szCs w:val="16"/>
          <w:color w:val="auto"/>
        </w:rPr>
      </w:pPr>
    </w:p>
    <w:p>
      <w:pPr>
        <w:ind w:left="1000" w:right="180" w:hanging="493"/>
        <w:spacing w:after="0" w:line="30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Purification. </w:t>
      </w:r>
      <w:r>
        <w:rPr>
          <w:rFonts w:ascii="Arial" w:cs="Arial" w:eastAsia="Arial" w:hAnsi="Arial"/>
          <w:sz w:val="16"/>
          <w:szCs w:val="16"/>
          <w:color w:val="auto"/>
        </w:rPr>
        <w:t>Similar to fermentation, we believe small-scale purification operations are available for assessing large-scale cGMP</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live cells, and to quickly assess downstream process yield, quality and robustness. For our oral products, purification is typically less complex than for parenteral biologics such as monoclonal antibodies that must purify away very similar components from the culturing process. Separation of viable microbes from soluble fermentation broth components is typically much simpler.</w:t>
      </w:r>
    </w:p>
    <w:p>
      <w:pPr>
        <w:spacing w:after="0" w:line="49" w:lineRule="exact"/>
        <w:rPr>
          <w:rFonts w:ascii="Arial" w:cs="Arial" w:eastAsia="Arial" w:hAnsi="Arial"/>
          <w:sz w:val="16"/>
          <w:szCs w:val="16"/>
          <w:color w:val="auto"/>
        </w:rPr>
      </w:pPr>
    </w:p>
    <w:p>
      <w:pPr>
        <w:ind w:left="1000" w:hanging="493"/>
        <w:spacing w:after="0" w:line="275"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Formulation. </w:t>
      </w:r>
      <w:r>
        <w:rPr>
          <w:rFonts w:ascii="Arial" w:cs="Arial" w:eastAsia="Arial" w:hAnsi="Arial"/>
          <w:sz w:val="17"/>
          <w:szCs w:val="17"/>
          <w:color w:val="auto"/>
        </w:rPr>
        <w:t>Our microbiome therapeutic candidates are combinations of bacteria and can be administered by a number of methods and by</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routes. The primary goal in developing a formulation is to deliver bacteria to the intended location in a condition where they are able to replicate and modulate the microbiome. Formulation development generally uses approved excipients and preservatives, and will include screening of liquid, solid, and suspension formulations to maximize the opportunity for extended stability with minimal cold-chain requirements. Dosage forms for oral products may be capsules, tablets, sachets, or liquid containers.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9" w:name="page20"/>
    <w:bookmarkEnd w:id="19"/>
    <w:p>
      <w:pPr>
        <w:ind w:left="1000" w:right="120" w:hanging="493"/>
        <w:spacing w:after="0" w:line="296"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Analytical. </w:t>
      </w:r>
      <w:r>
        <w:rPr>
          <w:rFonts w:ascii="Arial" w:cs="Arial" w:eastAsia="Arial" w:hAnsi="Arial"/>
          <w:sz w:val="16"/>
          <w:szCs w:val="16"/>
          <w:color w:val="auto"/>
        </w:rPr>
        <w:t>We are addressing quality control requirements for our microbiome therapeutic candidates using proprietary microbiological,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chemical, biochemical, and molecular sequence-based testing schemes. We have available and are further developing quality control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quantitative analytics to assess the identity, potency and purity of the final product.</w:t>
      </w:r>
    </w:p>
    <w:p>
      <w:pPr>
        <w:spacing w:after="0" w:line="16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currently have a 10,000 square foot cGMP manufacturing facility at our headquarters where we conduct cGMP manufacture of therapeutic candidates to support drug substance and drug product for early phase and small-scale clinical supplies and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Agreements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Nestlé</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January 2016, we entered into the Collaboration and License Agreement, or the License Agreement, with Nestec, Ltd., which was succeeded in interest by Société des Produits Nestlé S.A., or Nestlé, an affiliate of Nestlé Health Science US Holdings, Inc., both of which are significant stockholders of ours, for the development and commercialization of certain product candidates in development for the treatment and management of CDI and IBD, including UC and Crohn’s disease. The License Agreement will support the development of our portfolio of products for CDI and IBD in markets outside of the United States and Canada, or the Licensed Territory. We have retained full commercial rights to our entire portfolio of product candidates with respect to the United States and Canada.</w:t>
      </w:r>
    </w:p>
    <w:p>
      <w:pPr>
        <w:spacing w:after="0" w:line="19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Under the License Agreement, we granted to Nestlé an exclusive, royalty-bearing license to develop and commercialize, in the Licensed Territory, certain products based on our microbiome technology that are being developed for the treatment of CDI and IBD, including SER-109, SER-262, SER-287 and SER-301, or collectively, the Nestlé Collaboration Products. The License Agreement sets forth our and Nestlé’s respective obligations for development, commercialization, regulatory and manufacturing and supply activities for the Nestlé Collaboration Products with respect to the licensed fields and the Licensed Territory.</w:t>
      </w:r>
    </w:p>
    <w:p>
      <w:pPr>
        <w:spacing w:after="0" w:line="188"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color w:val="auto"/>
        </w:rPr>
        <w:t>In exchange for the license, Nestlé made an upfront cash payment to us of $120.0 million. Nestlé also agreed to pay us tiered royalties, at percentages ranging from the high single digits to high teens, of net sales of Nestlé Collaboration Products in the Licensed Territory. Under the License Agreement we are eligible to receive up to $285.0 million in development milestone payments, $375.0 million in regulatory payments and up to an aggregate of $1,125.0 million for the achievement of certain commercial milestones related to the sales of Nestlé Collaboration Products.</w:t>
      </w:r>
    </w:p>
    <w:p>
      <w:pPr>
        <w:spacing w:after="0" w:line="1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November 2018, we executed a letter agreement with Nestlé, or the Letter Agreement, modifying certain terms of the License Agreement. Under the Letter Agreement, Nestlé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received $80.0 million in development milestones under the License Agreement with Nestlé.</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AstraZeneca</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March 2019, we entered into a Research Collaboration and Option Agreement, or the Research Agreement, with MedImmune, LLC, a wholly owned subsidiary of AstraZeneca Inc., or AstraZeneca to conduct certain research and development activities with the goal of advancing the mechanistic understanding of the microbiome in augmenting the efficacy of cancer immunotherapy, including potential synergy with AstraZeneca compounds in accordance with a mutually agreed research plan. AstraZeneca bore all costs of conducting its activities under the Research Agreement and reimbursed us for certain of our costs incurred under the Research Agreement and paid us a total of $20.0 million in three equal installments, the first of which we received in April 2019, the second of which we received in December 2019 and third of which we received in January 2021.</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jc w:val="both"/>
        <w:ind w:right="220" w:firstLine="457"/>
        <w:spacing w:after="0" w:line="263" w:lineRule="auto"/>
        <w:rPr>
          <w:sz w:val="20"/>
          <w:szCs w:val="20"/>
          <w:color w:val="auto"/>
        </w:rPr>
      </w:pPr>
      <w:r>
        <w:rPr>
          <w:rFonts w:ascii="Arial" w:cs="Arial" w:eastAsia="Arial" w:hAnsi="Arial"/>
          <w:sz w:val="18"/>
          <w:szCs w:val="18"/>
          <w:color w:val="auto"/>
        </w:rPr>
        <w:t>In December 2020, we received written notice from AstraZeneca that they elected to terminate the Research Agreement by and in accordance with its terms. The termination of the Research Agreement will be effective on April 2, 2021 (the “Termination Date”), which is 120 days from the date of the termination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with Hercules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October 2019, we entered into a loan and security agreement with Hercules, pursuant to which a term loan in an aggregate principal amount of up to $50.0 million, or the Term Loan Facility, is available to us in three tranches. We received the first tranche of $25.0 million upon signing the agreement on October 29, 2019. We did not meet the milestone requirements for the second tranche under the Term Loan Facility, and as such, the additional amount up to $12.5 million is not available for us to borrow. The third tranche, which allows us to borrow an additional $12.5 million, will be available upon Hercules’ approval on or prior to June 30, 2021.</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4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1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19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92"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Our patent portfolio includes issued U.S. patents and patent applications in various stages of prosecution, including ex-U.S. international counterparts. We believe that issued claims will provide protection for our microbiome therapeutic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149" w:lineRule="exact"/>
        <w:rPr>
          <w:sz w:val="20"/>
          <w:szCs w:val="20"/>
          <w:color w:val="auto"/>
        </w:rPr>
      </w:pPr>
    </w:p>
    <w:p>
      <w:pPr>
        <w:ind w:right="360" w:firstLine="510"/>
        <w:spacing w:after="0" w:line="255" w:lineRule="auto"/>
        <w:rPr>
          <w:sz w:val="20"/>
          <w:szCs w:val="20"/>
          <w:color w:val="auto"/>
        </w:rPr>
      </w:pPr>
      <w:r>
        <w:rPr>
          <w:rFonts w:ascii="Arial" w:cs="Arial" w:eastAsia="Arial" w:hAnsi="Arial"/>
          <w:sz w:val="18"/>
          <w:szCs w:val="18"/>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line="296" w:lineRule="auto"/>
        <w:rPr>
          <w:sz w:val="20"/>
          <w:szCs w:val="20"/>
          <w:color w:val="auto"/>
        </w:rPr>
      </w:pPr>
      <w:r>
        <w:rPr>
          <w:rFonts w:ascii="Arial" w:cs="Arial" w:eastAsia="Arial" w:hAnsi="Arial"/>
          <w:sz w:val="16"/>
          <w:szCs w:val="16"/>
          <w:color w:val="auto"/>
        </w:rPr>
        <w:t>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6"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right="500" w:firstLine="510"/>
        <w:spacing w:after="0" w:line="308" w:lineRule="auto"/>
        <w:rPr>
          <w:sz w:val="20"/>
          <w:szCs w:val="20"/>
          <w:color w:val="auto"/>
        </w:rPr>
      </w:pPr>
      <w:r>
        <w:rPr>
          <w:rFonts w:ascii="Arial" w:cs="Arial" w:eastAsia="Arial" w:hAnsi="Arial"/>
          <w:sz w:val="17"/>
          <w:szCs w:val="17"/>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14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authorities of the countries in which we wish to conduct studies or seek approval for our product candidates. The process of obtaining regulatory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right="620"/>
        <w:spacing w:after="0" w:line="277" w:lineRule="auto"/>
        <w:rPr>
          <w:sz w:val="20"/>
          <w:szCs w:val="20"/>
          <w:color w:val="auto"/>
        </w:rPr>
      </w:pPr>
      <w:r>
        <w:rPr>
          <w:rFonts w:ascii="Arial" w:cs="Arial" w:eastAsia="Arial" w:hAnsi="Arial"/>
          <w:sz w:val="18"/>
          <w:szCs w:val="18"/>
          <w:color w:val="auto"/>
        </w:rPr>
        <w:t>approvals and ensuring subsequent compliance with appropriate federal, state, local and foreign statutes and regulations requires the expenditure of substantial time and financial resources.</w:t>
      </w:r>
    </w:p>
    <w:p>
      <w:pPr>
        <w:spacing w:after="0" w:line="170"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biologics license application, or BLA, and approval by the FDA before being marketed in the United States.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process required by the FDA before our biologic product candidates may be marketed in the United States generally involves the following:</w:t>
      </w:r>
    </w:p>
    <w:p>
      <w:pPr>
        <w:spacing w:after="0" w:line="140" w:lineRule="exact"/>
        <w:rPr>
          <w:sz w:val="20"/>
          <w:szCs w:val="20"/>
          <w:color w:val="auto"/>
        </w:rPr>
      </w:pPr>
    </w:p>
    <w:p>
      <w:pPr>
        <w:ind w:left="1000" w:right="4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or GLP, regulations;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United States may begin;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ethics committee at each clinical site before a trial is commenced;</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product candidate for each proposed indication, conducted in accordance with the FDA’s good clinical practice, or GCP, regulations;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preparation and submission to the FDA of a BLA after completion of all pivotal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determination by FDA within 60 days of its receipt of a BLA to file the application for review;</w:t>
      </w:r>
    </w:p>
    <w:p>
      <w:pPr>
        <w:spacing w:after="0" w:line="117" w:lineRule="exact"/>
        <w:rPr>
          <w:rFonts w:ascii="Arial" w:cs="Arial" w:eastAsia="Arial" w:hAnsi="Arial"/>
          <w:sz w:val="18"/>
          <w:szCs w:val="18"/>
          <w:color w:val="auto"/>
        </w:rPr>
      </w:pPr>
    </w:p>
    <w:p>
      <w:pPr>
        <w:ind w:left="1000" w:right="40" w:hanging="493"/>
        <w:spacing w:after="0" w:line="286"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regulations, and to assure that the facilities, methods and controls are adequate to preserve the biological product’s continued safety, purity and potency, and of selected clinical investigation sites to assess compliance with GCPs; and</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BLA prior to any commercial marketing, sale or shipment of the product.</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An IND is a request for authorization from the FDA to administer an investigational new drug to humans. An IND must become effective before human clinical trials may begin.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18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Clinical trials involve the administration of the product candidate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clinical trial and the parameters and criteria to be used in monitoring safety and evaluating effectiveness. Each protocol must be submitted to the FDA as part of the IND. An independent institutional review board, or IRB, for each investigator site proposing to participate in a clinical trial must also review and approve the clinical trial before it can begin at that site, and the IRB must monitor the clinical trial until it is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the IRB, or the sponsor may suspend or discontinue a clinical trial at any time on various grounds, including a finding that the subjects are being exposed to an unacceptable health risk. There are also requirements governing the reporting of ongoing clinical studies and clinical study results to public registries.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For purposes of BLA approval, clinical trials are typically conducted in three sequential phases, which may overlap or be combined.</w:t>
      </w:r>
    </w:p>
    <w:p>
      <w:pPr>
        <w:spacing w:after="0" w:line="117" w:lineRule="exact"/>
        <w:rPr>
          <w:sz w:val="20"/>
          <w:szCs w:val="20"/>
          <w:color w:val="auto"/>
        </w:rPr>
      </w:pPr>
    </w:p>
    <w:p>
      <w:pPr>
        <w:ind w:left="1000" w:hanging="493"/>
        <w:spacing w:after="0" w:line="286"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 The investigational product is initially introduced into healthy human subjects or patients with the target disease or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57" w:lineRule="exact"/>
        <w:rPr>
          <w:rFonts w:ascii="Arial" w:cs="Arial" w:eastAsia="Arial" w:hAnsi="Arial"/>
          <w:sz w:val="17"/>
          <w:szCs w:val="17"/>
          <w:color w:val="auto"/>
        </w:rPr>
      </w:pPr>
    </w:p>
    <w:p>
      <w:pPr>
        <w:ind w:left="1000" w:right="500" w:hanging="493"/>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 The investigational product is typically administered to a limited patient population with a specified disease or condition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preliminary efficacy, optimal dosages and dosing schedule and to identify possible adverse side effects and safety risks.</w:t>
      </w:r>
    </w:p>
    <w:p>
      <w:pPr>
        <w:spacing w:after="0" w:line="15" w:lineRule="exact"/>
        <w:rPr>
          <w:rFonts w:ascii="Arial" w:cs="Arial" w:eastAsia="Arial" w:hAnsi="Arial"/>
          <w:sz w:val="16"/>
          <w:szCs w:val="16"/>
          <w:color w:val="auto"/>
        </w:rPr>
      </w:pPr>
    </w:p>
    <w:p>
      <w:pPr>
        <w:ind w:left="1000" w:right="40" w:hanging="493"/>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24" w:lineRule="exact"/>
        <w:rPr>
          <w:sz w:val="20"/>
          <w:szCs w:val="20"/>
          <w:color w:val="auto"/>
        </w:rPr>
      </w:pPr>
    </w:p>
    <w:p>
      <w:pPr>
        <w:ind w:right="280" w:firstLine="51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FDA Review</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user fee unless a waiver is granted or exemption applies.</w:t>
      </w:r>
    </w:p>
    <w:p>
      <w:pPr>
        <w:spacing w:after="0" w:line="195"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 In this event, the BLA must be resubmitted with the additional information.</w:t>
      </w:r>
    </w:p>
    <w:p>
      <w:pPr>
        <w:spacing w:after="0" w:line="18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Once a BLA has been accepted for filing, the FDA’s goal is to review standard applications within ten months after the filing date, or, if the application qualifies for priority review, six months after the FDA accepts the application for filing,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also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164" w:lineRule="exact"/>
        <w:rPr>
          <w:sz w:val="20"/>
          <w:szCs w:val="20"/>
          <w:color w:val="auto"/>
        </w:rPr>
      </w:pPr>
    </w:p>
    <w:p>
      <w:pPr>
        <w:jc w:val="both"/>
        <w:ind w:right="80" w:firstLine="510"/>
        <w:spacing w:after="0" w:line="293" w:lineRule="auto"/>
        <w:rPr>
          <w:sz w:val="20"/>
          <w:szCs w:val="20"/>
          <w:color w:val="auto"/>
        </w:rPr>
      </w:pPr>
      <w:r>
        <w:rPr>
          <w:rFonts w:ascii="Arial" w:cs="Arial" w:eastAsia="Arial" w:hAnsi="Arial"/>
          <w:sz w:val="16"/>
          <w:szCs w:val="16"/>
          <w:color w:val="auto"/>
        </w:rPr>
        <w:t>Before approving a BLA, the FDA will inspect the facility or the facilities at which the biologic product is manufactured and will not approve the product unless it determines that the manufacturing processes and facilities are in compliance with cGMP and adequate to assure consistent production of the product within required specifications. Additionally, before approving a BLA, the FDA may inspect one or more clinical sites to assure that such trials were conducted in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or CRL. An approval letter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80"/>
        <w:spacing w:after="0" w:line="273" w:lineRule="auto"/>
        <w:rPr>
          <w:sz w:val="20"/>
          <w:szCs w:val="20"/>
          <w:color w:val="auto"/>
        </w:rPr>
      </w:pPr>
      <w:r>
        <w:rPr>
          <w:rFonts w:ascii="Arial" w:cs="Arial" w:eastAsia="Arial" w:hAnsi="Arial"/>
          <w:sz w:val="17"/>
          <w:szCs w:val="17"/>
          <w:color w:val="auto"/>
        </w:rPr>
        <w:t>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biologics designed to address unmet medical needs in the treatment of serious or life- threatening diseases or conditions. These programs include Fast Track designation, Breakthrough Therapy designation, Priority Review designation and Accelerated Approval, and the purpose of these programs is to expedite the development and review of qualifying product candidates.</w:t>
      </w:r>
    </w:p>
    <w:p>
      <w:pPr>
        <w:spacing w:after="0" w:line="18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A new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meaning that the agency may review portions of the marketing application before the sponsor submits the complete application, if the sponsor provides a schedule for the submission of the sections of the BLA, the FDA agrees to accept sections of the BLA and determines that the schedule is acceptable, and the sponsor pays any required user fees upon submission of the first section of the BLA. Product candidates receiving Fast Track status may also be eligible for Priority Review, if the relevant criteria are met.</w:t>
      </w:r>
    </w:p>
    <w:p>
      <w:pPr>
        <w:spacing w:after="0" w:line="19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a biologic product candidate may be eligible for Breakthrough Therapy designation if it is intended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Any product candidate submitted to the FDA for approval, including a product candidate with Fast Track or Breakthrough Therapy designation, may also be eligible for additional FDA programs intended to expedite the review process, including Priority Review designation and accelerated approval. A BLA is eligible for Priority Review if the product candidate has the potential to provide a significant improvement in safety or effectiveness in the treatment, diagnosis or prevention of a serious disease or condition. Additionally, product candidates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7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Fast Track designation, Breakthrough Therapy designation, Priority Review designation and Accelerated Approval do not change the standards for approval but may expedite the development or review process.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14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Any biologics manufactured or distributed pursuant to FDA approvals remain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manufacturers and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programs. Other potential consequences include, among other things:</w:t>
      </w:r>
    </w:p>
    <w:p>
      <w:pPr>
        <w:spacing w:after="0" w:line="80"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letters, untitled lets, or holds on clinical trials;</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Regulatory Exclusivity</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460"/>
        <w:spacing w:after="0" w:line="277" w:lineRule="auto"/>
        <w:rPr>
          <w:sz w:val="20"/>
          <w:szCs w:val="20"/>
          <w:color w:val="auto"/>
        </w:rPr>
      </w:pPr>
      <w:r>
        <w:rPr>
          <w:rFonts w:ascii="Arial" w:cs="Arial" w:eastAsia="Arial" w:hAnsi="Arial"/>
          <w:sz w:val="18"/>
          <w:szCs w:val="18"/>
          <w:color w:val="auto"/>
        </w:rPr>
        <w:t>structures of biological products, as well as the processes by which such products are manufactured, pose significant hurdles to implementation of the abbreviated approval pathway that are still being worked out by the FDA.</w:t>
      </w:r>
    </w:p>
    <w:p>
      <w:pPr>
        <w:spacing w:after="0" w:line="27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85"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92"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Further, if a designated orphan product receives marketing approval for an indication broader than the rare disease or condition for which it received orphan designation, it may not be entitled to orphan exclusivity.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Because biologically sourced raw materials are subject to unique contamination risks, their use may be restricted in some countries.</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Certain countries outside of the United States have a similar process that requires the submission of a clinical study application, or CTA, much like the IND prior to the commencement of human clinical studies. In the European Union, or EU, for example, a CTA must be submitted to each country’s national health authority and an independent ethics committee, much like the FDA and the IRB, respectively. Once the CTA is approved by the national health authority and the ethics committee has granted a positive opinion in relation to the conduct of the trial in the relevant member state(s), in accordance with a country’s requirements, clinical study development may proceed.</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ind w:right="1020"/>
        <w:spacing w:after="0" w:line="277" w:lineRule="auto"/>
        <w:rPr>
          <w:sz w:val="20"/>
          <w:szCs w:val="20"/>
          <w:color w:val="auto"/>
        </w:rPr>
      </w:pPr>
      <w:r>
        <w:rPr>
          <w:rFonts w:ascii="Arial" w:cs="Arial" w:eastAsia="Arial" w:hAnsi="Arial"/>
          <w:sz w:val="18"/>
          <w:szCs w:val="18"/>
          <w:color w:val="auto"/>
        </w:rPr>
        <w:t>representative. The sponsor must take out a clinical trial insurance policy, and in most EU countries, the sponsor is liable to provide ‘no fault’ compensation to any study subject injured in the clinical trial.</w:t>
      </w:r>
    </w:p>
    <w:p>
      <w:pPr>
        <w:spacing w:after="0" w:line="170"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Prior to commencing a clinical trial, the sponsor must obtain a clinical trial authorization from the competent authority, and a positive opinion from an independent ethics committee. The CTA must include, among other things, a copy of the trial protocol and an investigational medicinal product dossier containing information about the manufacture and quality of the medicinal product under investigation. Currently, CTAs must be submitted to the competent authority in each EU member state in which the trial will be conducted. Under the new Regulation on Clinical Trials, which is currently expected to take effect by early 2022, there will be a centralized application procedure where one national authority takes the lead in reviewing the application and the other national authorities have only limited involvement. Any substantial changes to the trial protocol or other information submitted with the CTA must be notified to or approved by the relevant competent authorities and ethics committees. Medicines used in clinical trials must be manufactured in accordance with GMP. Other national and European Union-wide regulatory requirements may also apply.</w:t>
      </w:r>
    </w:p>
    <w:p>
      <w:pPr>
        <w:spacing w:after="0" w:line="17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In the European Union, medicinal products can only be placed on the market after obtaining a Marketing Authorization, or MA. To obtain regulatory approval of an investigational biological product in the EU, we must submit a marketing authorization application, or MAA. The application used to file the BLA in the United States is similar to that required in the European Union, with the exception of, among other things, country-specific document requirements. The process for doing this depends, among other things, on the nature of the medicinal product.</w:t>
      </w:r>
    </w:p>
    <w:p>
      <w:pPr>
        <w:spacing w:after="0" w:line="27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Centralized procedure</w:t>
      </w:r>
      <w:r>
        <w:rPr>
          <w:rFonts w:ascii="Arial" w:cs="Arial" w:eastAsia="Arial" w:hAnsi="Arial"/>
          <w:sz w:val="16"/>
          <w:szCs w:val="16"/>
          <w:color w:val="auto"/>
        </w:rPr>
        <w:t>—Under the centralized procedure, following the opining of the EMA’s Committee for Medicinal Products for Human Use,</w:t>
      </w:r>
      <w:r>
        <w:rPr>
          <w:rFonts w:ascii="Arial" w:cs="Arial" w:eastAsia="Arial" w:hAnsi="Arial"/>
          <w:sz w:val="16"/>
          <w:szCs w:val="16"/>
          <w:i w:val="1"/>
          <w:iCs w:val="1"/>
          <w:color w:val="auto"/>
        </w:rPr>
        <w:t xml:space="preserve"> </w:t>
      </w:r>
      <w:r>
        <w:rPr>
          <w:rFonts w:ascii="Arial" w:cs="Arial" w:eastAsia="Arial" w:hAnsi="Arial"/>
          <w:sz w:val="16"/>
          <w:szCs w:val="16"/>
          <w:color w:val="auto"/>
        </w:rPr>
        <w:t>or, CHMP, the European Commission issues a single marketing authorization valid across the entire territory of the EU. The centralized procedure is compulsory for human medicines derived from biotechnology processes, such as genetic engineering,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an MAA by the EMA is 210 days, excluding clock stops, when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(excluding clock stops), when a medicinal product targets an unmet medical need and is expected to be of a major public health interest, particularly from the point of view of therapeutic innovation. The timeframe for the evaluation of an MAA under the accelerated assessment procedure is 150 days, excluding clock stops.</w:t>
      </w:r>
    </w:p>
    <w:p>
      <w:pPr>
        <w:spacing w:after="0" w:line="17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medicinal products in several countries,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products that fall outside the scope of the centralized procedure:</w:t>
      </w:r>
    </w:p>
    <w:p>
      <w:pPr>
        <w:spacing w:after="0" w:line="62" w:lineRule="exact"/>
        <w:rPr>
          <w:sz w:val="20"/>
          <w:szCs w:val="20"/>
          <w:color w:val="auto"/>
        </w:rPr>
      </w:pPr>
    </w:p>
    <w:p>
      <w:pPr>
        <w:ind w:left="1000" w:right="60" w:hanging="493"/>
        <w:spacing w:after="0" w:line="275"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Decentralized procedure</w:t>
      </w:r>
      <w:r>
        <w:rPr>
          <w:rFonts w:ascii="Arial" w:cs="Arial" w:eastAsia="Arial" w:hAnsi="Arial"/>
          <w:sz w:val="17"/>
          <w:szCs w:val="17"/>
          <w:color w:val="auto"/>
        </w:rPr>
        <w:t>. Using the decentralized procedure, an applicant may apply for simultaneous authorizations in more than one EU</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states of medicinal products that have not yet been authorized in any EU member states and that do not fall within the mandatory scope of the centralized procedure. Under the decentralized procedure an identical dossier is submitted to the national competent authority of each of the member states in which the MA is sought, one of which is selected by the applicant as the Reference Member State. National MAs will be issued by competent authorities of the EU member states for their respective territory.</w:t>
      </w:r>
    </w:p>
    <w:p>
      <w:pPr>
        <w:spacing w:after="0" w:line="68" w:lineRule="exact"/>
        <w:rPr>
          <w:rFonts w:ascii="Arial" w:cs="Arial" w:eastAsia="Arial" w:hAnsi="Arial"/>
          <w:sz w:val="17"/>
          <w:szCs w:val="17"/>
          <w:color w:val="auto"/>
        </w:rPr>
      </w:pPr>
    </w:p>
    <w:p>
      <w:pPr>
        <w:ind w:left="1000" w:hanging="493"/>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Mutual recognition procedure</w:t>
      </w:r>
      <w:r>
        <w:rPr>
          <w:rFonts w:ascii="Arial" w:cs="Arial" w:eastAsia="Arial" w:hAnsi="Arial"/>
          <w:sz w:val="17"/>
          <w:szCs w:val="17"/>
          <w:color w:val="auto"/>
        </w:rPr>
        <w:t>. In the mutual recognition procedure, a medicine is first authorized in one EU member state,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national procedures of that country. Following this, further marketing authorizations can be sought from other EU member states in a procedure whereby the countries concerned recognize the validity of the original national marketing authorization.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jc w:val="both"/>
        <w:ind w:right="40" w:firstLine="510"/>
        <w:spacing w:after="0" w:line="263"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Marketing Exclusivity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the EU, upon receiving a MA, new chemical entities (</w:t>
      </w:r>
      <w:r>
        <w:rPr>
          <w:rFonts w:ascii="Arial" w:cs="Arial" w:eastAsia="Arial" w:hAnsi="Arial"/>
          <w:sz w:val="17"/>
          <w:szCs w:val="17"/>
          <w:i w:val="1"/>
          <w:iCs w:val="1"/>
          <w:color w:val="auto"/>
        </w:rPr>
        <w:t>i.e.</w:t>
      </w:r>
      <w:r>
        <w:rPr>
          <w:rFonts w:ascii="Arial" w:cs="Arial" w:eastAsia="Arial" w:hAnsi="Arial"/>
          <w:sz w:val="17"/>
          <w:szCs w:val="17"/>
          <w:color w:val="auto"/>
        </w:rPr>
        <w:t>, reference products) generally receive eight years of data exclusivity and an additional two years of market exclusivity. If granted,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the market exclusivity period a generic marketing authorization can be submitted, and the innovator’s data may be referenced but no generic or biosimilar can be marketed in the EU until ten years have elapsed from the initial authorization of the reference product in the EU. The overall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chemical entity, and products may not qualify for data exclusivity.</w:t>
      </w:r>
    </w:p>
    <w:p>
      <w:pPr>
        <w:spacing w:after="0" w:line="18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European Union. However, guidance from the EMA states that they will be considered in the future in light of the scientific knowledge and regulatory experience gained at the time.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Medicinal Products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criteria for designating an “orphan medicinal product” in the European Union are similar in principle to those in the United States.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and are, upon grant of a MA,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An orphan medicinal product can also obtain an additional two years of market exclusivity in the EU for pediatric studies.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79"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the European Union,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ind w:right="400"/>
        <w:spacing w:after="0" w:line="277" w:lineRule="auto"/>
        <w:rPr>
          <w:sz w:val="20"/>
          <w:szCs w:val="20"/>
          <w:color w:val="auto"/>
        </w:rPr>
      </w:pPr>
      <w:r>
        <w:rPr>
          <w:rFonts w:ascii="Arial" w:cs="Arial" w:eastAsia="Arial" w:hAnsi="Arial"/>
          <w:sz w:val="18"/>
          <w:szCs w:val="18"/>
          <w:color w:val="auto"/>
        </w:rPr>
        <w:t>supplementary protection certificate extension (if any is in effect at the time of approval) or, in the case of orphan pharmaceutical products, a two year extension of the orphan market exclusivity is granted.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5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71"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Failure to comply with EU and member state laws that apply to the conduct of clinical trials, manufacturing approval, marketing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aforementioned EU rules are generally applicable in the EEA (comprised of the 27 EU member states plus Iceland, Liechtenstein and Norway).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to FDA restrictions on marketing of pharmaceutical and biological products, other healthcare regulatory laws restrict business practices in the biotechnology industry, which include, but are not limited to, anti-kickback, false claims, and transparency laws regarding drug pricing and payments and other transfers of value made to physicians and other healthcare providers.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Further, a person or entity does not need to have actual knowledge of the statute or specific intent to violate it to have committed a violation. Many states have similar laws that apply to their state healthcare programs as well as private payors.</w:t>
      </w:r>
    </w:p>
    <w:p>
      <w:pPr>
        <w:spacing w:after="0" w:line="16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In addition, the government may assert that a claim including items or services resulting from a violation of the Anti-Kickback Statute constitutes a false or fraudulent claim for purposes of the False Claims Act. Actions under the FCA may be brought by the Attorney General or as a qui tam action by a private individual in the name of the government. The federal government is using the FCA, and the accompanying threat of significant liability, in its investigation and prosecution of pharmaceutical and biotechnology companies throughout the country, and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ind w:right="20" w:firstLine="510"/>
        <w:spacing w:after="0" w:line="293"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4" w:lineRule="exact"/>
        <w:rPr>
          <w:sz w:val="20"/>
          <w:szCs w:val="20"/>
          <w:color w:val="auto"/>
        </w:rPr>
      </w:pPr>
    </w:p>
    <w:p>
      <w:pPr>
        <w:ind w:right="260" w:firstLine="510"/>
        <w:spacing w:after="0" w:line="270" w:lineRule="auto"/>
        <w:rPr>
          <w:sz w:val="20"/>
          <w:szCs w:val="20"/>
          <w:color w:val="auto"/>
        </w:rPr>
      </w:pPr>
      <w:r>
        <w:rPr>
          <w:rFonts w:ascii="Arial" w:cs="Arial" w:eastAsia="Arial" w:hAnsi="Arial"/>
          <w:sz w:val="17"/>
          <w:szCs w:val="17"/>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and teaching hospitals, as well as ownership and investment interests held by physicians (defined to include doctors, dentists, optometrists, podiatrists and chiropractors), certain other healthcare professionals beginning in 2022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181" w:lineRule="exact"/>
        <w:rPr>
          <w:sz w:val="20"/>
          <w:szCs w:val="20"/>
          <w:color w:val="auto"/>
        </w:rPr>
      </w:pPr>
    </w:p>
    <w:p>
      <w:pPr>
        <w:jc w:val="both"/>
        <w:ind w:right="640" w:firstLine="510"/>
        <w:spacing w:after="0" w:line="311" w:lineRule="auto"/>
        <w:rPr>
          <w:sz w:val="20"/>
          <w:szCs w:val="20"/>
          <w:color w:val="auto"/>
        </w:rPr>
      </w:pPr>
      <w:r>
        <w:rPr>
          <w:rFonts w:ascii="Arial" w:cs="Arial" w:eastAsia="Arial" w:hAnsi="Arial"/>
          <w:sz w:val="16"/>
          <w:szCs w:val="16"/>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9"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Violations of any of such laws or any other governmental regulations that apply to drug manufacturers may result in significant penalties, including, without limitation, administrative, civil and criminal penalties, damages, fines, disgorgement, the curtailment or restructuring of operations, exclusion from participation in federal and state healthcare programs, reporting obligations and integrity oversight, and imprisonment.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166"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5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18"/>
          <w:szCs w:val="18"/>
          <w:color w:val="auto"/>
        </w:rPr>
        <w:t>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18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62" w:lineRule="exact"/>
        <w:rPr>
          <w:sz w:val="20"/>
          <w:szCs w:val="20"/>
          <w:color w:val="auto"/>
        </w:rPr>
      </w:pPr>
    </w:p>
    <w:p>
      <w:pPr>
        <w:jc w:val="both"/>
        <w:ind w:left="1000" w:right="18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5" w:lineRule="exact"/>
        <w:rPr>
          <w:rFonts w:ascii="Arial" w:cs="Arial" w:eastAsia="Arial" w:hAnsi="Arial"/>
          <w:sz w:val="18"/>
          <w:szCs w:val="18"/>
          <w:color w:val="auto"/>
        </w:rPr>
      </w:pPr>
    </w:p>
    <w:p>
      <w:pPr>
        <w:jc w:val="both"/>
        <w:ind w:left="1000" w:right="4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75" w:lineRule="exact"/>
        <w:rPr>
          <w:rFonts w:ascii="Arial" w:cs="Arial" w:eastAsia="Arial" w:hAnsi="Arial"/>
          <w:sz w:val="18"/>
          <w:szCs w:val="18"/>
          <w:color w:val="auto"/>
        </w:rPr>
      </w:pPr>
    </w:p>
    <w:p>
      <w:pPr>
        <w:ind w:left="1000" w:right="20" w:hanging="493"/>
        <w:spacing w:after="0" w:line="301"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49" w:lineRule="exact"/>
        <w:rPr>
          <w:rFonts w:ascii="Arial" w:cs="Arial" w:eastAsia="Arial" w:hAnsi="Arial"/>
          <w:sz w:val="16"/>
          <w:szCs w:val="16"/>
          <w:color w:val="auto"/>
        </w:rPr>
      </w:pPr>
    </w:p>
    <w:p>
      <w:pPr>
        <w:ind w:left="1000" w:right="18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w:t>
      </w:r>
    </w:p>
    <w:p>
      <w:pPr>
        <w:spacing w:after="0" w:line="184"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There have been judicial, executive and Congressional challenges to certain aspects of the ACA, as well as efforts to repeal or replace certain aspects of the ACA. For example, the Tax Cuts and Jobs Act was enacted, which, among other things, removes the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how the Supreme Court will rule. It is also unclear how other efforts, if any, to challenge, repeal or replace the ACA will impact the ACA or our business.</w:t>
      </w:r>
    </w:p>
    <w:p>
      <w:pPr>
        <w:spacing w:after="0" w:line="16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For example, the Budget Control Act of 2011, enacted in August 2011, among other things, included reductions of Medicare payments to providers of 2% per fiscal year, which went into effect in April 2013 and, due to subsequent legislative amendments, will remain in effect through 2030, with the exception of a temporary suspension from May 1, 2020 through March 31, 2021,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or state level could further limit reimbursement for pharmaceuticals, including our product candidates if approved.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may also be subject to U.S. federal and state and foreign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4"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addition, certain state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In addition,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220" w:firstLine="510"/>
        <w:spacing w:after="0" w:line="290" w:lineRule="auto"/>
        <w:rPr>
          <w:sz w:val="20"/>
          <w:szCs w:val="20"/>
          <w:color w:val="auto"/>
        </w:rPr>
      </w:pPr>
      <w:r>
        <w:rPr>
          <w:rFonts w:ascii="Arial" w:cs="Arial" w:eastAsia="Arial" w:hAnsi="Arial"/>
          <w:sz w:val="16"/>
          <w:szCs w:val="16"/>
          <w:color w:val="auto"/>
        </w:rPr>
        <w:t>As of December 31, 2020, we had 155 full-time permanent employees. 25 employees work in administration and operations and 130 work in research and development. A portion of our personnel costs are reimbursable under our grant from CARB-X. None of our employees in the U.S. are represented by a labor union or covered by collective bargaining agreements, and we believe our relationship with our employees is good. During 2020, we enhanced our capabilities by adding 55 new full-time employees. The new employees were hired to support a variety of functions and key initiatives, including extending our research, clinical and pre-clinical pipeline development, as well as our medical affairs, manufacturing and commercialization capabilities, with hires in commercial, clinical development and operations, research, medical affairs, manufacturing, and general and administrative functions. We expect to continue to add additional employees in 2021, with a focus on further enhancing our capabilities and increasing our capacities in these areas, as well as expanding our geographic reach as we continue our focus on gaining FDA approval for SER-109 for recurrent CDI.</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 and Development</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consider the intellectual capital, skills and experience of our employees to be an essential driver of our business and key to our future prospects. We face intense competition for qualified individuals from numerous pharmaceutical and biotechnology companies, universities, governmental entities and other research institutions, and we believe that our future success will depend in large part on our continued ability to attract and retain highly skilled employees. To attract qualified applicants to our company and retain our employees, we offer a total rewards package consisting of base salary and cash target bonus targeting the 50</w:t>
      </w:r>
      <w:r>
        <w:rPr>
          <w:rFonts w:ascii="Arial" w:cs="Arial" w:eastAsia="Arial" w:hAnsi="Arial"/>
          <w:sz w:val="13"/>
          <w:szCs w:val="13"/>
          <w:color w:val="auto"/>
        </w:rPr>
        <w:t>th</w:t>
      </w:r>
      <w:r>
        <w:rPr>
          <w:rFonts w:ascii="Arial" w:cs="Arial" w:eastAsia="Arial" w:hAnsi="Arial"/>
          <w:sz w:val="16"/>
          <w:szCs w:val="16"/>
          <w:color w:val="auto"/>
        </w:rPr>
        <w:t xml:space="preserve"> to 75</w:t>
      </w:r>
      <w:r>
        <w:rPr>
          <w:rFonts w:ascii="Arial" w:cs="Arial" w:eastAsia="Arial" w:hAnsi="Arial"/>
          <w:sz w:val="13"/>
          <w:szCs w:val="13"/>
          <w:color w:val="auto"/>
        </w:rPr>
        <w:t>th</w:t>
      </w:r>
      <w:r>
        <w:rPr>
          <w:rFonts w:ascii="Arial" w:cs="Arial" w:eastAsia="Arial" w:hAnsi="Arial"/>
          <w:sz w:val="16"/>
          <w:szCs w:val="16"/>
          <w:color w:val="auto"/>
        </w:rPr>
        <w:t xml:space="preserve"> percentile of the market based on geography, a comprehensive benefit package and equity compensation for every employee. Annual cash bonus opportunity and equity compensation increase as a percentage of total compensation based on level of responsibility. Any actual bonus payout is based on a combination of individual performance and corporate performance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Diversity, Inclusion, and Belonging</w:t>
      </w:r>
    </w:p>
    <w:p>
      <w:pPr>
        <w:spacing w:after="0" w:line="117"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As a microbiome therapeutics company developing a novel class of live biotherapeutic drugs, we believe that our long-term success and ability to deliver innovative, safe and effective medicines to patients requires a diverse and inclusive workforce. We value diversity at all levels of the organization and continue to focus on extending our diversity, equity and inclusion initiatives across our entire workforce, from: working with managers to develop strategies for building diverse, high performing teams; to ensuring that we attract, develop and retain diverse talent from all backgrounds; to increasing awareness within our company of unconscious biases, and supporting affinity groups comprised of individuals who are underrepresented in our company, industry or society, such as women, members of the LGBTQ community and people of color. In addition, 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diversity, equity and inclusion,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are operating at a unique time, as we face a serious public safety crisis because of the COVID-19 virus. We remain focused on continuing to serve clinical trial patients, as well as protecting the health and safety of our employees and the communities in which we live and work. In early March 2020, we activated a task force designed to assess, mitigate and manage the risks related to COVID-19 to avoid or minimize business disruption, including safeguarding of our facilities, and to ensure the safety and sense of security for our staff. In early March 2020, we closed all sites to non-essential employees, and we have suspended all non-essential travel indefinitely. We continue to keep all our sites closed to non-essential employees and encourage remote working arrangements for employees. Office sites are being reconfigured to maintain physical distancing and we expect to adopt and implement additional precautions commensurate with any expansion of employees returning to worksites. To date, our remote working arrangements have not significantly affected our ability to maintain critical business operations.</w:t>
      </w:r>
    </w:p>
    <w:p>
      <w:pPr>
        <w:spacing w:after="0" w:line="28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Arial" w:cs="Arial" w:eastAsia="Arial" w:hAnsi="Arial"/>
          <w:sz w:val="17"/>
          <w:szCs w:val="17"/>
          <w:i w:val="1"/>
          <w:iCs w:val="1"/>
          <w:color w:val="auto"/>
        </w:rPr>
        <w:t>www.serestherapeutics.com</w:t>
      </w:r>
      <w:r>
        <w:rPr>
          <w:rFonts w:ascii="Arial" w:cs="Arial" w:eastAsia="Arial" w:hAnsi="Arial"/>
          <w:sz w:val="17"/>
          <w:szCs w:val="17"/>
          <w:color w:val="auto"/>
        </w:rPr>
        <w:t>. The information contained in, or accessible through, our website does not constitute a part of this Annual Report on Form 10-K.</w:t>
      </w:r>
    </w:p>
    <w:p>
      <w:pPr>
        <w:spacing w:after="0" w:line="17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or the Exchange Act, and, accordingly, file reports, proxy statements and other information with the Securities and Exchange Commission. The Securities and Exchange Commission maintains a web site (http://www.sec.gov) that contains material regarding issuers that file electronically, such as ourselves, with the Securities and Exchange Commission.</w:t>
      </w:r>
    </w:p>
    <w:p>
      <w:pPr>
        <w:spacing w:after="0" w:line="14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Annual Report on Form 10-K, including our consolidated financial statements and the related notes and “Management’s Discussion and Analysis of Results of Operations and Financial Condition.” The occurrence of any of the events or developments described below or elsewhere in this report could harm our business, financial condition, results of operations or growth prospects.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Since inception, we have incurred significant operating losses. Our net loss was $89.1 million for the year ended December 31, 2020, $70.3 million for the year ended December 31, 2019, and $98.9 million for the year ended December 31, 2018. As of December 31, 2020, we had an accumulated deficit of $548.8 million. To date, we have financed our operations through the public offerings of our common stock, private placements of our common stock and preferred stock, payments under our collaboration agreements, and loan facility. We have devoted substantially all of our financial resources and efforts to developing our microbiome therapeutics platform, identifying potential product candidates and conducting preclinical studies and clinical trials. We have not completed development of any of our product candidates, which we call microbiome therapeutic candidates, or other drugs or biologics. We expect to continue to incur significant expenses and operating losses for the foreseeable future. We anticipate that our expenses may increase substantially as we:</w:t>
      </w:r>
    </w:p>
    <w:p>
      <w:pPr>
        <w:spacing w:after="0" w:line="58"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complete the clinical development and prepare for potential commercialization of SER-109, if approved for patients with recurrent CDI;</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SER-287 in our Phase 2b clinical trial for the treatment of UC;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SER-301 for treatment of recurrent UC;</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research and initiate clinical development of SER-155 for the prevention of mortality due to GvHD in immunocompromised patients receiving allo-HSCT;</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SER-401 in our Phase 1b clinical trial for use with checkpoint inhibitors in patients with metastatic melanoma;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strategic investments in our research discovery and development platforms and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in the preliminary stages of many of these activities. We may never succeed in these activities and, even if we do, may never generate revenue that is significant enough to achieve profitability.</w:t>
      </w:r>
    </w:p>
    <w:p>
      <w:pPr>
        <w:spacing w:after="0" w:line="176"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ind w:right="80"/>
        <w:spacing w:after="0" w:line="375"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expenses may increase in connection with our ongoing activities, particularly as we continue the clinical development of SER-109, continue the clinical development of SER-287, including conducting the Phase 2b clinical study, continue clinical studies of SER-301 and SER-401, and continue to research, develop and initiate clinical trials of SER-155 and our other product candidates. In addition, if we obtain regulatory approval for any of our product candidates, we expect to incur significant commercialization expenses related to product manufacturing, marketing, sales and distribution. Furthermore, we have incurred and expect to continue to incur additional costs associated with operating as a public company, including as a result of no longer qualifying as an “emerging growth company” as defined in the Jumpstart Our Business Startups Act of 2012, or the JOBS Act.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65"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We expect that our cash, cash equivalents and investments as of December 31, 2020 will be sufficient to fund our operating expenses, debt service obligations and capital expenditure requirements for at least the next 12-months from the issuance of our consolidated financial statements included elsewhere in this Annual Report on Form 10-K. In addition, the specifics of existing and future clinical trial activities could impact capital requirements and cash projections. We have based this estimate on assumptions that may prove to be wrong, and we could use our capital resources sooner than we currently expect. Our future capital requirements will depend on many factors, including:</w:t>
      </w:r>
    </w:p>
    <w:p>
      <w:pPr>
        <w:spacing w:after="0" w:line="68"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clinical supplies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2"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We have not yet demonstrated our ability to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6" w:name="page37"/>
    <w:bookmarkEnd w:id="36"/>
    <w:p>
      <w:pPr>
        <w:ind w:right="440"/>
        <w:spacing w:after="0" w:line="277" w:lineRule="auto"/>
        <w:rPr>
          <w:sz w:val="20"/>
          <w:szCs w:val="20"/>
          <w:color w:val="auto"/>
        </w:rPr>
      </w:pPr>
      <w:r>
        <w:rPr>
          <w:rFonts w:ascii="Arial" w:cs="Arial" w:eastAsia="Arial" w:hAnsi="Arial"/>
          <w:sz w:val="18"/>
          <w:szCs w:val="18"/>
          <w:color w:val="auto"/>
        </w:rPr>
        <w:t>control. Consequently, any predictions made about our future success or viability may not be as accurate as they could be if we had a longer operating history.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Other than SER-109 and SER-287, we are early in our development efforts and may not be successful in our efforts to use our microbiome therapeutics platform to build a pipeline of product candidates and develop marketable drugs.</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are using our microbiome therapeutics platform to develop microbiome therapeutic candidates. We are at an early stage of development and our platform has not yet, and may never, lead to approvable or marketable drugs. We are developing additional product candidates that we intend to be used to prevent infection and treat diseases where the microbiome is implicated. We may have problems applying our technologies to these areas, and our product candidates may not be effective in preventing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our own, commercial manufacturing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entering into new collaborations throughout the development process as appropriate, from preclinical studies through to commercialization;</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products and technology.</w:t>
      </w:r>
    </w:p>
    <w:p>
      <w:pPr>
        <w:spacing w:after="0" w:line="24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If we do not successfully develop and commercialize product candidates we will not be able to obtain product revenue in future periods, which likely would result in significant harm to our financial position and adversely affect our stock price.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based on microbiome therapeutics, which is an unproven approach to therapeutic intervention.</w:t>
      </w:r>
    </w:p>
    <w:p>
      <w:pPr>
        <w:spacing w:after="0" w:line="117"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All of our product candidates are based on microbiome therapeutics, a novel potential class of live biotherapeutic drug candidates, which are consortia of microbes designed to treat or prevent disease by modulating the microbiome through key compositional and functional changes relevant to disease outcomes. We have not, nor to our knowledge has any other company, received regulatory approval for, or manufactured on a commercial scale, a therapeutic based on this approach. We cannot be certain that our approach will lead to the development of approvable or marketable products or that we will be able to manufacture at commercial scale, if approved. In addition, our microbiome therapeutic candidates may have different effectiveness rates in various indications and in different geographical areas. Finally, the FDA or other regulatory authorities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w:t>
      </w:r>
    </w:p>
    <w:p>
      <w:pPr>
        <w:spacing w:after="0" w:line="17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7"/>
          <w:szCs w:val="17"/>
          <w:color w:val="auto"/>
        </w:rPr>
        <w:t>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our product candidates.</w:t>
      </w:r>
    </w:p>
    <w:p>
      <w:pPr>
        <w:spacing w:after="0" w:line="2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6"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18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In addition, we cannot be certain as to what type and how many clinical trials the FDA, or other regulatory authorities, will require us to conduct before we may successfully gain approval to market any of our other product candidates. Prior to approving a new therapeutic product, the FDA (or other regulatory authorities)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17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or continuation of clinical trials;</w:t>
      </w:r>
    </w:p>
    <w:p>
      <w:pPr>
        <w:spacing w:after="0" w:line="140"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or institutional review boards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failures or delays in reaching agreement on acceptable clinical trial contracts or clinical trial protocols with prospective trial sites;</w:t>
      </w:r>
    </w:p>
    <w:p>
      <w:pPr>
        <w:spacing w:after="0" w:line="117" w:lineRule="exact"/>
        <w:rPr>
          <w:rFonts w:ascii="Arial" w:cs="Arial" w:eastAsia="Arial" w:hAnsi="Arial"/>
          <w:sz w:val="18"/>
          <w:szCs w:val="18"/>
          <w:color w:val="auto"/>
        </w:rPr>
      </w:pPr>
    </w:p>
    <w:p>
      <w:pPr>
        <w:ind w:left="1000" w:right="32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38" w:lineRule="exact"/>
        <w:rPr>
          <w:rFonts w:ascii="Arial" w:cs="Arial" w:eastAsia="Arial" w:hAnsi="Arial"/>
          <w:sz w:val="17"/>
          <w:szCs w:val="17"/>
          <w:color w:val="auto"/>
        </w:rPr>
      </w:pPr>
    </w:p>
    <w:p>
      <w:pPr>
        <w:ind w:left="1000" w:right="2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00" w:right="1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000" w:right="40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1000" w:right="2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lose the support of current or any future collaborators, requiring us to bear more of the burden of development of certain compounds;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 or desire;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For example, in March 2020, as a result of the COVID-19 pandemic, we halted further enrollment of the recently completed ECOSPOR III trial with 182 patients enrolled. Following receipt of the Phase 3 top-line data from ECOSPOR III, the FDA reaffirmed its prior position that at least 300 patients will be required for the safety database for SER-109, and we are now actively enrolling patients in our SER-109 open-label study to expand the safety database to meet this threshold. We may also be required to treat more patients with SER-109 than we currently expect before we are are able to generate a safety database sufficient to allow us to seek approval of SER-109. Additional clinical trials or changes in our development plans could cause us to incur significant development costs, delay or prevent the commercialization of SER-109 or otherwise adversely affect our business. In addition, prolonged disruptions caused by the COVID-19 pandemic could severely impact our preclinical studies and clinical trials, including by causing further difficulties or delays in initiating, enrolling, conducting, or completing our planned and ongoing clinical trials. See “—Risks Related to Our Operations— The COVID-19 pandemic caused by the novel strain of coronavirus has adversely impacted and could continue to adversely impact, our business, including our preclinical studies and clinical trials, results of operations and financial condition.”</w:t>
      </w:r>
    </w:p>
    <w:p>
      <w:pPr>
        <w:spacing w:after="0" w:line="18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62"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 including the use of unapproved fecal microbiota transplant, or FMT, for CDI;</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 or perceived burden, of the clinical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103"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3"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21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28"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680"/>
        <w:spacing w:after="0" w:line="342"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w:t>
      </w:r>
    </w:p>
    <w:p>
      <w:pPr>
        <w:spacing w:after="0" w:line="16"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2" w:lineRule="exact"/>
        <w:rPr>
          <w:sz w:val="20"/>
          <w:szCs w:val="20"/>
          <w:color w:val="auto"/>
        </w:rPr>
      </w:pPr>
    </w:p>
    <w:p>
      <w:pPr>
        <w:ind w:right="80" w:firstLine="510"/>
        <w:spacing w:after="0" w:line="283" w:lineRule="auto"/>
        <w:rPr>
          <w:sz w:val="20"/>
          <w:szCs w:val="20"/>
          <w:color w:val="auto"/>
        </w:rPr>
      </w:pPr>
      <w:r>
        <w:rPr>
          <w:rFonts w:ascii="Arial" w:cs="Arial" w:eastAsia="Arial" w:hAnsi="Arial"/>
          <w:sz w:val="16"/>
          <w:szCs w:val="16"/>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microbiome 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There may also be interruptions or delays in the operations of the FDA or other foreign regulatory authorities due to the COVID-19 pandemic, which may impact approval</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timelines. Regulatory authorities have substantial discretion in the approval process and may refuse to accept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19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filing a marketing application.</w:t>
      </w:r>
    </w:p>
    <w:p>
      <w:pPr>
        <w:spacing w:after="0" w:line="17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19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microbiome therapeutic candidates.</w:t>
      </w:r>
    </w:p>
    <w:p>
      <w:pPr>
        <w:spacing w:after="0" w:line="184"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17" w:lineRule="exact"/>
        <w:rPr>
          <w:sz w:val="20"/>
          <w:szCs w:val="20"/>
          <w:color w:val="auto"/>
        </w:rPr>
      </w:pPr>
    </w:p>
    <w:p>
      <w:pPr>
        <w:ind w:right="280" w:firstLine="510"/>
        <w:spacing w:after="0" w:line="289" w:lineRule="auto"/>
        <w:rPr>
          <w:sz w:val="20"/>
          <w:szCs w:val="20"/>
          <w:color w:val="auto"/>
        </w:rPr>
      </w:pPr>
      <w:r>
        <w:rPr>
          <w:rFonts w:ascii="Arial" w:cs="Arial" w:eastAsia="Arial" w:hAnsi="Arial"/>
          <w:sz w:val="16"/>
          <w:szCs w:val="16"/>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SER-287 received Fast Track designation from the FDA for the induction and maintenance of clinical remission in adults with mild-to-moderate UC. Fast Track designation provides increased opportunities for sponsor meetings with the FDA during preclinical and clinical development, in addition to the potential for rolling review of a BLA for such product candidate. 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27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38"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have received Breakthrough Therapy designation for SER-109 for treatment of CDI,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orphan drug designation for some of our product candidates but may not be able to obtain it.</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have obtained orphan drug designation from the FDA for SER-109 for recurrent CDI and SER-287 for pediatric ulcerative colitis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181"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addition,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Europe. The European exclusivity period can be reduced to six years if, at the end of the fifth year, it is established that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w:t>
      </w:r>
    </w:p>
    <w:p>
      <w:pPr>
        <w:spacing w:after="0" w:line="168"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40"/>
        <w:spacing w:after="0" w:line="259" w:lineRule="auto"/>
        <w:rPr>
          <w:sz w:val="20"/>
          <w:szCs w:val="20"/>
          <w:color w:val="auto"/>
        </w:rPr>
      </w:pPr>
      <w:r>
        <w:rPr>
          <w:rFonts w:ascii="Arial" w:cs="Arial" w:eastAsia="Arial" w:hAnsi="Arial"/>
          <w:sz w:val="18"/>
          <w:szCs w:val="18"/>
          <w:color w:val="auto"/>
        </w:rPr>
        <w:t>different drugs and biologics can be approved for the same condition. Even after an orphan drug or biologic is approved, the FDA can subsequently approve the same drug or biologic for the same condition if the FDA concludes that the later drug is clinically superior in that it is shown to be safer, more effective or makes a major contribution to patient care. Orphan drug designation neither shortens the development time or regulatory review time nor gives the drug any advantage in the regulatory review or approval process.</w:t>
      </w:r>
    </w:p>
    <w:p>
      <w:pPr>
        <w:spacing w:after="0" w:line="2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may also slow the time necessary for new drugs and biologics to be reviewed and/or approved by necessary regulatory authorities,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w:t>
      </w:r>
    </w:p>
    <w:p>
      <w:pPr>
        <w:spacing w:after="0" w:line="178"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Separately, in response to the global pandemic of COVID-19,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7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Collaboration and License Agreement, or the License Agreement, with Société des Produits Nestlé S.A</w:t>
      </w:r>
      <w:r>
        <w:rPr>
          <w:rFonts w:ascii="Arial" w:cs="Arial" w:eastAsia="Arial" w:hAnsi="Arial"/>
          <w:sz w:val="18"/>
          <w:szCs w:val="18"/>
          <w:color w:val="auto"/>
        </w:rPr>
        <w:t>.</w:t>
      </w:r>
      <w:r>
        <w:rPr>
          <w:rFonts w:ascii="Arial" w:cs="Arial" w:eastAsia="Arial" w:hAnsi="Arial"/>
          <w:sz w:val="18"/>
          <w:szCs w:val="18"/>
          <w:b w:val="1"/>
          <w:bCs w:val="1"/>
          <w:i w:val="1"/>
          <w:iCs w:val="1"/>
          <w:color w:val="auto"/>
        </w:rPr>
        <w:t>, or Nestlé (formerly Nestec, Ltd.), is important to our business. If we or Nestlé fail to adequately perform under the License Agreement, or if we or Nestlé terminate the License Agreement, the development and commercialization of our CDI and IBD product candidates, including SER-109, SER-287, and SER-301, would be delayed or terminated and our business would be adversely affected.</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License Agreement may be terminated:</w:t>
      </w:r>
    </w:p>
    <w:p>
      <w:pPr>
        <w:spacing w:after="0" w:line="117" w:lineRule="exact"/>
        <w:rPr>
          <w:sz w:val="20"/>
          <w:szCs w:val="20"/>
          <w:color w:val="auto"/>
        </w:rPr>
      </w:pPr>
    </w:p>
    <w:p>
      <w:pPr>
        <w:ind w:left="1000" w:right="3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Nestlé in the event of serious safety issues related to SER-109, SER-287, SER-301 or other specific products added under the License Agreement, or, collectively, the Nestlé Collaboration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us if Nestlé challenges the validity or enforceability of any of our licensed patents;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either Nestlé or us in the event of the other party’s uncured material breach or insolvency.</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Upon termination of the License Agreement, all licenses granted to Nestlé by us will terminate, and all rights in and to the Nestlé Collaboration Products held by Nestlé will revert to us. If we commit a material breach of the License Agreement, Nestlé may elect not to terminate the License Agreement but instead apply specified adjustments to its payment obligations and other terms and conditions of the License Agreement. If Nestlé were to make such adjustments, the funding from and benefits of the License Agreement could be diminished, which could adversely affect our financial condition. Unless the License Agreement is terminated by us for Nestlé’s uncured material breach, upon termination of the License Agreement, Nestlé will be eligible to receive post-termination royalties from us until Nestlé has recouped certain development costs related to the Nestlé Collaboration Products and specified percentages of any milestone payments paid to us under the License Agreement prior to termination, which could have a material adverse effect on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40" w:firstLine="510"/>
        <w:spacing w:after="0" w:line="273" w:lineRule="auto"/>
        <w:rPr>
          <w:sz w:val="20"/>
          <w:szCs w:val="20"/>
          <w:color w:val="auto"/>
        </w:rPr>
      </w:pPr>
      <w:r>
        <w:rPr>
          <w:rFonts w:ascii="Arial" w:cs="Arial" w:eastAsia="Arial" w:hAnsi="Arial"/>
          <w:sz w:val="17"/>
          <w:szCs w:val="17"/>
          <w:color w:val="auto"/>
        </w:rPr>
        <w:t>Termination of the License Agreement could cause significant delays in our product development and commercialization efforts that could prevent us from commercializing our CDI and IBD product candidates, outside of the United States and Canada, without first expanding our internal capabilities or entering into another agreement with a third party. Any alternative collaboration or license could also be on less favorable terms to us. In addition, under the License Agreement, Nestlé agreed to provide funding for certain clinical development activities. If the License Agreement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Under the License Agreement, we are dependent upon Nestlé to successfully commercialize any Nestlé Collaboration Products outside of the United States and Canada. We cannot directly control Nestlé’s commercialization activities or the resources it allocates to our product candidates. Our interests and Nestlé’s interests may differ or conflict from time to time, or we may disagree with Nestlé’s level of effort or resource allocation. Nestlé may internally prioritize our product candidates differently than we do or it may not allocate sufficient resources to effectively or optimally commercialize them. If these events were to occur, our business would be adversely affected.</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expect to continue to rely on third parties, such as contract research organizations, or CROs, clinical data management organizations, medical institutions and clinical investigators, to conduct and manage our clinical trials.</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17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6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3"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680" w:firstLine="510"/>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 of supply agreements by the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specifications;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schedule or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22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The contract manufacturers we rely on to produce our product candidates have never produced an FDA-approved therapeutic. If our manufacturers are unable to comply with cGMP regulation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68"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Except for our clinical production facility in Massachusetts, we do not currently have arrangements in place for redundant supply of product. We do not currently have a second source for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efforts.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w:t>
      </w:r>
    </w:p>
    <w:p>
      <w:pPr>
        <w:spacing w:after="0" w:line="29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have no experience manufacturing our product candidates at commercial scale, and we cannot assure you that we can manufacture our product candidates in compliance with regulations at a cost or in quantities necessary to make them commercially viable.</w:t>
      </w:r>
    </w:p>
    <w:p>
      <w:pPr>
        <w:spacing w:after="0" w:line="3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manufacturing facilities at our Cambridge, Massachusetts locations where we conduct process development, scale-up activities and a portion of the manufacture of microbiome therapeutics. The FDA and other comparable foreign regulatory authorities must, pursuant to inspections that are conducted after submitting a BLA or relevant foreign marketing submission, confirm that the manufacturing processes for the product meet cGMP. We have not yet had any of our manufacturing facilities inspected.</w:t>
      </w:r>
    </w:p>
    <w:p>
      <w:pPr>
        <w:spacing w:after="0" w:line="1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may establish a manufacturing facility for our product candidates for production at a commercial scale.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88"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In addition, some of our product candidates require donor material, of which we may not be able to collect sufficient quantities for commercial-scale or other manufacturing.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Risks Related to Commercialization of Our Product Candidates and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Legal Matters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FMT, and physicians may continue to rely on these treatments and our competitors and physicians may continue to seek to standardize and implement this procedure. If our product candidates receive approval but do not achieve an adequate level of acceptance, we may not generate significant product revenue and we may not become profitable. The degree of market acceptance of our approved product candidates, if any, will depend on a number of factors, including:</w:t>
      </w:r>
    </w:p>
    <w:p>
      <w:pPr>
        <w:spacing w:after="0" w:line="84"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our products are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interactions of our products with other medicines patients are taking;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patients to take our products.</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have employees with experience in sales and marketing, but we have limited sales or marketing infrastructure and, as a company,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46" w:name="page47"/>
    <w:bookmarkEnd w:id="46"/>
    <w:p>
      <w:pPr>
        <w:ind w:right="20" w:firstLine="510"/>
        <w:spacing w:after="0" w:line="273" w:lineRule="auto"/>
        <w:rPr>
          <w:sz w:val="20"/>
          <w:szCs w:val="20"/>
          <w:color w:val="auto"/>
        </w:rPr>
      </w:pPr>
      <w:r>
        <w:rPr>
          <w:rFonts w:ascii="Arial" w:cs="Arial" w:eastAsia="Arial" w:hAnsi="Arial"/>
          <w:sz w:val="17"/>
          <w:szCs w:val="17"/>
          <w:color w:val="auto"/>
        </w:rPr>
        <w:t>Outside the United States, we rely and may increasingly rely on third parties, including Nestlé,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cure rates for recurrent CDI and our competitors and physicians may continue to seek to standardize and implement this procedure.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440" w:firstLine="510"/>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157"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24"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30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20" w:firstLine="510"/>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40"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auto"/>
        </w:rPr>
        <w:t>We may face competition from biosimilars, which may have a material adverse impact on the future commercial prospects of our product candidates.</w:t>
      </w:r>
    </w:p>
    <w:p>
      <w:pPr>
        <w:spacing w:after="0" w:line="15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179"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It is possible that Congress or the FDA may take these or other measures to reduce or eliminate periods of exclusivity. The BPCIA is complex and continues to be interpreted and implemented by the FDA, and such FDA implementation could have a material adverse effect on the future commercial prospects for our product candidates.</w:t>
      </w:r>
    </w:p>
    <w:p>
      <w:pPr>
        <w:spacing w:after="0" w:line="19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29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remain subject to significant post-marketing regulatory requirements and oversight.</w:t>
      </w:r>
    </w:p>
    <w:p>
      <w:pPr>
        <w:spacing w:after="0" w:line="62"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600"/>
        <w:spacing w:after="0" w:line="277" w:lineRule="auto"/>
        <w:rPr>
          <w:sz w:val="20"/>
          <w:szCs w:val="20"/>
          <w:color w:val="auto"/>
        </w:rPr>
      </w:pPr>
      <w:r>
        <w:rPr>
          <w:rFonts w:ascii="Arial" w:cs="Arial" w:eastAsia="Arial" w:hAnsi="Arial"/>
          <w:sz w:val="18"/>
          <w:szCs w:val="18"/>
          <w:color w:val="auto"/>
        </w:rPr>
        <w:t>compliance with cGMP. Accordingly, we and others with whom we work must continue to expend time, money and effort in all areas of regulatory compliance, including manufacturing, production and quality control.</w:t>
      </w:r>
    </w:p>
    <w:p>
      <w:pPr>
        <w:spacing w:after="0" w:line="170"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171" w:lineRule="exact"/>
        <w:rPr>
          <w:sz w:val="20"/>
          <w:szCs w:val="20"/>
          <w:color w:val="auto"/>
        </w:rPr>
      </w:pPr>
    </w:p>
    <w:p>
      <w:pPr>
        <w:ind w:right="380" w:firstLine="510"/>
        <w:spacing w:after="0" w:line="275" w:lineRule="auto"/>
        <w:rPr>
          <w:sz w:val="20"/>
          <w:szCs w:val="20"/>
          <w:color w:val="auto"/>
        </w:rPr>
      </w:pPr>
      <w:r>
        <w:rPr>
          <w:rFonts w:ascii="Arial" w:cs="Arial" w:eastAsia="Arial" w:hAnsi="Arial"/>
          <w:sz w:val="17"/>
          <w:szCs w:val="17"/>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regulatory authorities’ restrictions relating to the promotion of prescription drugs may also lead to investigations alleging violations of federal and state health care fraud and abuse laws, as well as state consumer protection laws.</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if a regulatory authority or we later discover previously unknown problems with our products, such as adverse events of unanticipated severity or frequency, problems with manufacturers or manufacturing processes, or failure to comply with regulatory requirements, the regulatory authority may impose restrictions on the products or us, including requiring withdrawal of the product from the market. Any failure to comply with applicable regulatory requirements may yield various results, including:</w:t>
      </w:r>
    </w:p>
    <w:p>
      <w:pPr>
        <w:spacing w:after="0" w:line="79"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relationships with potential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For example, the results of the 2020 U.S. Presidential Election may impact our business and industry. Namely, the Trump administration took several executive actions, including the issuance of a number of Executive Orders,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0" w:name="page51"/>
    <w:bookmarkEnd w:id="50"/>
    <w:p>
      <w:pPr>
        <w:ind w:right="60"/>
        <w:spacing w:after="0" w:line="255" w:lineRule="auto"/>
        <w:rPr>
          <w:sz w:val="20"/>
          <w:szCs w:val="20"/>
          <w:color w:val="auto"/>
        </w:rPr>
      </w:pPr>
      <w:r>
        <w:rPr>
          <w:rFonts w:ascii="Arial" w:cs="Arial" w:eastAsia="Arial" w:hAnsi="Arial"/>
          <w:sz w:val="18"/>
          <w:szCs w:val="18"/>
          <w:color w:val="auto"/>
        </w:rPr>
        <w:t>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2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30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and will be subject to applicable anti-kickback, fraud and abuse and other healthcare laws and regulations, which could expose us to criminal sanctions, civil penalties, exclusion from governmental healthcare programs, contractual damages, reputational harm and diminished profits and future earnings.</w:t>
      </w:r>
    </w:p>
    <w:p>
      <w:pPr>
        <w:spacing w:after="0" w:line="7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00" w:right="60" w:hanging="493"/>
        <w:spacing w:after="0" w:line="25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9" w:lineRule="exact"/>
        <w:rPr>
          <w:rFonts w:ascii="Arial" w:cs="Arial" w:eastAsia="Arial" w:hAnsi="Arial"/>
          <w:sz w:val="18"/>
          <w:szCs w:val="18"/>
          <w:color w:val="auto"/>
        </w:rPr>
      </w:pPr>
    </w:p>
    <w:p>
      <w:pPr>
        <w:ind w:left="1000" w:right="240" w:hanging="493"/>
        <w:spacing w:after="0" w:line="273"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69" w:lineRule="exact"/>
        <w:rPr>
          <w:rFonts w:ascii="Arial" w:cs="Arial" w:eastAsia="Arial" w:hAnsi="Arial"/>
          <w:sz w:val="17"/>
          <w:szCs w:val="17"/>
          <w:color w:val="auto"/>
        </w:rPr>
      </w:pPr>
    </w:p>
    <w:p>
      <w:pPr>
        <w:ind w:left="100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75"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regulations implemented thereunder,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1000" w:right="260" w:hanging="493"/>
        <w:spacing w:after="0" w:line="30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to report payments and other transfers of value to physicians (defined to include doctors, dentists, optometrists, podiatrists and chiropractors), certain other healthcare professionals beginning 2022 and teaching hospitals, and ownership and investment interests held by physicians and their immediate family members; manufacturers are required to submit reports to the government by the 90th day of each calendar year;</w:t>
      </w:r>
    </w:p>
    <w:p>
      <w:pPr>
        <w:spacing w:after="0" w:line="49" w:lineRule="exact"/>
        <w:rPr>
          <w:rFonts w:ascii="Arial" w:cs="Arial" w:eastAsia="Arial" w:hAnsi="Arial"/>
          <w:sz w:val="16"/>
          <w:szCs w:val="16"/>
          <w:color w:val="auto"/>
        </w:rPr>
      </w:pPr>
    </w:p>
    <w:p>
      <w:pPr>
        <w:ind w:left="1000" w:right="140" w:hanging="493"/>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jc w:val="both"/>
        <w:ind w:left="1000" w:right="360"/>
        <w:spacing w:after="0" w:line="263" w:lineRule="auto"/>
        <w:rPr>
          <w:sz w:val="20"/>
          <w:szCs w:val="20"/>
          <w:color w:val="auto"/>
        </w:rPr>
      </w:pPr>
      <w:r>
        <w:rPr>
          <w:rFonts w:ascii="Arial" w:cs="Arial" w:eastAsia="Arial" w:hAnsi="Arial"/>
          <w:sz w:val="18"/>
          <w:szCs w:val="18"/>
          <w:color w:val="auto"/>
        </w:rPr>
        <w:t>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 and</w:t>
      </w:r>
    </w:p>
    <w:p>
      <w:pPr>
        <w:spacing w:after="0" w:line="76" w:lineRule="exact"/>
        <w:rPr>
          <w:sz w:val="20"/>
          <w:szCs w:val="20"/>
          <w:color w:val="auto"/>
        </w:rPr>
      </w:pPr>
    </w:p>
    <w:p>
      <w:pPr>
        <w:ind w:left="1000" w:hanging="493"/>
        <w:spacing w:after="0" w:line="284"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state and foreign laws that govern the privacy and security of health information in some circumstances, many of which differ from each other in significant ways and often are not preempted by HIPAA, thus complicating compliance efforts. By way of example, the CCPA, effective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Further, the CPRA was also recently voted into law by California residents. The CPRA significantly amends the CCPA and imposes additional data protection obligations on covered companies doing business in California, including additional consumer rights processes and opt outs for certain uses of sensitive data. It also creates a new California data protection agency specifically tasked to enforce the law, which would likely result in increased regulatory scrutiny of California businesses in the areas of data protection and security. The substantive requirements for businesses subject to the CPRA will go into effect on January 1, 2023 and become enforceable on July 1, 2023. In Europe, the GDPR, which went into effect in May 2018,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39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176"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2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4" w:lineRule="exact"/>
        <w:rPr>
          <w:sz w:val="20"/>
          <w:szCs w:val="20"/>
          <w:color w:val="auto"/>
        </w:rPr>
      </w:pPr>
    </w:p>
    <w:p>
      <w:pPr>
        <w:jc w:val="both"/>
        <w:ind w:right="320" w:firstLine="510"/>
        <w:spacing w:after="0" w:line="259"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establishment of a new pathway for approval of lower-cost biosimilars to compete with biologic products, such as those we are developing;</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For example, the Tax Cuts and Jobs Act of 2017 was enacted, which, among other things, repealed,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The U.S. Supreme Court is currently reviewing the case, although it is unclear how the Supreme Court will rule. It is also unclear how other efforts, if any, to challenge, repeal or replace the ACA will impact the ACA or our business.</w:t>
      </w:r>
    </w:p>
    <w:p>
      <w:pPr>
        <w:spacing w:after="0" w:line="16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enacted in August 2011, included aggregate reductions of Medicare payments to providers of 2% per fiscal year, which went into effect on April 1, 2013 and, due to subsequent legislative amendments,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 These laws may result in additional reductions in Medicare and other healthcare funding and otherwise affect the prices we may obtain.</w:t>
      </w:r>
    </w:p>
    <w:p>
      <w:pPr>
        <w:spacing w:after="0" w:line="17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6"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78" w:lineRule="exact"/>
        <w:rPr>
          <w:sz w:val="20"/>
          <w:szCs w:val="20"/>
          <w:color w:val="auto"/>
        </w:rPr>
      </w:pPr>
    </w:p>
    <w:p>
      <w:pPr>
        <w:ind w:right="700" w:firstLine="510"/>
        <w:spacing w:after="0" w:line="308"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180"/>
        <w:spacing w:after="0" w:line="263" w:lineRule="auto"/>
        <w:rPr>
          <w:sz w:val="20"/>
          <w:szCs w:val="20"/>
          <w:color w:val="auto"/>
        </w:rPr>
      </w:pPr>
      <w:r>
        <w:rPr>
          <w:rFonts w:ascii="Arial" w:cs="Arial" w:eastAsia="Arial" w:hAnsi="Arial"/>
          <w:sz w:val="18"/>
          <w:szCs w:val="18"/>
          <w:color w:val="auto"/>
        </w:rPr>
        <w:t>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some countries, particularly the member states of the EU,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products are unavailable or limited in scope or amount, or if pricing is set at unsatisfactory levels, our business could be harmed, possibly materially.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18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currently have, and may have in the future, certain funding arrangements, such as our grant from CARB-X to support certain work for SER-</w:t>
      </w:r>
    </w:p>
    <w:p>
      <w:pPr>
        <w:spacing w:after="0" w:line="46" w:lineRule="exact"/>
        <w:rPr>
          <w:sz w:val="20"/>
          <w:szCs w:val="20"/>
          <w:color w:val="auto"/>
        </w:rPr>
      </w:pPr>
    </w:p>
    <w:p>
      <w:pPr>
        <w:ind w:firstLine="8"/>
        <w:spacing w:after="0" w:line="251"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funding arrangements impose various obligations on us, including reporting obligations, and may subject certain of our intellectual property, such as intellectual property made using the applicable funding, to the rights of the U.S. government under the Bayh-Dole Act. In addition, under our CARB-X grant, we may be required in the future to grant a private sector charitable organization a license to certain of our intellectual property related to the subject matter of the CARB-X grant if, after a certain period of time, we are not developing and have not licensed a third party to develop the applicable technology for certain indications in a given country, and the organization wishes to do so.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80" w:firstLine="510"/>
        <w:spacing w:after="0" w:line="269" w:lineRule="auto"/>
        <w:rPr>
          <w:sz w:val="20"/>
          <w:szCs w:val="20"/>
          <w:color w:val="auto"/>
        </w:rPr>
      </w:pPr>
      <w:r>
        <w:rPr>
          <w:rFonts w:ascii="Arial" w:cs="Arial" w:eastAsia="Arial" w:hAnsi="Arial"/>
          <w:sz w:val="17"/>
          <w:szCs w:val="17"/>
          <w:color w:val="auto"/>
        </w:rPr>
        <w:t>Our patent portfolio currently includes 23 active patent application families (which includes an option to license certain IP from MD Anderson and exclusive licenses to certain IP from Memorial Sloan Kettering Cancer Center). Of these, 19 applications have been nationalized, 2 are pending at the PCT stage, and 2 are pending at the provisional stage. While we have obtained 14 issued U.S. patents and 2 currently allowed to date,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1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188"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Arial" w:cs="Arial" w:eastAsia="Arial" w:hAnsi="Arial"/>
          <w:sz w:val="16"/>
          <w:szCs w:val="16"/>
          <w:i w:val="1"/>
          <w:iCs w:val="1"/>
          <w:color w:val="auto"/>
        </w:rPr>
        <w:t>Third parties may initiate legal proceedings alleging</w:t>
      </w:r>
      <w:r>
        <w:rPr>
          <w:rFonts w:ascii="Arial" w:cs="Arial" w:eastAsia="Arial" w:hAnsi="Arial"/>
          <w:sz w:val="16"/>
          <w:szCs w:val="16"/>
          <w:color w:val="auto"/>
        </w:rPr>
        <w:t xml:space="preserve"> </w:t>
      </w:r>
      <w:r>
        <w:rPr>
          <w:rFonts w:ascii="Arial" w:cs="Arial" w:eastAsia="Arial" w:hAnsi="Arial"/>
          <w:sz w:val="16"/>
          <w:szCs w:val="16"/>
          <w:i w:val="1"/>
          <w:iCs w:val="1"/>
          <w:color w:val="auto"/>
        </w:rPr>
        <w:t>that we are infringing their intellectual property rights, the outcome of which would be uncertain and could have a material adverse effect on the success of our business</w:t>
      </w:r>
      <w:r>
        <w:rPr>
          <w:rFonts w:ascii="Arial" w:cs="Arial" w:eastAsia="Arial" w:hAnsi="Arial"/>
          <w:sz w:val="16"/>
          <w:szCs w:val="16"/>
          <w:color w:val="auto"/>
        </w:rPr>
        <w:t>.” The oral proceedings were held at the European Patent Office on February 18, 2019 and the Opposition Division required The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Tokyo to narrow the scope of the claims of the patent. The University of Tokyo has appealed certain aspects of the Opposition Division’s decision, as have we and other opponents.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7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00" w:right="1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pending patent applications, if issued, will include claims having a scope sufficient to protect our product candidates or any other products or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any existing patent and pending patent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or design around our patents;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will not compete with us in jurisdictions where we do not pursue and obtain patent protection;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 able to obtain and/or maintain necessary or useful licenses on reasonable terms or at all;</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129"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17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1"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569 U.S. 12-398 (2013);</w:t>
      </w:r>
      <w:r>
        <w:rPr>
          <w:rFonts w:ascii="Arial" w:cs="Arial" w:eastAsia="Arial" w:hAnsi="Arial"/>
          <w:sz w:val="18"/>
          <w:szCs w:val="18"/>
          <w:i w:val="1"/>
          <w:iCs w:val="1"/>
          <w:color w:val="auto"/>
        </w:rPr>
        <w:t xml:space="preserve"> Alice Corp. v. CLS Bank International</w:t>
      </w:r>
      <w:r>
        <w:rPr>
          <w:rFonts w:ascii="Arial" w:cs="Arial" w:eastAsia="Arial" w:hAnsi="Arial"/>
          <w:sz w:val="18"/>
          <w:szCs w:val="18"/>
          <w:color w:val="auto"/>
        </w:rPr>
        <w:t>, 573 U.S. 13-298 (2014);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Mayo Collaborative Services v. Prometheus Laboratories, Inc.</w:t>
      </w:r>
      <w:r>
        <w:rPr>
          <w:rFonts w:ascii="Arial" w:cs="Arial" w:eastAsia="Arial" w:hAnsi="Arial"/>
          <w:sz w:val="18"/>
          <w:szCs w:val="18"/>
          <w:color w:val="auto"/>
        </w:rPr>
        <w:t>, 566 U.S. 10-1150 (2012). In response to these cases, the USPTO has issued guidance to the examining corps.</w:t>
      </w:r>
    </w:p>
    <w:p>
      <w:pPr>
        <w:spacing w:after="0" w:line="188"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full impact of these decisions is not yet known. For example, in view of these and subsequent court decisions, the USPTO has issued various materials to patent examiners providing guidance for determining the patent eligibility of claims reciting laws of nature, natural phenomena or natural products. Our current product candidates include natural products, therefore, this decision and its interpretation by the courts and the USPTO may impact prosecution, defense and enforcement of our patent portfolio. On March 4, 2014, the USPTO issued a memorandum reflecting the USPTO’s interpretation of the cases related to patent eligibility of natural products. The March 4, 2014 memorandum was superseded by interim guidance published on December 15, 2014. Additional guidance was published in July 2015 (July 2015 Update: Subject Matter Eligibility) and May 2016 (May 2016 Subject Matter Eligibility Update). The USPTO’s interpretation of the case law and new guidelines for examination may influence, possibly adversely, prosecution and defense of certain types of claims in our portfolio.</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18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has appealed certain aspects of the Oppositions Division’s decision, as have we and other opponents.</w:t>
      </w:r>
    </w:p>
    <w:p>
      <w:pPr>
        <w:spacing w:after="0" w:line="174"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1000" w:hanging="493"/>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40" w:lineRule="exact"/>
        <w:rPr>
          <w:rFonts w:ascii="Arial" w:cs="Arial" w:eastAsia="Arial" w:hAnsi="Arial"/>
          <w:sz w:val="16"/>
          <w:szCs w:val="16"/>
          <w:color w:val="auto"/>
        </w:rPr>
      </w:pPr>
    </w:p>
    <w:p>
      <w:pPr>
        <w:ind w:left="1000" w:right="8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14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75"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9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7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8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80" w:firstLine="510"/>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COVID-19 pandemic caused by the novel strain of coronavirus has adversely impacted and could continue to adversely impact, our business, including our preclinical studies and clinical trials, results of operations and financial condition.</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2020, a strain of novel coronavirus disease, COVID-19, was declared a pandemic and spread across the world, including throughout the United States, Europe, and Asia. The pandemic and government measures taken in response have also had a significant impact, both direct and indirect, on businesses and commerce, as worker shortages have occurred, supply chains have been disrupted, and facilities and production have been suspended. In response to the spread of COVID-19, we have closed our executive offices with our administrative employees continuing their work outside of our offices, restricted on-site staff to only those required on-site to execute their job responsibilities and limited the number of staff in any given research and development laboratory. On March 30, 2020, as a result of the COVID-19 pandemic, we halted further enrollment of the recently completed ECOSPOR III trial, and we are now actively enrolling patients in our SER-109 open-label study to expand the safety database to meet the FDA’s recommendation that our safety database for SER-109 include at least 300 patients. Additionally, SER-287 development activity was impacted by the COVID-19 pandemic and by multiple clinical sites halting non-essential procedures, including endoscopies, and while enrollment is now complete, site staff must still remain available to finalize study participant data. We are continuing to monitor the impact of the COVID-19 pandemic on our operations and ongoing clinical development activity, including on the SER-401 Phase 1b study in metastatic melanoma and the SER-301 Phase 1b study in ulcerative colitis. Mitigation activities to minimize COVID-19-related operation disruptions are ongoing, however, given the severity and evolving nature of the situation, the timing of clinical readouts is uncertain. As a result of the COVID-19 outbreak, we may experience further disruptions that could severely impact our business, preclinical studies and clinical trials, including:</w:t>
      </w:r>
    </w:p>
    <w:p>
      <w:pPr>
        <w:spacing w:after="0" w:line="90"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00" w:right="80" w:hanging="493"/>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approval timelines;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global shipping delays or stoppages and disruptions in delivery systems;</w:t>
      </w:r>
    </w:p>
    <w:p>
      <w:pPr>
        <w:spacing w:after="0" w:line="62" w:lineRule="exact"/>
        <w:rPr>
          <w:rFonts w:ascii="Arial" w:cs="Arial" w:eastAsia="Arial" w:hAnsi="Arial"/>
          <w:sz w:val="18"/>
          <w:szCs w:val="18"/>
          <w:color w:val="auto"/>
        </w:rPr>
      </w:pPr>
    </w:p>
    <w:p>
      <w:pPr>
        <w:ind w:left="1000" w:right="380" w:hanging="493"/>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of the FDA or other regulatory authorities to accept data from clinical trials in affected geographies;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impacts from prolonged remote work arrangements, such as increased cybersecurity risks and strains on our business continuity plans;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or difficulties with equity offerings due to disruptions and uncertainties in the securities market.</w:t>
      </w:r>
    </w:p>
    <w:p>
      <w:pPr>
        <w:spacing w:after="0" w:line="225"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In addition, the trading prices for our and other biopharmaceutical companies’ stock have been highly volatile as a result of the COVID-19 pandemic. As a result, we may face difficulties raising capital through sales of our common stock and any such sales may be on unfavorable terms. The COVID-19 outbreak continues to rapidly evolve. The extent to which the outbreak further impacts our business, including our preclinical studies and clinical trials, results of operations and financial condition will depend on future developments which are highly uncertain and cannot be predicted with confidence. Such factors include but are not limited to the duration of the outbreak, travel restrictions, quarantines, shelter-in-place orders and social distancing in the United States and other countries, business closures or business disruptions the effectiveness of vaccines and vaccine distribution efforts, and the effectiveness of other actions taken in the United States and other countries to contain and treat the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480" w:firstLine="510"/>
        <w:spacing w:after="0" w:line="286" w:lineRule="auto"/>
        <w:rPr>
          <w:sz w:val="20"/>
          <w:szCs w:val="20"/>
          <w:color w:val="auto"/>
        </w:rPr>
      </w:pPr>
      <w:r>
        <w:rPr>
          <w:rFonts w:ascii="Arial" w:cs="Arial" w:eastAsia="Arial" w:hAnsi="Arial"/>
          <w:sz w:val="17"/>
          <w:szCs w:val="17"/>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expand our operational capabilities, and as a result, we may encounter difficulties in managing our growth, which could disrupt our operations.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currently have limited international operations, but our business strategy incorporates potentially expanding internationally if any of our product candidates receive regulatory approval. We currently conduct clinical studies in Canada, Australia and New Zealand. We may conduct clinical studies in other countries as well. We currently plan to rely on collaborators, including Nestlé, to commercialize certain approved products outside of North America. Doing business internationally involves a number of risks, including but not limited to:</w:t>
      </w:r>
    </w:p>
    <w:p>
      <w:pPr>
        <w:spacing w:after="0" w:line="79" w:lineRule="exact"/>
        <w:rPr>
          <w:sz w:val="20"/>
          <w:szCs w:val="20"/>
          <w:color w:val="auto"/>
        </w:rPr>
      </w:pPr>
    </w:p>
    <w:p>
      <w:pPr>
        <w:ind w:left="1000" w:right="2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information technology and other system failures.</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Despite the implementation of a formal, comprehensive cyber-security program, our internal computer systems and data and those of our current and future contractors and consultants are vulnerable to damage or compromise from computer viruses, unauthorized access, ransomware, human error, loss of data privacy,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are not aware of any such material system failure, accident or security breach to date, there have been successful but immaterial cyber-attacks, and if such an event were to occur again in a more material manner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 candidates could be delayed.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6"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disruption in our relationships with future customers or with current or future distributors or suppliers as a result of such a transaction;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exposure to cybersecurity risks and vulnerabilities from any newly acquired information technology infrastructure;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2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including from the novel coronavirus SARS-CoV-2, which causes the COVID-19 disease,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research and development credits to offset future taxable income or income tax liabilities may be subject to certain limitations.</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of December 31, 2020, we had net operating loss carryforwards, or NOLs, of $390 million for federal income tax purposes and $386.9 million for state income tax purposes, which may be available to offset our future taxable income, if any. Our federal and state NOLs begin to expire in various amounts in 2035, provided that federal NOLs generated in taxable years after December 31, 2017 will not be subject to expiration. As of December 31, 2020, we also had federal and state research and development and other tax credit carryforwards of approximately $36.4 million and $7.5 million, respectively, available to reduce future income tax liabilities. Our federal and state tax credit carryforwards begin to expire in various amounts in 2031 and 2028, respectively. The federal research and development tax credit carryforwards include an orphan drug credit carryforward of $20.7 million. These NOLs and tax credit carryforwards could expire unused, to the extent subject to expiration, and be unavailable to offset future taxable income or income tax liabilities. In addition, in general, under Sections 382 and 383 of the U.S. Internal Revenue Code of 1986, as amended, a corporation that undergoes an “ownership change” is subject to limitations on its ability to use its pre-change NOLs and tax credit carryforwards to offset future taxable income and income taxes. For these purposes, an ownership change generally occurs where the aggregate change in stock ownership of one or more stockholders or groups of stockholders owning at least 5% of a corporation’s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line="272" w:lineRule="auto"/>
        <w:rPr>
          <w:sz w:val="20"/>
          <w:szCs w:val="20"/>
          <w:color w:val="auto"/>
        </w:rPr>
      </w:pPr>
      <w:r>
        <w:rPr>
          <w:rFonts w:ascii="Arial" w:cs="Arial" w:eastAsia="Arial" w:hAnsi="Arial"/>
          <w:sz w:val="17"/>
          <w:szCs w:val="17"/>
          <w:color w:val="auto"/>
        </w:rPr>
        <w:t>stock exceeds 50 percentage points over a three-year period. We believe we may have experienced an ownership change in the past and may experience ownership changes in the future because of future transactions in our stock, some of which may be outside our control. If we undergo future ownership changes,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 NOLs arising in periods beginning after December 31, 2017 may generally only be used to offset 80% of taxable income in years beginning after December 31, 2020, which change may require us to pay federal income taxes in future years despite federal NOLs in prior years.</w:t>
      </w:r>
    </w:p>
    <w:p>
      <w:pPr>
        <w:spacing w:after="0" w:line="2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In October 2019, we entered into a loan and security agreement with Hercules pursuant to which a term loan facility in aggregate principal amount up to $50.0 million, or the Term Loan Facility, is available to us in three tranches, subject to certain terms and conditions. We received the first tranche of $25.0 million upon signing the agreement on October 29, 2019. We did not meet the milestone requirements for the second tranche under the Term Loan Facility, and as such, the additional second tranche amount of up to $12.5 million is not available for us to borrow. The third tranche, which allows us to borrow an additional $12.5 million, will be available upon Hercules’ approval on or prior to June 30, 2021. The Term Loan Facility is secured by a lien on substantially all of our assets, other than intellectual property. We also agreed not to pledge or secure our intellectual property to others.</w:t>
      </w:r>
    </w:p>
    <w:p>
      <w:pPr>
        <w:spacing w:after="0" w:line="164"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Term Loan Facility includes affirmative and negative covenants and events of default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The Term Loan Facility also includes a liquidity covenant. Events of default include, among other things and subject to customary exceptions: (i) insolvency, liquidation, bankruptcy or similar events; (ii) failure to pay any debts due under the loan and security agreement with Hercules or other loan documents on a timely basis; (iii) 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 If we default under the loan and security agreement, Hercules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Any declaration by Hercules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Common Stock</w:t>
      </w:r>
    </w:p>
    <w:p>
      <w:pPr>
        <w:spacing w:after="0" w:line="3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executive officers, directors and stockholders who owned more than 5% of our outstanding common stock and their respective affiliates, in the aggregate, hold shares representing approximately 68%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68"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are no longer an “emerging growth company” and, as a result, are subject to certain enhanced disclosure requirements.</w:t>
      </w:r>
    </w:p>
    <w:p>
      <w:pPr>
        <w:spacing w:after="0" w:line="225"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The last day of the fiscal year following the fifth anniversary of our IPO was December 31, 2020. As a result, commencing January 1, 2021, we are subject to certain requirements that apply to other public companies but did not previously apply to us due to our status as an emerging growth company. Compliance with these enhanced disclosure requirements will increase our costs and could negatively affect our results of operations and financial condition. Moreover, if we become an accelerated filer or large accelerated filer in the future, we would be required to comply with the auditor attestation requirements under Section 404 of the Sarbanes Oxley Act of 2002, as amended, or Section 404.</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70" w:lineRule="exact"/>
        <w:rPr>
          <w:sz w:val="20"/>
          <w:szCs w:val="20"/>
          <w:color w:val="auto"/>
        </w:rPr>
      </w:pPr>
    </w:p>
    <w:p>
      <w:pPr>
        <w:ind w:firstLine="510"/>
        <w:spacing w:after="0" w:line="218" w:lineRule="exact"/>
        <w:rPr>
          <w:sz w:val="20"/>
          <w:szCs w:val="20"/>
          <w:color w:val="auto"/>
        </w:rPr>
      </w:pPr>
      <w:r>
        <w:rPr>
          <w:rFonts w:ascii="Arial" w:cs="Arial" w:eastAsia="Arial" w:hAnsi="Arial"/>
          <w:sz w:val="17"/>
          <w:szCs w:val="17"/>
          <w:color w:val="auto"/>
        </w:rPr>
        <w:t>We are a “smaller reporting company” as defined under the rules promulgated under the Exchange Act. We will remain a smaller reporting company until the fiscal year following the determination that both (i) the value of our voting and non</w:t>
      </w:r>
      <w:r>
        <w:rPr>
          <w:rFonts w:ascii="MS PGothic" w:cs="MS PGothic" w:eastAsia="MS PGothic" w:hAnsi="MS PGothic"/>
          <w:sz w:val="17"/>
          <w:szCs w:val="17"/>
          <w:color w:val="auto"/>
        </w:rPr>
        <w:t>‑</w:t>
      </w:r>
      <w:r>
        <w:rPr>
          <w:rFonts w:ascii="Arial" w:cs="Arial" w:eastAsia="Arial" w:hAnsi="Arial"/>
          <w:sz w:val="17"/>
          <w:szCs w:val="17"/>
          <w:color w:val="auto"/>
        </w:rPr>
        <w:t>voting common shares held by non</w:t>
      </w:r>
      <w:r>
        <w:rPr>
          <w:rFonts w:ascii="MS PGothic" w:cs="MS PGothic" w:eastAsia="MS PGothic" w:hAnsi="MS PGothic"/>
          <w:sz w:val="17"/>
          <w:szCs w:val="17"/>
          <w:color w:val="auto"/>
        </w:rPr>
        <w:t>‑</w:t>
      </w:r>
      <w:r>
        <w:rPr>
          <w:rFonts w:ascii="Arial" w:cs="Arial" w:eastAsia="Arial" w:hAnsi="Arial"/>
          <w:sz w:val="17"/>
          <w:szCs w:val="17"/>
          <w:color w:val="auto"/>
        </w:rPr>
        <w:t>affiliates is more than $250 million measured on the last business day of our second fiscal quarter and (ii) our annual revenues are more than $100 million during the most recently completed fiscal year and the value of our voting and non</w:t>
      </w:r>
      <w:r>
        <w:rPr>
          <w:rFonts w:ascii="MS PGothic" w:cs="MS PGothic" w:eastAsia="MS PGothic" w:hAnsi="MS PGothic"/>
          <w:sz w:val="17"/>
          <w:szCs w:val="17"/>
          <w:color w:val="auto"/>
        </w:rPr>
        <w:t>‑</w:t>
      </w:r>
      <w:r>
        <w:rPr>
          <w:rFonts w:ascii="Arial" w:cs="Arial" w:eastAsia="Arial" w:hAnsi="Arial"/>
          <w:sz w:val="17"/>
          <w:szCs w:val="17"/>
          <w:color w:val="auto"/>
        </w:rPr>
        <w:t>voting common shares held by non</w:t>
      </w:r>
      <w:r>
        <w:rPr>
          <w:rFonts w:ascii="MS PGothic" w:cs="MS PGothic" w:eastAsia="MS PGothic" w:hAnsi="MS PGothic"/>
          <w:sz w:val="17"/>
          <w:szCs w:val="17"/>
          <w:color w:val="auto"/>
        </w:rPr>
        <w:t>‑</w:t>
      </w:r>
      <w:r>
        <w:rPr>
          <w:rFonts w:ascii="Arial" w:cs="Arial" w:eastAsia="Arial" w:hAnsi="Arial"/>
          <w:sz w:val="17"/>
          <w:szCs w:val="17"/>
          <w:color w:val="auto"/>
        </w:rPr>
        <w:t>affiliates is more than $700 million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206"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23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7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6" w:lineRule="exact"/>
        <w:rPr>
          <w:sz w:val="20"/>
          <w:szCs w:val="20"/>
          <w:color w:val="auto"/>
        </w:rPr>
      </w:pPr>
    </w:p>
    <w:p>
      <w:pPr>
        <w:ind w:left="1000" w:right="28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00" w:right="520" w:hanging="493"/>
        <w:spacing w:after="0" w:line="30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8" w:lineRule="exact"/>
        <w:rPr>
          <w:rFonts w:ascii="Arial" w:cs="Arial" w:eastAsia="Arial" w:hAnsi="Arial"/>
          <w:sz w:val="17"/>
          <w:szCs w:val="17"/>
          <w:color w:val="auto"/>
        </w:rPr>
      </w:pPr>
    </w:p>
    <w:p>
      <w:pPr>
        <w:ind w:left="1000" w:hanging="493"/>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8" w:lineRule="exact"/>
        <w:rPr>
          <w:rFonts w:ascii="Arial" w:cs="Arial" w:eastAsia="Arial" w:hAnsi="Arial"/>
          <w:sz w:val="17"/>
          <w:szCs w:val="17"/>
          <w:color w:val="auto"/>
        </w:rPr>
      </w:pPr>
    </w:p>
    <w:p>
      <w:pPr>
        <w:ind w:left="1000" w:right="34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ind w:left="1000" w:right="20" w:hanging="493"/>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17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17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our loan and security agreement with Hercules Capital currently prohibits us from paying dividends on our equity securities, and any future debt agreements may likewise preclude us from paying dividends. As a result, capital appreciation, if any, of our common stock will be our stockholders’ sole source of gain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9"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related to any future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may make our product candidates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ind w:left="1000" w:right="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our common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particularly now that we are no longer an emerging growth company or after we are no longer a smaller reporting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8" w:lineRule="exact"/>
        <w:rPr>
          <w:sz w:val="20"/>
          <w:szCs w:val="20"/>
          <w:color w:val="auto"/>
        </w:rPr>
      </w:pPr>
    </w:p>
    <w:p>
      <w:pPr>
        <w:ind w:right="500" w:firstLine="510"/>
        <w:spacing w:after="0" w:line="286" w:lineRule="auto"/>
        <w:rPr>
          <w:sz w:val="20"/>
          <w:szCs w:val="20"/>
          <w:color w:val="auto"/>
        </w:rPr>
      </w:pPr>
      <w:r>
        <w:rPr>
          <w:rFonts w:ascii="Arial" w:cs="Arial" w:eastAsia="Arial" w:hAnsi="Arial"/>
          <w:sz w:val="17"/>
          <w:szCs w:val="17"/>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27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ind w:right="20" w:firstLine="510"/>
        <w:spacing w:after="0" w:line="288" w:lineRule="auto"/>
        <w:rPr>
          <w:sz w:val="20"/>
          <w:szCs w:val="20"/>
          <w:color w:val="auto"/>
        </w:rPr>
      </w:pPr>
      <w:r>
        <w:rPr>
          <w:rFonts w:ascii="Arial" w:cs="Arial" w:eastAsia="Arial" w:hAnsi="Arial"/>
          <w:sz w:val="16"/>
          <w:szCs w:val="16"/>
          <w:color w:val="auto"/>
        </w:rPr>
        <w:t>Pursuant to Section 404, we are required to furnish a report by our management on our internal control over financial reporting. However, while we remain a non-accelerated filer,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Research and Offices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corporate headquarters is located in Cambridge, Massachusetts, where we lease approximately 83,396 square feet of office, laboratory, and pilot manufacturing space under a lease that expires in November 2023.</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Clinical Manufacturing</w:t>
      </w:r>
    </w:p>
    <w:p>
      <w:pPr>
        <w:spacing w:after="0" w:line="229" w:lineRule="exact"/>
        <w:rPr>
          <w:sz w:val="20"/>
          <w:szCs w:val="20"/>
          <w:color w:val="auto"/>
        </w:rPr>
      </w:pPr>
    </w:p>
    <w:p>
      <w:pPr>
        <w:ind w:right="380" w:firstLine="510"/>
        <w:spacing w:after="0" w:line="279" w:lineRule="auto"/>
        <w:rPr>
          <w:sz w:val="20"/>
          <w:szCs w:val="20"/>
          <w:color w:val="auto"/>
        </w:rPr>
      </w:pPr>
      <w:r>
        <w:rPr>
          <w:rFonts w:ascii="Arial" w:cs="Arial" w:eastAsia="Arial" w:hAnsi="Arial"/>
          <w:sz w:val="17"/>
          <w:szCs w:val="17"/>
          <w:color w:val="auto"/>
        </w:rPr>
        <w:t>We currently conduct part of our manufacturing operations in our leased facilities in Cambridge, Massachusetts, which contain manufacturing facilities for clinical products.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171"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Proceeding</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October 19, 2016, the European Patent Office granted European Patent No. 2 575 835 B1 to The University of Tokyo. On April 25, 2017, we filed a notice of opposition to this patent in the European Patent Office,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has appealed certain aspects of the Opposition Division’s decision, as have we and other opponents.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5100" w:right="1980" w:hanging="5088"/>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400" w:firstLine="510"/>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“MCRB” since June 26, 2015. Prior to that time, there was no public market for our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June 26, 2015 (the date of our initial public offering) and December 31, 2020, with the cumulative total return of (a) the Nasdaq Biotechnology Index and (b) the Nasdaq Composite Index, over the same period. This graph assumes the investment of $100 on June 26, 2015 in our common stock, the Nasdaq Biotechnology Index and the Nasdaq Composite Index and assumes the reinvestment of dividends, if any. The graph assumes our closing sales price on June 26, 2015 of $51.40 per share as the initial value of our common stock and not the initial offering price to the public of $18.00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103505</wp:posOffset>
            </wp:positionV>
            <wp:extent cx="6163310" cy="3060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6331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As of February 24, 2021, there were approximately 11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 In addition, our loan and security agreement with Hercules Capital currently prohibits us from paying dividends on our equity securities, and any future debt agreements may likewise preclude us from paying dividends. See “Management’s Discussion and Analysis of Financial Condition and Results of Operations – Liquidity and Capital Resources.”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4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make any sales of unregistered securities during the quarter ended December 31, 2020.</w:t>
      </w:r>
    </w:p>
    <w:p>
      <w:pPr>
        <w:spacing w:after="0" w:line="341"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Purchases of Equity Securities by the Issuer or Affiliated Purchasers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repurchases of shares of common stock made during the quarter ended December 31,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“Summary Risk Factors” and Part I and Item 1A. “Risk Factors” of this Annual Report on Form 10-K.</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are a microbiome therapeutics company developing a novel class of live biotherapeutic drugs, which are consortia of microbes designed to treat disease by modulating the microbiome to treat or prevent disease by repairing the function of a disease susceptible microbiome to a non-disease state. We have an advanced drug pipeline with late-stage clinical assets and a differentiated microbiome therapeutics drug discovery and development platform including GMP manufacturing capabilities for this novel drug modality.</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highest-priority is preparing the SER-109 BLA for submission to the FDA; we are focused on completing acquisition of the required safety database necessary for approval to treat CDI, with SER-109. Additionally, using our microbiome therapeutics platform, we are focusing our resources on obtaining clinical results from our clinical programs in ulcerative colitis, or UC, a form of IBD, with SER-287 and SER-301, with SER-401 in patients with metastatic melanoma and with SER-155 to prevent mortality due to gastrointestinal infections, bacteremia and GvHD in immunocompromised patients, including in patients receiving allo-HSCT or solid organ transplants.</w:t>
      </w:r>
    </w:p>
    <w:p>
      <w:pPr>
        <w:spacing w:after="0" w:line="188"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Since our inception in October 2010, we have devoted substantially all of our resources to developing our programs, building our intellectual property portfolio, developing our supply chain, business planning, raising capital and providing general and administrative support for these operations.</w:t>
      </w:r>
    </w:p>
    <w:p>
      <w:pPr>
        <w:spacing w:after="0" w:line="12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All our product candidates other than SER-109, SER-287, SER-301, SER-155 and SER-401 are still in preclinical development or early stage discovery. Our ability to generate product revenue sufficient to achieve profitability will depend heavily on the successful development and eventual commercialization of one or more of our product candidates. Since our inception, we have incurred significant operating losses. Our net loss was $89.1 million for the twelve months ended December 31, 2020. As of December 31, 2020, we had an accumulated deficit of $548.8 million and cash, cash equivalents and short- and long-term investments totaling $303.4 million. Based on our current plans and forecasted expenses, we believe that our existing cash, cash equivalents and investments as of December 31, 2020, will enable us to fund our operating expenses, debt service obligations and capital expenditure requirements for at least the next 12-months from issuance of our consolidated financial statements included elsewhere in this Annual Report on Form 10-K.</w:t>
      </w:r>
    </w:p>
    <w:p>
      <w:pPr>
        <w:spacing w:after="0" w:line="192" w:lineRule="exact"/>
        <w:rPr>
          <w:sz w:val="20"/>
          <w:szCs w:val="20"/>
          <w:color w:val="auto"/>
        </w:rPr>
      </w:pPr>
    </w:p>
    <w:p>
      <w:pPr>
        <w:jc w:val="both"/>
        <w:ind w:right="100" w:firstLine="578"/>
        <w:spacing w:after="0" w:line="301" w:lineRule="auto"/>
        <w:rPr>
          <w:sz w:val="20"/>
          <w:szCs w:val="20"/>
          <w:color w:val="auto"/>
        </w:rPr>
      </w:pPr>
      <w:r>
        <w:rPr>
          <w:rFonts w:ascii="Arial" w:cs="Arial" w:eastAsia="Arial" w:hAnsi="Arial"/>
          <w:sz w:val="16"/>
          <w:szCs w:val="16"/>
          <w:color w:val="auto"/>
        </w:rPr>
        <w:t>In August 2020, we completed an underwritten public offering in which we sold 10,500,000 shares of our common stock at a public offering price of $21.50 per share. In addition, we granted the underwriters a 30-day option to purchase up to an additional 1,575,000 shares of our common stock at the public offering price, less underwriting discounts and commissions, which the underwriters exercised in full. We received aggregate net proceeds from the offering of approximately $243.7 million after deducting underwriting discounts and commissions and offering expenses payable by us.</w:t>
      </w:r>
    </w:p>
    <w:p>
      <w:pPr>
        <w:spacing w:after="0" w:line="157" w:lineRule="exact"/>
        <w:rPr>
          <w:sz w:val="20"/>
          <w:szCs w:val="20"/>
          <w:color w:val="auto"/>
        </w:rPr>
      </w:pPr>
    </w:p>
    <w:p>
      <w:pPr>
        <w:ind w:right="280" w:firstLine="578"/>
        <w:spacing w:after="0" w:line="311" w:lineRule="auto"/>
        <w:rPr>
          <w:sz w:val="20"/>
          <w:szCs w:val="20"/>
          <w:color w:val="auto"/>
        </w:rPr>
      </w:pPr>
      <w:r>
        <w:rPr>
          <w:rFonts w:ascii="Arial" w:cs="Arial" w:eastAsia="Arial" w:hAnsi="Arial"/>
          <w:sz w:val="16"/>
          <w:szCs w:val="16"/>
          <w:color w:val="auto"/>
        </w:rPr>
        <w:t>Also, in August 2020, we entered into a Securities Purchase Agreement with Société des Produits Nestlé S.A., or Nestlé, for the sale of 959,002 shares of our common stock at a purchase price of $20.855 per share, or the “concurrent placement.” We received aggregate net proceeds from the concurrent placement of approximately $19.9 million after deducting offering expenses payable by us. See “—Liquidity and Capital Resources.”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Novel Coronavirus</w:t>
      </w:r>
    </w:p>
    <w:p>
      <w:pPr>
        <w:spacing w:after="0" w:line="117" w:lineRule="exact"/>
        <w:rPr>
          <w:sz w:val="20"/>
          <w:szCs w:val="20"/>
          <w:color w:val="auto"/>
        </w:rPr>
      </w:pPr>
    </w:p>
    <w:p>
      <w:pPr>
        <w:ind w:right="160" w:firstLine="578"/>
        <w:spacing w:after="0" w:line="291" w:lineRule="auto"/>
        <w:rPr>
          <w:sz w:val="20"/>
          <w:szCs w:val="20"/>
          <w:color w:val="auto"/>
        </w:rPr>
      </w:pPr>
      <w:r>
        <w:rPr>
          <w:rFonts w:ascii="Arial" w:cs="Arial" w:eastAsia="Arial" w:hAnsi="Arial"/>
          <w:sz w:val="16"/>
          <w:szCs w:val="16"/>
          <w:color w:val="auto"/>
        </w:rPr>
        <w:t>We are monitoring the global outbreak and spread of the novel strain of coronavirus, or COVID-19, and have taken steps to identify and mitigate the adverse impacts on, and risks to, our business posed by its spread and actions taken by governmental and health authorities to address the COVID-19 pandemic. The spread of COVID-19 has caused us to modify our business practices, including implementing a work from home policy for all employees who are able to perform their duties remotely and restricting all nonessential travel, and we expect to continue to take actions as may be required or recommended by government authorities or as we determine are in the best interests of our employees, and other business partners in light of COVID-19. The impact of COVID-19 on our future results will largely depend on future developments, which are highly uncertain and cannot be predicted with confidence, such as the ultimate geographic spread of the disease, the duration of the pandemic, travel restrictions and social distancing in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ind w:right="60"/>
        <w:spacing w:after="0" w:line="257" w:lineRule="auto"/>
        <w:rPr>
          <w:sz w:val="20"/>
          <w:szCs w:val="20"/>
          <w:color w:val="auto"/>
        </w:rPr>
      </w:pPr>
      <w:r>
        <w:rPr>
          <w:rFonts w:ascii="Arial" w:cs="Arial" w:eastAsia="Arial" w:hAnsi="Arial"/>
          <w:sz w:val="18"/>
          <w:szCs w:val="18"/>
          <w:color w:val="auto"/>
        </w:rPr>
        <w:t>United States and other countries, business closures or business disruptions, the ultimate impact on financial markets and the global economy, the effectiveness of vaccines and vaccine distribution efforts and the effectiveness of other actions taken in the United States and other countries to contain and treat the disease. See “Risk Factors—Risks Related to Our Operations—The COVID-19 pandemic caused by the novel strain of coronavirus has adversely impacted and could continue to adversely impact, our business, including our preclinical studies and clinical trials, results of operations and financial condition” in Part I, Item 1A of this Annual Report on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SER-109</w:t>
      </w:r>
    </w:p>
    <w:p>
      <w:pPr>
        <w:spacing w:after="0" w:line="225"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 xml:space="preserve">SER-109 is an oral, purified bacterial spore-based microbiome therapeutic candidate consisting of a consortium of purified bacteria. Our SER-109 manufacturing process includes inactivation and clearance steps designed to eliminate potential pathogens. SER-109 is designed to prevent further recurrences of CDI in patients with a history of multiple infections by modulating the microbiome to a state that resists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colonization and growth. SER-109, if approved, is intended to treat individuals with recurrent CDI, a patient population which includes approximately 170,000 individuals per year in the United States. We completed enrollment with 182 patients with multiply recurrent CDI in ECOSPOR III. All patients who entered ECOSPOR III must have tested positive 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toxin, as currently recommended by the Infectious Diseases Society of America guidelines (McDonald Clin Infect Dis 2018). This inclusion criterion was implemented in an effort to ensure enrollment of only patients with active infection rather than simple colonization. The study was designed to evaluate patients for 24 weeks with the primary endpoint of comparing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w:t>
      </w:r>
    </w:p>
    <w:p>
      <w:pPr>
        <w:spacing w:after="0" w:line="181" w:lineRule="exact"/>
        <w:rPr>
          <w:sz w:val="20"/>
          <w:szCs w:val="20"/>
          <w:color w:val="auto"/>
        </w:rPr>
      </w:pPr>
    </w:p>
    <w:p>
      <w:pPr>
        <w:ind w:right="40" w:firstLine="510"/>
        <w:spacing w:after="0" w:line="283" w:lineRule="auto"/>
        <w:rPr>
          <w:sz w:val="20"/>
          <w:szCs w:val="20"/>
          <w:color w:val="auto"/>
        </w:rPr>
      </w:pPr>
      <w:r>
        <w:rPr>
          <w:rFonts w:ascii="Arial" w:cs="Arial" w:eastAsia="Arial" w:hAnsi="Arial"/>
          <w:sz w:val="16"/>
          <w:szCs w:val="16"/>
          <w:color w:val="auto"/>
        </w:rPr>
        <w:t>In August 2020, we reported positive topline results from the interim analysis of the pivotal Phase 3 ECOSPOR III study evaluating SER-109 for recurrent CDI. Those results showed that SER-109 administration resulted in a highly statistically significant absolute decrease of 30.2% in the proportion of patients who experienced a recurrence in CDI within eight weeks of administration versus placebo, the study’s primary endpoint, and which remained consistent at 12-weeks end point with a 31.1% absolute decrease. At eight weeks of treatment, 11.1% of patients administered SER-109 experienced a CDI recurrence, versus 41.3% of placebo patients. The study results were equally compelling when characterized by the alternative metric of sustained clinical response, where 89% of patients in the SER-109 arm achieved this objective at eight weeks. Subsequent analyses from the completed Phase 3 study using the final statistically defined Intent-to-Treat population show that 12.4% of subjects experienced a recurrence, versus 39.8% on placebo, which represents a relative risk of 0.32 (95% CI 0.18-0.58; p&lt;.001), with an absolute risk reduction of 27.4% and a relative risk reduction of 69%. The percent on SER-109 with a sustained clinical response was approximately 88%. The number-needed-to treat was 3.7. In the same updated analysis, the 12 week rate of recurrence in the SER-109 arm was 18.0%, compared to a rate of 46.2% in the placebo arm, representing an absolute risk reduction of 28% (relative risk</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0.40; 95% CI 0.24-0.65; p-value = 0.002),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biological license application, or BLA. The efficacy remained durable through twenty-four weeks of follow-up.</w:t>
      </w:r>
    </w:p>
    <w:p>
      <w:pPr>
        <w:spacing w:after="0" w:line="193" w:lineRule="exact"/>
        <w:rPr>
          <w:sz w:val="20"/>
          <w:szCs w:val="20"/>
          <w:color w:val="auto"/>
        </w:rPr>
      </w:pPr>
    </w:p>
    <w:p>
      <w:pPr>
        <w:jc w:val="both"/>
        <w:ind w:right="520" w:firstLine="510"/>
        <w:spacing w:after="0" w:line="263" w:lineRule="auto"/>
        <w:rPr>
          <w:sz w:val="20"/>
          <w:szCs w:val="20"/>
          <w:color w:val="auto"/>
        </w:rPr>
      </w:pPr>
      <w:r>
        <w:rPr>
          <w:rFonts w:ascii="Arial" w:cs="Arial" w:eastAsia="Arial" w:hAnsi="Arial"/>
          <w:sz w:val="18"/>
          <w:szCs w:val="18"/>
          <w:color w:val="auto"/>
        </w:rPr>
        <w:t>The SER-109 safety results observed to-date were favorable, with an adverse event profile comparable to placebo. We are actively enrolling patients in our SER-109 open-label study, which also admits patients with a single recurrence of CDI, to expand the safety database to meet the FDA threshold of at least 300 patients.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SER-287</w:t>
      </w:r>
    </w:p>
    <w:p>
      <w:pPr>
        <w:spacing w:after="0" w:line="13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SER-287, an oral, consortium of purified bacteria, is a microbiome therapeutic candidate designed to normalize the gastrointestinal microbiome of individuals with UC. In December 2018, we commenced a three-arm placebo-controlled Phase 2b clinical trial that was designed to evaluate SER-287 in approximately 201 patients with mild-to-moderate UC. Two groups of patients are receiving different doses of SER-287, both following pre-conditioning with a short course of oral vancomycin. A third study arm will receive placebo. The study’s primary endpoint will evaluate clinical remission measured after 10 weeks of SER-287 administration. Patients then enter a 2-week exploratory maintenance follow-up period. Endoscopic improvement will be measured as a secondary efficacy measure. Based on feedback from the FDA, if the data from this trial is positive, we expect that the Phase 2b clinical trial could be one of two pivotal trials to enable a BLA to be submitted for SER-287 for the treatment of UC. SER-287 development activity has been adversely impacted by the COVID-19 pandemic.</w:t>
      </w:r>
    </w:p>
    <w:p>
      <w:pPr>
        <w:spacing w:after="0" w:line="11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There are approximately 700,000 UC patients in the United States and fewer than one-third of patients on current therapies achieve remission. Approved treatments are often inadequate to control disease activity and are often associated with significant side effects, including immunosuppression. We believe that SER-287 may address underlying drivers of inflammation in UC and, based on the favorable tolerability profile observed in our clinical trials of SER-287, has the potential to be developed as both a foundational monotherapy, as well as a combination therapy with other UC drugs. SER-287 has been granted Fast Track Designation by the FDA for the induction and maintenance of clinical remission in adult subjects with active mild-to-moderate UC. SER-287 has been designated an Orphan Drug for pediatric UC by the FDA. We anticipate top-line results in mid-2021.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SER-301</w:t>
      </w:r>
    </w:p>
    <w:p>
      <w:pPr>
        <w:spacing w:after="0" w:line="225"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 xml:space="preserve">We are also advancing our next generation, rationally-designed, fermented microbiome drug discovery and development capabilities, focusing on advancing SER-301, a therapeutic candidate for UC. We have nominated the SER-301 lead candidate. SER-301 is a consortia of bacteria designed using our reverse translational discovery platform that incorporates analysis of microbiome biomarkers from human clinical data and preclinical assessments using human cell-based assays and </w:t>
      </w:r>
      <w:r>
        <w:rPr>
          <w:rFonts w:ascii="Arial" w:cs="Arial" w:eastAsia="Arial" w:hAnsi="Arial"/>
          <w:sz w:val="16"/>
          <w:szCs w:val="16"/>
          <w:i w:val="1"/>
          <w:iCs w:val="1"/>
          <w:color w:val="auto"/>
        </w:rPr>
        <w:t>in vitro/ex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disease models. SER-301 is designed to reduce induction of pro-inflammatory activity, improve epithelial barrier integrity and TNF-α driven inflammation in IECs, and modulate UC-relevant anti-inflammatory, innate and adaptive immune pathways. SER-301 is being produced by our advanced fermentation, formulation and delivery platforms. It includes strains delivered in spore form, as well as strains fermented in non-spore (vegetative) form and delivered using enterically-protected technology designed to release in the colon.</w:t>
      </w:r>
    </w:p>
    <w:p>
      <w:pPr>
        <w:spacing w:after="0" w:line="16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have initiated clinical development activities for SER-301, and in November 2020 we enrolled our first patient in the SER-301 Phase 1b study. This initial clinical study of SER-301 is being conducted in Australia and New Zealand. As a result of enrolling the first patient in the clinical study, we received a $10.0 million milestone payment under our collaboration and license agreement, or the License Agreement, with Société des Produits Nestlé S.A., or Nestlé, successor in interest to Nestec, Ltd.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SER-155</w:t>
      </w:r>
    </w:p>
    <w:p>
      <w:pPr>
        <w:spacing w:after="0" w:line="117"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We have nominated the SER-155 lead candidate, consortium of cultivated bacteria microbiome drug and are advancing the candidate into clinical development. The rationale for this program is based in part on published clinical evidence from our collaborators at Memorial Sloan Kettering Cancer Center showing that allo-HSCT patients with decreased diversity of commensal microbes are significantly more likely to die due to infection and/or lethal graft versus host disease, or GvHD. SER-155 is consortia of cultivated bacteria designed using our reverse translational discovery platform to prevent mortality due to gastrointestinal infections, bacteremia and GvHD in immunocompromised patients, including in patients receiving allogeneic hematopoietic stem cell transplantation (allo-HSCT) or solid organ transplants. SER-155 lead candidate is designed to decrease infection and translocation of antibiotic resistant bacteria in the gastrointestinal tract and modulate host immune responses to decrease GvHD. In November 2017, we were awarded a highly competitive grant from CARB-X to support continued preclinical research and early development work for SER-155. In 2019, Seres was awarded additional funding from CARB-X to support clinical development of SER-155, including support through IND filing and Phase 1b evaluation. The 2019 CARB-X grant provides us with an additional $4.8 million of funding for research, manufacture, and IND submission, with potential for an additional $7.0 million for Phase 1b development, upon completion of milestones. We expect to initiate clinical development of SER-155 in the first half of 2021.</w:t>
      </w:r>
    </w:p>
    <w:p>
      <w:pPr>
        <w:spacing w:after="0" w:line="17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While we plan to focus our investment on our highest priority clinical programs in the near-term, our expenses may increase substantially in connection with our ongoing and planned activities, particularly as we:</w:t>
      </w:r>
    </w:p>
    <w:p>
      <w:pPr>
        <w:spacing w:after="0" w:line="62"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complete the clinical development and prepare for commercialization of SER-109 for patients with recurrent CDI;</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the clinical development of SER-287 in our Phase 2b clinical trial for the treatment of UC;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the clinical development of SER-301 for the treatment of UC;</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initiate clinical development of SER-155 for the prevention of mortality due to GvHD in immunocompromised patients, including in patients receiving allo-HSCT;</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the clinical development of SER-401 in our Phase 1b clinical trial for use with checkpoint inhibitors in patients with metastatic melanoma;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strategic investments in our research discovery and development platforms and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SER-401</w:t>
      </w:r>
    </w:p>
    <w:p>
      <w:pPr>
        <w:spacing w:after="0" w:line="13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SER-401, an oral consortium of purified bacteria is a microbiome therapeutic candidate comprising a bacterial signature similar to that observed in checkpoint inhibitor immunotherapy responders. In March 2019, the first patient was dosed in the Phase 1b clinical study with MD Anderson and PICI, to evaluate SER-401’s potential to augment the response of anti-PD-1 checkpoint inhibitor therapy. The study is designed to enroll 30 patients with metastatic melanoma who are being treated with nivolumab, an anti-PD-1 therapy. Patients are randomized at a 2-to-1 ratio to either SER-401 or placebo. The study’s primary endpoints are to evaluate safety and tolerability. Its secondary endpoints are to evaluate the correlation of microbiome biomarkers of response to various clinical and immunological outcome measures.</w:t>
      </w:r>
    </w:p>
    <w:p>
      <w:pPr>
        <w:spacing w:after="0" w:line="178"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Seres continues to monitor the impact of the COVID-19 pandemic on company operations and ongoing clinical development activity, including on the SER-401 Phase 1b study in metastatic melanoma. Mitigation activities to minimize COVID-19-related operation disruptions are ongoing, however, given the severity and evolving nature of the situation, the timing of the SER-401 Phase 1b clinical readout is uncertain.</w:t>
      </w:r>
    </w:p>
    <w:p>
      <w:pPr>
        <w:spacing w:after="0" w:line="165"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18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For example, the trading prices for our and other biopharmaceutical companies’ stock have been highly volatile as a result of the COVID-19 pandemic. As a result, we may face difficulties raising capital through sales of our common stock and any such sales may be on unfavorable terms. See “Risk Factors—Risks Related to Our Operations—The COVID-19 pandemic caused by the novel strain of coronavirus has adversely impacted and could continue to adversely impact, our business, including our preclinical studies and clinical trials, results of operations and financial condition” in Part I, Item 1A of this Annual Report on Form 10-K.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17" w:lineRule="exact"/>
        <w:rPr>
          <w:sz w:val="20"/>
          <w:szCs w:val="20"/>
          <w:color w:val="auto"/>
        </w:rPr>
      </w:pPr>
    </w:p>
    <w:p>
      <w:pPr>
        <w:ind w:right="80" w:firstLine="578"/>
        <w:spacing w:after="0" w:line="272" w:lineRule="auto"/>
        <w:rPr>
          <w:sz w:val="20"/>
          <w:szCs w:val="20"/>
          <w:color w:val="auto"/>
        </w:rPr>
      </w:pPr>
      <w:r>
        <w:rPr>
          <w:rFonts w:ascii="Arial" w:cs="Arial" w:eastAsia="Arial" w:hAnsi="Arial"/>
          <w:sz w:val="17"/>
          <w:szCs w:val="17"/>
          <w:color w:val="auto"/>
        </w:rPr>
        <w:t>We have an extensive patent portfolio directed to rationally designed ecologies of spores and microbes. The portfolio includes both company-owned patents and applications, and those that we have rights to as licensee. For example, our portfolio includes an option to license foundational intellectual property related to the use of bacteria in combination with checkpoint inhibitors from MD Anderson. The patents and applications included in our portfolio cover both composition of matter and methods (</w:t>
      </w:r>
      <w:r>
        <w:rPr>
          <w:rFonts w:ascii="Arial" w:cs="Arial" w:eastAsia="Arial" w:hAnsi="Arial"/>
          <w:sz w:val="17"/>
          <w:szCs w:val="17"/>
          <w:i w:val="1"/>
          <w:iCs w:val="1"/>
          <w:color w:val="auto"/>
        </w:rPr>
        <w:t>e.g.</w:t>
      </w:r>
      <w:r>
        <w:rPr>
          <w:rFonts w:ascii="Arial" w:cs="Arial" w:eastAsia="Arial" w:hAnsi="Arial"/>
          <w:sz w:val="17"/>
          <w:szCs w:val="17"/>
          <w:color w:val="auto"/>
        </w:rPr>
        <w:t>, method of treating). Our intellectual property rights related to SER-109 (</w:t>
      </w:r>
      <w:r>
        <w:rPr>
          <w:rFonts w:ascii="Arial" w:cs="Arial" w:eastAsia="Arial" w:hAnsi="Arial"/>
          <w:sz w:val="17"/>
          <w:szCs w:val="17"/>
          <w:i w:val="1"/>
          <w:iCs w:val="1"/>
          <w:color w:val="auto"/>
        </w:rPr>
        <w:t>C. difficile</w:t>
      </w:r>
      <w:r>
        <w:rPr>
          <w:rFonts w:ascii="Arial" w:cs="Arial" w:eastAsia="Arial" w:hAnsi="Arial"/>
          <w:sz w:val="17"/>
          <w:szCs w:val="17"/>
          <w:color w:val="auto"/>
        </w:rPr>
        <w:t>) and SER-287 (ulcerative colitis) extend through 2033. We plan on continuing to broaden our patent portfolio. Currently, we have 23 active patent application families, which includes 19 nationalized applications, 2 pending at the PCT stage, and 2 pending U.S. provisional applications. To date, we have obtained 14 issued U.S. patents and 2 U.S. patent applications have additionally been allowed.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Exclusivity</w:t>
      </w:r>
    </w:p>
    <w:p>
      <w:pPr>
        <w:spacing w:after="0" w:line="117" w:lineRule="exact"/>
        <w:rPr>
          <w:sz w:val="20"/>
          <w:szCs w:val="20"/>
          <w:color w:val="auto"/>
        </w:rPr>
      </w:pPr>
    </w:p>
    <w:p>
      <w:pPr>
        <w:ind w:right="240" w:firstLine="578"/>
        <w:spacing w:after="0" w:line="263" w:lineRule="auto"/>
        <w:rPr>
          <w:sz w:val="20"/>
          <w:szCs w:val="20"/>
          <w:color w:val="auto"/>
        </w:rPr>
      </w:pPr>
      <w:r>
        <w:rPr>
          <w:rFonts w:ascii="Arial" w:cs="Arial" w:eastAsia="Arial" w:hAnsi="Arial"/>
          <w:sz w:val="18"/>
          <w:szCs w:val="18"/>
          <w:color w:val="auto"/>
        </w:rPr>
        <w:t>If we obtain marketing approval for any of our product candidates, we expect to receive marketing exclusivity against biosimilar products. For a new biological composition approved by the FDA, a 12-year period of exclusivity in the United States may be obtained. In Europe, the European Medicines Agency awards 10 years of exclusivity for new molecular entities.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To date we have not generated any revenues from the sale of products. Our revenues have been derived primarily from our agreements with our collaborators. See “—Liquidity and Capital Resources.”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primarily of research and development activities and general and administrative costs.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00" w:right="80" w:hanging="493"/>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incurred under agreements with third-parties,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75"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in our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preclinical study and clinical trial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 All costs associated with the License Agreement with Nestlé, and the Research Agreement with MedImmune are recorded in research and development expense in the condensed consolidated statements of operations and comprehensive loss.</w:t>
      </w:r>
    </w:p>
    <w:p>
      <w:pPr>
        <w:spacing w:after="0" w:line="16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primary focus of research and development since inception has been on our microbiome therapeutics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178"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table below summarizes our research and development expenses incurred on our platform and by product development program for those that have begun clinical development.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7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50,307</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SER-109</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18,482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SER-287</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Early stage programs</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90,570</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vMerge w:val="restart"/>
          </w:tcPr>
          <w:p>
            <w:pPr>
              <w:jc w:val="right"/>
              <w:ind w:right="630"/>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ind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complete our open-label clinical study of SER-109, advance the clinical development of SER-287, continue to discover and develop additional product candidates, including SER-301, SER-155 and SER-401 and pursue later stages of clinical development of our product candidates.</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general and administrative expenses may increase in the future if we increase our headcount to support the potential growth in our research and development activities and the potential commercialization of our product candidates. We also may continue to incur increased expenses associated with being a public company, including increased costs of accounting, audit, legal, regulatory and tax-related services associated with maintaining compliance with exchange listing and the requirements of the Securities and Exchange Commission, director and officer insurance costs and investor and public relations costs.</w:t>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20" w:firstLine="578"/>
        <w:spacing w:after="0" w:line="296" w:lineRule="auto"/>
        <w:rPr>
          <w:sz w:val="20"/>
          <w:szCs w:val="20"/>
          <w:color w:val="auto"/>
        </w:rPr>
      </w:pPr>
      <w:r>
        <w:rPr>
          <w:rFonts w:ascii="Arial" w:cs="Arial" w:eastAsia="Arial" w:hAnsi="Arial"/>
          <w:sz w:val="16"/>
          <w:szCs w:val="16"/>
          <w:color w:val="auto"/>
        </w:rPr>
        <w:t>In February 2019, we implemented corporate changes to focus our resources on advancing our clinical-stage therapeutic candidates. As a result, we are concentrating on completing our SER-287 Phase 2b study in mild-to-moderate UC patients, expanding the SER-109 safety database to meet the FDA threshold of at least 300 patients, advancing the SER-401 Phase 1b study in collaboration with the PICI and MD Anderson to evaluate augmenting checkpoint inhibitor response in patients with metastatic melanoma, and advancing SER-301 into clinical development. In connection with the prioritization of these therapeutic candidates, we made changes to our management team and reduced headcount by approximately 30 percent.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of interest incurred under our loan and security agreement with Hercules.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primarily consists of sublease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2020, we had federal and state net operating loss carryforwards of $390.0 million and $386.9 million, respectively, both of which begin to expire in 2035. As of December 31, 2020, we also had federal and state research and development tax credit carryforwards of $36.4 million and $7.5 million, respectively, which begin to expire in 2031 and 2028, respectively. The federal research and development tax credits include an orphan drug credit carryforward of $20.7 million.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 xml:space="preserve">We recognize revenue in accordance with the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applies to all contracts with customers, except those contracts that are within the scope of other guidance, such as leases, insurance, and financial instruments. We enter into agreements that are within the scope of ASC 606, under which we license certain of our product candidates and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we recognize revenue when our customer obtains control of promised goods or services, in an amount that reflects the consideration which we expect to receive in exchange for those goods or services. When determining the timing and extent of revenue recognition for arrangements that we determine are within the scope of ASC 606, we perform the following five steps:</w:t>
      </w:r>
    </w:p>
    <w:p>
      <w:pPr>
        <w:spacing w:after="0" w:line="57"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6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to which we are entitled in exchange for the goods or services transferred to our customer.</w:t>
      </w:r>
    </w:p>
    <w:p>
      <w:pPr>
        <w:spacing w:after="0" w:line="19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At contract inception, once the contract is determined to be within the scope of ASC 606, we assess the goods or services promised within the contract to determine whether each promised good or service is a performance obligation. The promised goods or services in our arrangements typically consist of a license to our intellectual property and/or research and development services. We may provide options to additional items in such arrangements, which are accounted for as separate contracts when our customer elects to exercise such options, unless the option provides a material right to our customer. Performance obligations are promises in a contract to transfer a distinct good or service to our customer that (i) our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meets the requirements of a performance obligation.</w:t>
      </w:r>
    </w:p>
    <w:p>
      <w:pPr>
        <w:spacing w:after="0" w:line="23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determine transaction price based on the amount of consideration we expect to receive for transferring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18"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We then allocate the transaction price to each performance obligation based on the relative standalone selling price and recognize as revenue the amount of the transaction price that is allocated to the respective performance obligation when (or as) control is transferred to our customer and the performance obligation is satisfied.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92"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record amounts as accounts receivable when the right to consideration is deemed unconditional. When consideration is received, or such consideration is unconditionally due, from our customer prior to transferring goods or services to our customer under the terms of a contract, a contract liability is recorded for deferred revenue.</w:t>
      </w:r>
    </w:p>
    <w:p>
      <w:pPr>
        <w:spacing w:after="0" w:line="184" w:lineRule="exact"/>
        <w:rPr>
          <w:sz w:val="20"/>
          <w:szCs w:val="20"/>
          <w:color w:val="auto"/>
        </w:rPr>
      </w:pPr>
    </w:p>
    <w:p>
      <w:pPr>
        <w:ind w:right="480" w:firstLine="510"/>
        <w:spacing w:after="0" w:line="259" w:lineRule="auto"/>
        <w:rPr>
          <w:sz w:val="20"/>
          <w:szCs w:val="20"/>
          <w:color w:val="auto"/>
        </w:rPr>
      </w:pPr>
      <w:r>
        <w:rPr>
          <w:rFonts w:ascii="Arial" w:cs="Arial" w:eastAsia="Arial" w:hAnsi="Arial"/>
          <w:sz w:val="18"/>
          <w:szCs w:val="18"/>
          <w:color w:val="auto"/>
        </w:rPr>
        <w:t>We do not assess whether a contract has a significant financing component if the expectation at contract inception is that the period between payment by our customer and the transfer of the promised goods or services to our customer will be one year or less. Incremental costs of obtaining a contract are expensed as and when incurred if the expected period over which we would have amortized the asset is one year or less, or the amount is immaterial.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We evaluate the promised goods or services to determine which promises, or group of promises, represent performance obligations. In contemplation of whether a promised good or service meets the criteria required of a performance obligation, we consider the stage of development of the underlying intellectual property, the capabilities and expertise of our customer relative to the underlying intellectual property, and whether the promised goods or services are integral to or dependent on other promises in the contract. When accounting for an arrangement that contains multiple performance obligations, we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When we conclude that a contract should be accounted for as a combined performance obligation and recognized over time, we must then determine the period over which revenue should be recognized and the method by which to measure revenue. We generally recognize revenue using a cost-based input method.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a license to our intellectual property is determined to be distinct from the other performance obligations identified in the arrangement, we recognize revenue allocated to the license when the license is transferred to our customer and our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We evaluate the measure of progress each reporting period and, if necessary, adjust the measure of progress and related revenue recognition.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7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evaluate each milestone to determine when and how much of the milestone to include in the transaction price. We first estimate the amount of the milestone payment that we could receive using either the expected value or the most likely amount approach. We primarily use the most likely amount approach as that approach is generally most predictive for milestone payments with a binary outcome. Then, we consider whether any portion of that estimated amount is subject to the variable consideration constraint (that is, whether it is probable that a significant reversal of cumulative revenue would not occur upon resolution of the uncertainty). We update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For arrangements that include a promise of supply of clinical or commercial product, we determine if the supply is a promise in the contract or a future obligation at our customer’s option. If determined to be a promise at inception of the contract, we evaluate the promise to determine whether it is a separate performance obligation or a component of a bundled performance obligation. If determined to be an option, we determine if the option provides a material right to our customer and if so, account for the option as a separate performance obligation. If determined to be an option but not a material right, we account for the option as a separate contract when our customer elects to exercise the option.</w:t>
      </w:r>
    </w:p>
    <w:p>
      <w:pPr>
        <w:spacing w:after="0" w:line="1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Application of the above guidance requires significant judgment and requires us to make determinations based on the facts and circumstances under each 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40" w:firstLine="51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69"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225"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p>
        </w:tc>
        <w:tc>
          <w:tcPr>
            <w:tcW w:w="1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11,897</w:t>
            </w:r>
          </w:p>
        </w:tc>
        <w:tc>
          <w:tcPr>
            <w:tcW w:w="120" w:type="dxa"/>
            <w:vAlign w:val="bottom"/>
          </w:tcPr>
          <w:p>
            <w:pPr>
              <w:spacing w:after="0"/>
              <w:rPr>
                <w:sz w:val="19"/>
                <w:szCs w:val="19"/>
                <w:color w:val="auto"/>
              </w:rPr>
            </w:pP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27,188</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(15,291)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Collaboration revenue</w:t>
            </w:r>
          </w:p>
        </w:tc>
        <w:tc>
          <w:tcPr>
            <w:tcW w:w="1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Other (expense) income: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(2,422)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 income, net</w:t>
            </w:r>
          </w:p>
        </w:tc>
        <w:tc>
          <w:tcPr>
            <w:tcW w:w="16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(89,127)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60" w:type="dxa"/>
            <w:vAlign w:val="bottom"/>
            <w:vMerge w:val="restart"/>
          </w:tcPr>
          <w:p>
            <w:pPr>
              <w:jc w:val="right"/>
              <w:ind w:right="63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Total revenue was $33.2 million and $34.5 million for the years ended December 31, 2020 and 2019, respectively. The revenue for the year ended December 31, 2020 related primarily to $17.2 million associated with our Research Agreement with MedImmune, a wholly owned subsidiary of AstraZeneca Inc. The increase of $10.9 million in revenue from our Research Agreement from fiscal 2019 to fiscal 2020 is primarily related to AstraZeneca’s election to terminate the Research Agreement by and in accordance with its terms. As a result of this election and because we no longer had any performance obligations as of December 31, 2020, we recognized all deferred revenue in fiscal 2020. Additionally, we recognized $11.9 million of revenue associated with our license and collaborative agreement with Nestec Ltd., or the License Agreement. This was a $15.3 million decrease from fiscal 2019, which was primarily a result of an increase in our total estimated costs expected to complete our single performance obligation driven by our active enrollment of patients in our open-label study for SER-109 in order to expand the safety database to meet the FDA threshold of at least 300 patients and SER-287 clinical development activity being adversely impacted by the COVID-19 pandemic. The decrease was partially off-set by cumulative catch-up revenue associated with the increase of $10.0 million to the transaction price related to the milestone payment we received from Nestlé for initiating the SER-301 Phase 1b study. Lastly, we recognized $4.2 million of grant revenue in fiscal 2020, which was a $3.1 million increase from fiscal 2019. This is primarily the result of the advancement of our SER-155 research and development activities, which are reimbursable under the terms of the CARB-X grant.</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2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53,961</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50,307</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SER-109</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SER-287</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Early stage programs</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$90.6 million for the year ended December 31, 2020, compared to $80.1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increase of $10.4 million was due primarily to the following:</w:t>
      </w:r>
    </w:p>
    <w:p>
      <w:pPr>
        <w:spacing w:after="0" w:line="103" w:lineRule="exact"/>
        <w:rPr>
          <w:sz w:val="20"/>
          <w:szCs w:val="20"/>
          <w:color w:val="auto"/>
        </w:rPr>
      </w:pPr>
    </w:p>
    <w:p>
      <w:pPr>
        <w:ind w:left="1000" w:right="120" w:hanging="493"/>
        <w:spacing w:after="0" w:line="308"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increase of $3.7 million in research expenses related to our microbiome therapeutics platform due primarily to an increase of $5.0 million in employee and consultant expenses. This was partially offset by a decrease of $1.8 million in facility and supply costs.</w:t>
      </w:r>
    </w:p>
    <w:p>
      <w:pPr>
        <w:spacing w:after="0" w:line="38" w:lineRule="exact"/>
        <w:rPr>
          <w:rFonts w:ascii="Arial" w:cs="Arial" w:eastAsia="Arial" w:hAnsi="Arial"/>
          <w:sz w:val="17"/>
          <w:szCs w:val="17"/>
          <w:color w:val="auto"/>
        </w:rPr>
      </w:pPr>
    </w:p>
    <w:p>
      <w:pPr>
        <w:jc w:val="both"/>
        <w:ind w:left="1000" w:right="160" w:hanging="493"/>
        <w:spacing w:after="0" w:line="311"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increase of $4.7 million in expenses related to our SER-109 program, due primarily to an increase of $1.7 million in contract manufacturing, an increase of $1.3 million in employee and consultant expenses, an increase of $1.0 million in sequencing costs, an increase of $1.0 million in facilities and supply costs, and partially offset by a decrease of $0.4 million in clinical trial consulting expenses;</w:t>
      </w:r>
    </w:p>
    <w:p>
      <w:pPr>
        <w:spacing w:after="0" w:line="40"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of $1.1 million in expenses of our SER-287 program primarily driven by a decrease in contract manufacturing of $3.4 million, and partially offset by an increase of $1.2 million in facility and supplies, an increase of $0.7 million in clinical trial consulting expenses, and an increase of $0.3 million employee and consultant expenses;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$3.2 million in expenses of our early stage programs primarily driven by an increase in clinical trials costs.</w:t>
      </w:r>
    </w:p>
    <w:p>
      <w:pPr>
        <w:spacing w:after="0" w:line="22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expect that our research and development expenses may increase in the foreseeable future as we advance the clinical development of SER-109, SER-287 and SER-301, and continue to discover and develop additional product candidates, including SER-155 and SER-401, and pursue later stages of clinical development of our product candidates.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w w:val="93"/>
              </w:rPr>
              <w:t>Personnel related (including stock-based compensation)</w:t>
            </w:r>
          </w:p>
        </w:tc>
        <w:tc>
          <w:tcPr>
            <w:tcW w:w="1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11,078</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Professional fees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13,781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1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1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30,775</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00" w:type="dxa"/>
            <w:vAlign w:val="bottom"/>
            <w:vMerge w:val="restart"/>
          </w:tcPr>
          <w:p>
            <w:pPr>
              <w:jc w:val="right"/>
              <w:ind w:right="63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1" w:name="page82"/>
    <w:bookmarkEnd w:id="81"/>
    <w:p>
      <w:pPr>
        <w:ind w:left="520"/>
        <w:spacing w:after="0"/>
        <w:rPr>
          <w:sz w:val="20"/>
          <w:szCs w:val="20"/>
          <w:color w:val="auto"/>
        </w:rPr>
      </w:pPr>
      <w:r>
        <w:rPr>
          <w:rFonts w:ascii="Arial" w:cs="Arial" w:eastAsia="Arial" w:hAnsi="Arial"/>
          <w:sz w:val="17"/>
          <w:szCs w:val="17"/>
          <w:color w:val="auto"/>
        </w:rPr>
        <w:t>General and administrative expenses were $30.8 million for the year ended December 31, 2020, compared to $24.7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increase of $6.0 million was primarily due to the following:</w:t>
      </w:r>
    </w:p>
    <w:p>
      <w:pPr>
        <w:spacing w:after="0" w:line="103" w:lineRule="exact"/>
        <w:rPr>
          <w:sz w:val="20"/>
          <w:szCs w:val="20"/>
          <w:color w:val="auto"/>
        </w:rPr>
      </w:pPr>
    </w:p>
    <w:p>
      <w:pPr>
        <w:ind w:left="1000" w:right="34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personnel related costs of $1.5 million primarily due to the increase of $0.8 million in salary cost, payroll tax expense, and benefit costs, and a $0.4 million increase in stock-based compensation expense; and</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professional fees of $4.5 million primarily due to a $4.1 million increase in SER-109 commercial readiness and a $0.6 million increase in recruiting fees.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During the year ended December 31, 2019 we recorded charges of $1.5 million related to severance and other termination benefits, of which $1.3 million was paid during the year ended December 31, 2019. The remaining $0.2 million of restructuring charges were paid in fiscal 2020. No restructuring charges were recorded during the years ended December 31, 2018 and December 31,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Other (expense) income, net for the year ended December 31, 2020 was $1.0 million of expense, compared to $1.6 million of income for the year ended December 31, 2019. The $2.6 million decrease in other (expense) income, net was primarily due to $2.9 million of interest expense associated with our term loan with Hercules, associated with the term loan being outstanding for the entirety of fiscal 2020 compared to partially outstanding in fiscal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p>
        </w:tc>
        <w:tc>
          <w:tcPr>
            <w:tcW w:w="1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27,188</w:t>
            </w:r>
          </w:p>
        </w:tc>
        <w:tc>
          <w:tcPr>
            <w:tcW w:w="120" w:type="dxa"/>
            <w:vAlign w:val="bottom"/>
          </w:tcPr>
          <w:p>
            <w:pPr>
              <w:spacing w:after="0"/>
              <w:rPr>
                <w:sz w:val="19"/>
                <w:szCs w:val="19"/>
                <w:color w:val="auto"/>
              </w:rPr>
            </w:pP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26,917</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Collaboration revenue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106,381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(100,284)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net</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Total revenue was $34.5 million and $28.3 million for the years ended December 31, 2019 and 2018, respectively. The revenue for both periods principally relates to the recognition of amounts received under the License Agreement. The increase is mainly due to recognition of amounts received under the Research Agreement entered into in March 2019.</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2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50,307</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59,125</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SER-109</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18,482</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SER-287</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Early stage programs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$80.1 million for the year ended December 31, 2019, compared to $96.0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decrease of $15.8 million was due primarily to the following:</w:t>
      </w:r>
    </w:p>
    <w:p>
      <w:pPr>
        <w:spacing w:after="0" w:line="103" w:lineRule="exact"/>
        <w:rPr>
          <w:sz w:val="20"/>
          <w:szCs w:val="20"/>
          <w:color w:val="auto"/>
        </w:rPr>
      </w:pPr>
    </w:p>
    <w:p>
      <w:pPr>
        <w:ind w:left="1000" w:hanging="493"/>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of $8.8 million in research expenses related to our microbiome therapeutics platform, due primarily to a decrease of $9.3 million in employee and consultant expenses, and partially offset by an increase of $0.4 million of professional fees and an increase of $0.2 million of facility and supply costs;</w:t>
      </w:r>
    </w:p>
    <w:p>
      <w:pPr>
        <w:spacing w:after="0" w:line="75"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of $8.2 million in expenses related to our SER-109 program, due primarily to a decrease of $3.2 million in contract manufacturing costs, a $3.1 million decrease in clinical trial consulting expenses, a $1.0 million decrease in facility and supply costs, and a decrease of $0.9 million in sequencing costs;</w:t>
      </w:r>
    </w:p>
    <w:p>
      <w:pPr>
        <w:spacing w:after="0" w:line="75" w:lineRule="exact"/>
        <w:rPr>
          <w:rFonts w:ascii="Arial" w:cs="Arial" w:eastAsia="Arial" w:hAnsi="Arial"/>
          <w:sz w:val="18"/>
          <w:szCs w:val="18"/>
          <w:color w:val="auto"/>
        </w:rPr>
      </w:pPr>
    </w:p>
    <w:p>
      <w:pPr>
        <w:jc w:val="both"/>
        <w:ind w:left="1000" w:right="320" w:hanging="493"/>
        <w:spacing w:after="0" w:line="286"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of $5.8 million in expenses of our SER-287 program primarily driven by an increase in clinical trials costs of $4.8 million, an increase in contract manufacturing of $3.4 million, this is partially offset by a $1.2 million decrease in facility and supply costs, and a $0.8 million decrease sequencing and a $0.4 million decrease in employee and consultant expenses, and;</w:t>
      </w:r>
    </w:p>
    <w:p>
      <w:pPr>
        <w:spacing w:after="0" w:line="57" w:lineRule="exact"/>
        <w:rPr>
          <w:rFonts w:ascii="Arial" w:cs="Arial" w:eastAsia="Arial" w:hAnsi="Arial"/>
          <w:sz w:val="17"/>
          <w:szCs w:val="17"/>
          <w:color w:val="auto"/>
        </w:rPr>
      </w:pPr>
    </w:p>
    <w:p>
      <w:pPr>
        <w:ind w:left="1000" w:right="30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of $4.6 million in expenses of our early stage programs primarily driven by a decrease in clinical trial costs of $2.8 million and decrease in sequencing costs $1.0 million.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8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15,765</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Professional fees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24,748</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$24.7 million for the year ended December 31, 2019, compared to $32.6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decrease of $7.8 million was primarily due to the following:</w:t>
      </w:r>
    </w:p>
    <w:p>
      <w:pPr>
        <w:spacing w:after="0" w:line="103" w:lineRule="exact"/>
        <w:rPr>
          <w:sz w:val="20"/>
          <w:szCs w:val="20"/>
          <w:color w:val="auto"/>
        </w:rPr>
      </w:pPr>
    </w:p>
    <w:p>
      <w:pPr>
        <w:ind w:left="1000" w:right="8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personnel related costs of $6.2 million primarily due to the decrease in stock-based compensation expense of $4.6 million and a decrease in salary costs of $1.8 million;</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professional fees of $1.7 million primarily due to an increase in consulting fees of $0.7 million, an increase in accounting related fees of $0.7 million, and an increase in legal fees of $0.3 million;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facility-related and other costs of $3.3 million primarily due to a decrease in information technology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320" w:firstLine="468"/>
        <w:spacing w:after="0" w:line="342" w:lineRule="auto"/>
        <w:rPr>
          <w:sz w:val="20"/>
          <w:szCs w:val="20"/>
          <w:color w:val="auto"/>
        </w:rPr>
      </w:pPr>
      <w:r>
        <w:rPr>
          <w:rFonts w:ascii="Arial" w:cs="Arial" w:eastAsia="Arial" w:hAnsi="Arial"/>
          <w:sz w:val="16"/>
          <w:szCs w:val="16"/>
          <w:color w:val="auto"/>
        </w:rPr>
        <w:t>During the year ended December 31, 2019 we recorded charges of $1.5 million related to severance and other termination benefits, of which $1.3 million was paid during the year ended December 31, 2019. No restructuring charges were recorded during the year ended December 31, 2018.</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Other income, net for the year ended December 31, 2019 was $1.6 million, compared to $1.3 million for the year ended December 31, 2018. The $0.3 million increase in other income, net was primarily due to sublease income of $0.9 million. This increase was partially offset by interest expense of $0.5 million incurred under the Term Loan Facility.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Since our inception, we have generated revenue only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187" w:lineRule="exact"/>
        <w:rPr>
          <w:sz w:val="20"/>
          <w:szCs w:val="20"/>
          <w:color w:val="auto"/>
        </w:rPr>
      </w:pPr>
    </w:p>
    <w:p>
      <w:pPr>
        <w:ind w:right="100" w:firstLine="578"/>
        <w:spacing w:after="0" w:line="301" w:lineRule="auto"/>
        <w:rPr>
          <w:sz w:val="20"/>
          <w:szCs w:val="20"/>
          <w:color w:val="auto"/>
        </w:rPr>
      </w:pPr>
      <w:r>
        <w:rPr>
          <w:rFonts w:ascii="Arial" w:cs="Arial" w:eastAsia="Arial" w:hAnsi="Arial"/>
          <w:sz w:val="16"/>
          <w:szCs w:val="16"/>
          <w:color w:val="auto"/>
        </w:rPr>
        <w:t>In August 2020, we completed an underwritten public offering in which we sold 10,500,000 shares of our common stock at a public offering price of $21.50 per share. In addition, we granted the underwriters a 30-day option to purchase up to an additional 1,575,000 shares of its common stock at the public offering price, less underwriting discounts and commissions, which the underwriters exercised in full. We received aggregate net proceeds from the offering of approximately $243.7 million after deducting underwriting discounts and commissions and offering expenses payable by us.</w:t>
      </w:r>
    </w:p>
    <w:p>
      <w:pPr>
        <w:spacing w:after="0" w:line="157" w:lineRule="exact"/>
        <w:rPr>
          <w:sz w:val="20"/>
          <w:szCs w:val="20"/>
          <w:color w:val="auto"/>
        </w:rPr>
      </w:pPr>
    </w:p>
    <w:p>
      <w:pPr>
        <w:ind w:right="300" w:firstLine="578"/>
        <w:spacing w:after="0" w:line="263" w:lineRule="auto"/>
        <w:rPr>
          <w:sz w:val="20"/>
          <w:szCs w:val="20"/>
          <w:color w:val="auto"/>
        </w:rPr>
      </w:pPr>
      <w:r>
        <w:rPr>
          <w:rFonts w:ascii="Arial" w:cs="Arial" w:eastAsia="Arial" w:hAnsi="Arial"/>
          <w:sz w:val="18"/>
          <w:szCs w:val="18"/>
          <w:color w:val="auto"/>
        </w:rPr>
        <w:t>In August 2020, we entered into a Securities Purchase Agreement with Nestlé for the sale of 959,002 shares of our common stock at a purchase price of $20.855 per share (the “concurrent placement”). We received aggregate net proceeds from the concurrent placement of approximately $19.9 million after deducting offering expenses payable by us.</w:t>
      </w:r>
    </w:p>
    <w:p>
      <w:pPr>
        <w:spacing w:after="0" w:line="1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November 2019, we entered into a common stock sales agreement, or the 2019 Sales Agreement, with Cowen to sell shares of our common stock with aggregate gross sales proceeds of up to $25.0 million, from time to time, through an ATM under which Cowen acts as sales agent. In March 2020, in connection with filing an updated registration statement on Form S-3 (File No. 333-237033), we entered into a new common stock sales agreement, or the 2020 Sales Agreement, with Cowen on substantially the same terms as the 2019 Sales Agreement and terminated the 2019 Sales Agreement. During the year ended December 31, 2020, we sold approximately 5.8 million shares of common stock under the 2019 Sales Agreement and the 2020 Sales Agreement, as applicable, at an average price of approximately $4.40 per share, raising aggregate net proceeds of approximately $24.8 million after deducting an aggregate commission of approximately 3%.</w:t>
      </w:r>
    </w:p>
    <w:p>
      <w:pPr>
        <w:spacing w:after="0" w:line="17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As of December 31, 2020, we had cash, cash equivalents and short- and long-term investments totaling $303.4 million and an accumulated deficit of $548.8 million. Based on our current plans and forecasted expenses, we believe that our cash, cash equivalents and investments as of December 31, 2020, will enable us to fund our operating expenses, debt service obligations and capital expenditures for at least the next 12-months from issuance of our consolidated financial statements included elsewhere in this Annual Report on Form 10-K. We have based this estimate on assumptions that may prove to be wrong, and we could use our capital resources sooner than we currently expect.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Nestlé</w:t>
      </w:r>
    </w:p>
    <w:p>
      <w:pPr>
        <w:spacing w:after="0" w:line="11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In January 2016, we entered into the License Agreement, for the development and commercialization of certain of our product candidates in development for the treatment and management of CDI and IBD, including UC and Crohn’s disease. In exchange for the license, Nestlé agreed to pay us an upfront cash payment of $120.0 million, which we received in February 2016. Nestlé has also agreed to pay us tiered royalties, at percentages ranging from the high single digits to high teens, of net sales of certain products based on our microbiome technology that are being developed for the treatment of CDI and IBD, including SER-109, SER-262, SER-287 and SER-301, or collectively, the Nestlé Collaboration Products in markets outside of the United States and Canada, or the Licensed Territory. We have retained full commercial rights to the Nestlé Collaboration Products with respect to the United States and Canada, where we plan to build our own commercial organization. We are eligible to receive up to $285.0 million in development milestone payments, $375.0 million in regulatory payments and up to an aggregate of $1.1 billion for the achievement of certain commercial milestones related to the sales of Nestlé Collaboration Products. The full potential value of the up-front payment and milestone payments payable by Nestlé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SER-109 (ECOSPOR III) in patients with multiply recurrent CDI. In July 2017, we recorded revenue of $20.0 million based on the achievement of this milestone under the License Agreement. In November 2018, we executed a letter agreement with Nestlé, or the Letter Agreement, modifying certain terms of the License Agreement. Under the Letter Agreement, Nestlé agreed to pay us the $20.0 million Phase 3 milestone payment upon commencement of the Phase 2b study for SER-</w:t>
      </w:r>
    </w:p>
    <w:p>
      <w:pPr>
        <w:spacing w:after="0" w:line="1" w:lineRule="exact"/>
        <w:rPr>
          <w:sz w:val="20"/>
          <w:szCs w:val="20"/>
          <w:color w:val="auto"/>
        </w:rPr>
      </w:pPr>
    </w:p>
    <w:p>
      <w:pPr>
        <w:ind w:right="220" w:firstLine="8"/>
        <w:spacing w:after="0" w:line="260"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December 2018, we received $40.0 million in milestone payments in connection with the commencement of the Phase 2b study for SER-287. To date, we have received $80.0 million in development milestones under the License Agreement with Nestlé.</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4" w:name="page85"/>
    <w:bookmarkEnd w:id="84"/>
    <w:p>
      <w:pPr>
        <w:ind w:right="60" w:firstLine="510"/>
        <w:spacing w:after="0" w:line="273" w:lineRule="auto"/>
        <w:rPr>
          <w:sz w:val="20"/>
          <w:szCs w:val="20"/>
          <w:color w:val="auto"/>
        </w:rPr>
      </w:pPr>
      <w:r>
        <w:rPr>
          <w:rFonts w:ascii="Arial" w:cs="Arial" w:eastAsia="Arial" w:hAnsi="Arial"/>
          <w:sz w:val="17"/>
          <w:szCs w:val="17"/>
          <w:color w:val="auto"/>
        </w:rPr>
        <w:t>For the development of Nestlé Collaboration Products for IBD under a global development plan, we agreed to pay the costs of clinical trials of such products up to and including Phase 2 clinical trials, and 67% of the costs for Phase 3 and other clinical trials of such products, with Nestlé bearing the remaining 33% of such costs. The Letter Agreement also provides scenarios under which Nestlé’s reimbursement to us for certain Phase 3 development costs would be reduced or delayed depending on the outcomes of the SER-287 Phase 2b study. For other clinical development of Nestlé Collaboration Products for IBD, we agreed to pay the costs of such activities to support approval in the United States and Canada, and Nestlé agreed to bear the cost of such activities to support approval of Nestlé Collaboration Products in the Licensed Territory.</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With respect to development of Nestlé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Nestlé Collaboration Products other than SER-109 for CDI. We agreed to pay 67% and Nestlé agreed to pay 33% of other costs of Phase 3 clinical trials conducted for Nestlé Collaboration Products other than SER-109 for CDI under a global development plan. For other clinical development of Nestlé Collaboration Products for CDI, we agreed to pay costs of such development activities to support approval in the United States and Canada, and Nestlé agreed to bear the cost of such activities to support approval of Nestlé Collaboration Products in the Licensed Territory.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AstraZeneca</w:t>
      </w:r>
    </w:p>
    <w:p>
      <w:pPr>
        <w:spacing w:after="0" w:line="117" w:lineRule="exact"/>
        <w:rPr>
          <w:sz w:val="20"/>
          <w:szCs w:val="20"/>
          <w:color w:val="auto"/>
        </w:rPr>
      </w:pPr>
    </w:p>
    <w:p>
      <w:pPr>
        <w:jc w:val="both"/>
        <w:ind w:right="160" w:firstLine="510"/>
        <w:spacing w:after="0" w:line="287" w:lineRule="auto"/>
        <w:rPr>
          <w:sz w:val="20"/>
          <w:szCs w:val="20"/>
          <w:color w:val="auto"/>
        </w:rPr>
      </w:pPr>
      <w:r>
        <w:rPr>
          <w:rFonts w:ascii="Arial" w:cs="Arial" w:eastAsia="Arial" w:hAnsi="Arial"/>
          <w:sz w:val="16"/>
          <w:szCs w:val="16"/>
          <w:color w:val="auto"/>
        </w:rPr>
        <w:t>In March 2019, we entered into the Research Agreement with MedImmune, a wholly owned subsidiary of AstraZeneca. Pursuant to the Research Agreement, we and AstraZeneca agreed to conduct certain pre-clinical and development activities and may conduct certain clinical research with the goal of advancing the mechanistic understanding of the microbiome in augmenting the efficacy of cancer immunotherapy, including potential synergy</w:t>
      </w:r>
    </w:p>
    <w:p>
      <w:pPr>
        <w:spacing w:after="0" w:line="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with AstraZeneca compounds in accordance with a mutually agreed research plan. Pursuant to the Research Agreement, we agreed not to conduct research or development of any microbiome products specifically designed by us during the term of the Research Agreement for the treatment of cancer with or on behalf of any third party without the prior approval of the joint steering committee for the Research Agreement until at least three years after the effective date of the Research Agreement.</w:t>
      </w:r>
    </w:p>
    <w:p>
      <w:pPr>
        <w:spacing w:after="0" w:line="193" w:lineRule="exact"/>
        <w:rPr>
          <w:sz w:val="20"/>
          <w:szCs w:val="20"/>
          <w:color w:val="auto"/>
        </w:rPr>
      </w:pPr>
    </w:p>
    <w:p>
      <w:pPr>
        <w:jc w:val="both"/>
        <w:ind w:right="100" w:firstLine="510"/>
        <w:spacing w:after="0" w:line="257" w:lineRule="auto"/>
        <w:rPr>
          <w:sz w:val="20"/>
          <w:szCs w:val="20"/>
          <w:color w:val="auto"/>
        </w:rPr>
      </w:pPr>
      <w:r>
        <w:rPr>
          <w:rFonts w:ascii="Arial" w:cs="Arial" w:eastAsia="Arial" w:hAnsi="Arial"/>
          <w:sz w:val="18"/>
          <w:szCs w:val="18"/>
          <w:color w:val="auto"/>
        </w:rPr>
        <w:t>AstraZeneca has agreed to bear all costs of conducting its activities under the research plan and to reimburse us for certain costs incurred under the research plan. Additionally, AstraZeneca has agreed to pay to us a total of $20.0 million in three equal installments, the first of which we received in April 2019, the second of which we received in December 2019, and the third of which will become due on January 4, 2021. Such payments are payable even if the Research Agreement is terminated in accordance with its terms, unless the Research Agreement is terminated by AstraZeneca for our uncured material breach.</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also granted AstraZeneca an exclusive option to negotiate exclusive license rights to certain of our technologies and assets. If AstraZeneca exercises this option, we have agreed to enter into good faith negotiations with them for terms and conditions of such license agreement for a specified time period.</w:t>
      </w:r>
    </w:p>
    <w:p>
      <w:pPr>
        <w:spacing w:after="0" w:line="184" w:lineRule="exact"/>
        <w:rPr>
          <w:sz w:val="20"/>
          <w:szCs w:val="20"/>
          <w:color w:val="auto"/>
        </w:rPr>
      </w:pPr>
    </w:p>
    <w:p>
      <w:pPr>
        <w:ind w:right="180" w:firstLine="464"/>
        <w:spacing w:after="0" w:line="259" w:lineRule="auto"/>
        <w:rPr>
          <w:sz w:val="20"/>
          <w:szCs w:val="20"/>
          <w:color w:val="auto"/>
        </w:rPr>
      </w:pPr>
      <w:r>
        <w:rPr>
          <w:rFonts w:ascii="Arial" w:cs="Arial" w:eastAsia="Arial" w:hAnsi="Arial"/>
          <w:sz w:val="18"/>
          <w:szCs w:val="18"/>
          <w:color w:val="auto"/>
        </w:rPr>
        <w:t>In December 2020, we received written notice from AstraZeneca that they elected to terminate the Research Agreement by and in accordance with its terms. The termination of the Research Agreement will be effective on April 2, 2021 (the “Termination Date”), which is 120 days from the date of the notice. We received the third and final $6.7 million installment of the aggregate $20.0 million upfront payment due under the Research Agreement in January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with Hercules</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October 2019, we entered into a loan and security agreement with Hercules, pursuant to which a term loan in an aggregate principal amount of up to $50.0 million, or the Term Loan Facility, was available to us in three tranches, subject to certain terms and conditions. We received the first tranche of $25.0 million upon signing the agreement on October 29, 2019. We did not meet the milestone requirements for the second tranche under the Term Loan Facility, and as such, the additional second tranche amount of up to $12.5 million is not available for us to borrow. The third tranche, which allows us to borrow an additional $12.5 million, will be available upon Hercules’ approval on or prior to June 30, 2021.</w:t>
      </w:r>
    </w:p>
    <w:p>
      <w:pPr>
        <w:spacing w:after="0" w:line="176"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Advances under the Term Loan Facility will bear interest at a rate equal to the greater of either (i) the Prime Rate (as reported in The Wall Street Journal) plus 4.40%, and (ii) 9.65%. We will make interest only payments through December 1, 2021, or extended to June 1, 2022 upon satisfaction of certain milestones, and will then repay the principal balance and interest of the advances in equal monthly installments after the interest only period and continuing through November 1, 2023. We paid Hercules a commitment fee of $0.4 million at the closing. We may prepay advances under the loan and security agreement with Hercules, in whole or in part, at any time subject to a prepayment charge equal to: (a) 3.0 % of amounts so prepaid, if such prepayment occurs during the first year; (b) 2.0% of the amount so prepaid, if such prepayment occurs during the second year, and (c) 1.0% of the amount so prepaid, if such prepayment occurs after the second year. Upon prepayment or repayment of all or any of the term loans, we will pay (in addition to the prepayment premium) an end of term charge of 4.85% of the aggregate funded amount under the Term Loan Facility.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5" w:name="page86"/>
    <w:bookmarkEnd w:id="85"/>
    <w:p>
      <w:pPr>
        <w:ind w:right="80" w:firstLine="510"/>
        <w:spacing w:after="0" w:line="277" w:lineRule="auto"/>
        <w:rPr>
          <w:sz w:val="20"/>
          <w:szCs w:val="20"/>
          <w:color w:val="auto"/>
        </w:rPr>
      </w:pPr>
      <w:r>
        <w:rPr>
          <w:rFonts w:ascii="Arial" w:cs="Arial" w:eastAsia="Arial" w:hAnsi="Arial"/>
          <w:sz w:val="18"/>
          <w:szCs w:val="18"/>
          <w:color w:val="auto"/>
        </w:rPr>
        <w:t>The Term Loan Facility is secured by substantially all of our assets, other than our intellectual property. We have agreed to not pledge or secure our intellectual property to others.</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Term Loan Facility includes affirmative and negative covenants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creating liens and selling assets, in each case subject to certain exceptions, including, among others, the ability for us to issue up to $150.0 million in convertible notes and entering into exclusive outbound licenses for our intellectual property. The Term Loan Facility also includes a liquidity covenant that commences either October 31, 2020, or December 31, 2020 based upon our satisfying certain performance milestones. If our market capitalization exceeds $350.0 million, we do not have to comply with the liquidity covenant if such covenant is required.</w:t>
      </w:r>
    </w:p>
    <w:p>
      <w:pPr>
        <w:spacing w:after="0" w:line="178"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Term Loan Facility also includes events of default, the occurrence and continuance of which provide Hercules with the right to demand immediate repayment of all principal and unpaid interest, and to exercise remedies against us and the collateral. These events of default include, among other things and subject to customary exceptions: (i) insolvency, liquidation, bankruptcy or similar events; (ii) failure to pay any debts due under the loan and security agreement with Hercules or other loan documents on a timely basis; (iii) 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w:t>
      </w:r>
    </w:p>
    <w:p>
      <w:pPr>
        <w:spacing w:after="0" w:line="178"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On April 16, 2020, we entered into an amendment to the loan and security agreement with Hercules, permitting us to enter into a promissory note under the Paycheck Protection Program of the Coronavirus Aid, Relief and Economic Stability Act. On April 17, 2020 we issued a Promissory Note to Bank of America, NA, pursuant to which we received loan proceeds of $2.9 million (the “Loan”), however, based on updated guidance related to this program, we decided to repay the full amount of the Loan, and repaid the Loan on May 4, 2020.</w:t>
      </w:r>
    </w:p>
    <w:p>
      <w:pPr>
        <w:spacing w:after="0" w:line="171"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As of December 31, 2020 and December 31, 2019, the outstanding principal under the Term Loan Facility was $25.0 million and $24.6 million, respectively. For a further description of the Term Loan Facility, see Note 9 to our consolidated financial statements included elsewhere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cash equivalents and restricted cash for each of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49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(93,610)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(76,520)</w:t>
            </w: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(62,854)</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(158,891)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(30,518)</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112,318</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303,424</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86,231</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Net increase (decrease) in cash and cash equivalents and</w:t>
            </w: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50,923</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(20,807)</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49,732</w:t>
            </w:r>
          </w:p>
        </w:tc>
        <w:tc>
          <w:tcPr>
            <w:tcW w:w="8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During the year ended December 31, 2020, operating activities used $93.6 million of cash, primarily due to a net loss of $89.1 million and by cash used in changes in our operating assets and liabilities of $23.2 million and partially offset by non-cash charges of $18.7 million. Net cash used in changes in our operating assets and liabilities during the year ended December 31, 2020 primarily consisted of a $11.6 million decrease in deferred revenue, a $4.5 million decrease in operating lease liabilities, a $1.2 million decrease in accounts payable, a $7.6 million increase in accounts receivable, a $2.2 million increase in prepaid expenses and other current assets, and offset by a $3.8 million decrease in accrued expenses and other liabilities. The decrease in deferred revenue is due to recognition of revenue during the year and partially offset by $10.0 million associated with the increase in the transaction price for the License Agreement for the initiation of the Phase 1b study for SER-301. The decrease in operating lease liabilities was due to the cash payment of lease obligations.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During the year ended December 31, 2019, operating activities used $76.5 million of cash, primarily due to a net loss of $70.3 million and by cash used in changes in our operating assets and liabilities of $24.6 million and partially offset by non-cash charges of $18.4 million. Net cash used in changes in our operating assets and liabilities during the year ended December 31, 2019 consisted of a $17.5 million decrease in deferred revenue, a $4.2 million decrease in operating lease liabilities, a $2.9 million decrease in accrued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right="260"/>
        <w:spacing w:after="0" w:line="311" w:lineRule="auto"/>
        <w:rPr>
          <w:sz w:val="20"/>
          <w:szCs w:val="20"/>
          <w:color w:val="auto"/>
        </w:rPr>
      </w:pPr>
      <w:r>
        <w:rPr>
          <w:rFonts w:ascii="Arial" w:cs="Arial" w:eastAsia="Arial" w:hAnsi="Arial"/>
          <w:sz w:val="16"/>
          <w:szCs w:val="16"/>
          <w:color w:val="auto"/>
        </w:rPr>
        <w:t>expenses and other liabilities, a $1.8 million increase in accounts receivable and offset in part by a $3.3 million decrease in prepaid expenses and other current assets. The decrease in deferred revenue is due to recognition of revenue during the year and partially offset by the receipt of $15.0 million of payments from AstraZeneca under the Research Agreement. The decrease in operating lease liabilities was due to the cash payment of lease obligations.</w:t>
      </w:r>
    </w:p>
    <w:p>
      <w:pPr>
        <w:spacing w:after="0" w:line="25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During the year ended December 31, 2018, operating activities used $62.9 million of cash, primarily due to a net loss of $98.9 million and partially offset by cash provided by changes in our operating assets and liabilities of $11.8 million and non-cash charges of $24.3 million. Net cash provided by changes in our operating assets and liabilities during the year ended December 31, 2018 consisted of a $13.5 million increase in deferred revenue, a $0.8 million increase in accrued expenses and other liabilities, offset in part by a $2.1 million decrease in prepaid expenses and other current assets. The increase in deferred revenue is due to the receipt of the $40 million milestone payments under the License Agreement offset by recognition of collaboration revenue during the year. The increase in accrued expenses was due to the timing of payments.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480" w:firstLine="510"/>
        <w:spacing w:after="0" w:line="263" w:lineRule="auto"/>
        <w:rPr>
          <w:sz w:val="20"/>
          <w:szCs w:val="20"/>
          <w:color w:val="auto"/>
        </w:rPr>
      </w:pPr>
      <w:r>
        <w:rPr>
          <w:rFonts w:ascii="Arial" w:cs="Arial" w:eastAsia="Arial" w:hAnsi="Arial"/>
          <w:sz w:val="18"/>
          <w:szCs w:val="18"/>
          <w:color w:val="auto"/>
        </w:rPr>
        <w:t>During the year ended December 31, 2020, investing activities used $158.9 million of cash, consisting of purchases of investments of $218.3 million, and purchases of property and equipment of $0.6 million; these amounts were partially offset by sales and maturities of investments of $60.0 million.</w:t>
      </w:r>
    </w:p>
    <w:p>
      <w:pPr>
        <w:spacing w:after="0" w:line="184"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During the year ended December 31, 2019, investing activities used $30.5 million of cash, consisting of purchases of investments of $46.4 million, and purchases of property and equipment of $1.0 million; these amounts were partially offset by sales and maturities of investments of $16.9 million.</w:t>
      </w:r>
    </w:p>
    <w:p>
      <w:pPr>
        <w:spacing w:after="0" w:line="124" w:lineRule="exact"/>
        <w:rPr>
          <w:sz w:val="20"/>
          <w:szCs w:val="20"/>
          <w:color w:val="auto"/>
        </w:rPr>
      </w:pPr>
    </w:p>
    <w:p>
      <w:pPr>
        <w:jc w:val="both"/>
        <w:ind w:right="40" w:firstLine="510"/>
        <w:spacing w:after="0" w:line="342" w:lineRule="auto"/>
        <w:rPr>
          <w:sz w:val="20"/>
          <w:szCs w:val="20"/>
          <w:color w:val="auto"/>
        </w:rPr>
      </w:pPr>
      <w:r>
        <w:rPr>
          <w:rFonts w:ascii="Arial" w:cs="Arial" w:eastAsia="Arial" w:hAnsi="Arial"/>
          <w:sz w:val="16"/>
          <w:szCs w:val="16"/>
          <w:color w:val="auto"/>
        </w:rPr>
        <w:t>During the year ended December 31, 2018, investing activities provided $112.3 million of cash, consisting of sales and maturities of investments of $136.1 million; these amounts were partially offset by purchases of investments of $21.8 million, and purchases of property and equipment of $1.9 million.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During the year ended December 31, 2020, net cash provided by financing activities was $303.4 million. This was a result of $243.7 million from proceeds from public offering of common stock, net of costs, $19.9 million of proceeds from the Securities Purchase Agreement, $24.8 million of proceeds from the at market equity offering, net of commissions, and $14.4 million from the exercise of stock options.</w:t>
      </w:r>
    </w:p>
    <w:p>
      <w:pPr>
        <w:spacing w:after="0" w:line="18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During the year ended December 31, 2019, net cash provided by financing activities was $86.2 million in connection with $60.5 million of proceeds from the public offering of common stock, net of costs, $25.0 million of proceeds from the issuance of debt, $0.5 million from the issuance of common stock under at the market sales agreement, $0.3 million received from the issuance of common stock under our employee stock purchase plan, $0.2 million from the issuance of restricted common stock, and $0.1 million from the issuance of common stock and exercise of stock options. These were partially offset by payments for debt issuance costs of $0.4 million.</w:t>
      </w:r>
    </w:p>
    <w:p>
      <w:pPr>
        <w:spacing w:after="0" w:line="188"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During the year ended December 31, 2018, net cash provided by financing activities was $0.3 million in connection with $0.3 million received from the issuance of common stock under our employee stock purchase plan and $0.2 million from the issuance of common stock and exercise of stock options. These were partially offset by payments for employee tax obligations relating to vesting of restricted stock units of $0.2 million.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expenses may increase substantially in connection with our ongoing and planned activities related to our pipeline products, which are in clinical development, and our follow-on therapeutic candidates and other programs. In addition, we expect to continue to incur additional costs associated with operating as a public company. We anticipate that our expenses will increase substantially if and as we:</w:t>
      </w:r>
    </w:p>
    <w:p>
      <w:pPr>
        <w:spacing w:after="0" w:line="76" w:lineRule="exact"/>
        <w:rPr>
          <w:sz w:val="20"/>
          <w:szCs w:val="20"/>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complete the clinical development and prepare for commercialization of SER-109 for patients with recurrent CDI;</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the clinical development of SER-287 in our Phase 2b clinical trial for the treatment of UC;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the clinical development of SER-301 for the treatment of UC;</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conduct research and initiate clinical development of SER-155 for the prevention of mortality due to GvHD in immunocompromised patients, including in patients receiving all-HSCT;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left="1000" w:right="380" w:hanging="493"/>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the clinical development of SER-401 in our Phase 1b clinical trial for use with checkpoint inhibitors in patients with metastatic melanoma;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strategic investments in our research discovery and development platforms and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Because of the numerous risks and uncertainties associated with the development of our programs,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6" w:lineRule="exact"/>
        <w:rPr>
          <w:sz w:val="20"/>
          <w:szCs w:val="20"/>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progress and results of our clinical studies and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 research activities;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Adequate additional funds may not be available to us on acceptable terms, or at all. Additionally, market volatility resulting from the COVID-19 pandemic or other factors could also adversely impact our ability to access capital as and when needed.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Our loan and security agreement with Hercules currently includes, and any additional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shareholders’ ownership interest.</w:t>
      </w:r>
    </w:p>
    <w:p>
      <w:pPr>
        <w:spacing w:after="0" w:line="166"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ind w:right="20" w:firstLine="510"/>
        <w:spacing w:after="0" w:line="275" w:lineRule="auto"/>
        <w:rPr>
          <w:sz w:val="20"/>
          <w:szCs w:val="20"/>
          <w:color w:val="auto"/>
        </w:rPr>
      </w:pPr>
      <w:r>
        <w:rPr>
          <w:rFonts w:ascii="Arial" w:cs="Arial" w:eastAsia="Arial" w:hAnsi="Arial"/>
          <w:sz w:val="17"/>
          <w:szCs w:val="17"/>
          <w:color w:val="auto"/>
        </w:rPr>
        <w:t>As noted above, the magnitude and duration of the COVID-19 pandemic and its impact on our liquidity and future funding requirements is uncertain as of the filing date of this Annual Report on Form 10-K as this continues to evolve globally. See “Impact of Novel Coronavirus” above and “Risk Factors —Risks Related to Our Operations—The COVID-19 pandemic caused by the novel strain of coronavirus has adversely impacted and could continue to adversely impact, our business, including our preclinical studies and clinical trials, results of operations and financial condition” in Part I, Item 1A of this Annual Report on Form 10-K for a further discussion of the possible impact of the COVID-19 pandemic on our business.</w:t>
      </w:r>
    </w:p>
    <w:p>
      <w:pPr>
        <w:spacing w:after="0" w:line="1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As discussed in Note 1 of the consolidated financial statements included elsewhere in this Annual Report on Form 10-K we have the responsibility to evaluate whether conditions or events raise substantial doubt about our ability to meet our future financial obligations as they become due within one year after the date the financial statements are issued. We expect our cash, cash equivalents and short- and long-term investments at December 31, 2020 of $303.4 million will be sufficient to fund our operating expenses, debt service obligations and capital expenditure requirements for at least the next 12-months from issuance of the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2020 and the effect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659"/>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1"/>
                <w:szCs w:val="11"/>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2 - 3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4 - 5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8"/>
                <w:szCs w:val="18"/>
                <w:color w:val="auto"/>
              </w:rPr>
              <w:t>Long-term debt obligation, including interest and end of</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term charge</w:t>
            </w:r>
            <w:r>
              <w:rPr>
                <w:rFonts w:ascii="Arial" w:cs="Arial" w:eastAsia="Arial" w:hAnsi="Arial"/>
                <w:sz w:val="15"/>
                <w:szCs w:val="15"/>
                <w:color w:val="auto"/>
              </w:rPr>
              <w:t>(2)</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912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in the table reflect payments due under our operating lease agreements that expire between May 2021 and November 2023.</w:t>
      </w:r>
    </w:p>
    <w:p>
      <w:pPr>
        <w:spacing w:after="0" w:line="23" w:lineRule="exact"/>
        <w:rPr>
          <w:rFonts w:ascii="Arial" w:cs="Arial" w:eastAsia="Arial" w:hAnsi="Arial"/>
          <w:sz w:val="18"/>
          <w:szCs w:val="18"/>
          <w:color w:val="auto"/>
        </w:rPr>
      </w:pPr>
    </w:p>
    <w:p>
      <w:pPr>
        <w:ind w:left="500" w:hanging="492"/>
        <w:spacing w:after="0" w:line="256"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in the table reflect payments due for our term loan under an arrangement with Hercules for $25,000. The amounts in the table above reflect interest-only payments through December 1, 2021 with payments on principal beginning thereafter. For purposes of the table above, interest payments were calculated using an annual interest rate of 9.65%, which was the interest rate in effect as of December 31, 2020. Additionally, the table above includes a payment due upon maturity of the loan of $1,213. See Note 9 of the consolidated financial statements for further discussion of the Hercules term loan.</w:t>
      </w:r>
    </w:p>
    <w:p>
      <w:pPr>
        <w:spacing w:after="0" w:line="19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Interest Rate Fluctuation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of December 31, 2020, our cash and cash equivalents consisted of cash and money market accounts. Our interest income is sensitive to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8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As of December 31, 2020, we had outstanding borrowings under the Term Loan Facility. We accrue interest at a rate equal to the greater of either (i) the Prime Rate (as reported in The Wall Street Journal) plus 4.40%, and (ii) 9.65%. An immediate 10% change in the Prime Rate would not have a material impact on our debt</w:t>
      </w:r>
      <w:r>
        <w:rPr>
          <w:rFonts w:ascii="MS PGothic" w:cs="MS PGothic" w:eastAsia="MS PGothic" w:hAnsi="MS PGothic"/>
          <w:sz w:val="18"/>
          <w:szCs w:val="18"/>
          <w:color w:val="auto"/>
        </w:rPr>
        <w:t>‑</w:t>
      </w:r>
      <w:r>
        <w:rPr>
          <w:rFonts w:ascii="Arial" w:cs="Arial" w:eastAsia="Arial" w:hAnsi="Arial"/>
          <w:sz w:val="18"/>
          <w:szCs w:val="18"/>
          <w:color w:val="auto"/>
        </w:rPr>
        <w:t>related obligations, financial position or results of operations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has concluded that as of such date, our disclosure controls and procedures were effective at the reasonable assurance level.</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Securities Exchange Act of 1934, as amended.</w:t>
      </w:r>
    </w:p>
    <w:p>
      <w:pPr>
        <w:spacing w:after="0" w:line="170"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Based on this assessment, our management concluded that, as of December 31, 2020, our internal control over financial reporting was effective.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0" w:name="page91"/>
    <w:bookmarkEnd w:id="90"/>
    <w:p>
      <w:pPr>
        <w:jc w:val="center"/>
        <w:ind w:right="-399"/>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This Annual Report on Form 10-K does not include an attestation report on our internal control over financial reporting of our registered public accounting firm because we are a non-accelerated filer.</w:t>
      </w:r>
    </w:p>
    <w:p>
      <w:pPr>
        <w:spacing w:after="0" w:line="3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445" w:right="7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3"/>
          </w:tcPr>
          <w:p>
            <w:pPr>
              <w:jc w:val="center"/>
              <w:ind w:right="5132"/>
              <w:spacing w:after="0"/>
              <w:rPr>
                <w:sz w:val="20"/>
                <w:szCs w:val="20"/>
                <w:color w:val="auto"/>
              </w:rPr>
            </w:pPr>
            <w:r>
              <w:rPr>
                <w:rFonts w:ascii="Arial" w:cs="Arial" w:eastAsia="Arial" w:hAnsi="Arial"/>
                <w:sz w:val="18"/>
                <w:szCs w:val="18"/>
                <w:b w:val="1"/>
                <w:bCs w:val="1"/>
                <w:color w:val="auto"/>
              </w:rPr>
              <w:t>PART III</w:t>
            </w:r>
          </w:p>
        </w:tc>
      </w:tr>
      <w:tr>
        <w:trPr>
          <w:trHeight w:val="432"/>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w w:val="93"/>
              </w:rPr>
              <w:t>Item 10. Directors, Executive Officers and Corporate Governance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3200" w:type="dxa"/>
            <w:vAlign w:val="bottom"/>
          </w:tcPr>
          <w:p>
            <w:pPr>
              <w:spacing w:after="0"/>
              <w:rPr>
                <w:sz w:val="24"/>
                <w:szCs w:val="24"/>
                <w:color w:val="auto"/>
              </w:rPr>
            </w:pPr>
          </w:p>
        </w:tc>
        <w:tc>
          <w:tcPr>
            <w:tcW w:w="8040" w:type="dxa"/>
            <w:vAlign w:val="bottom"/>
            <w:gridSpan w:val="6"/>
          </w:tcPr>
          <w:p>
            <w:pPr>
              <w:jc w:val="center"/>
              <w:ind w:right="3092"/>
              <w:spacing w:after="0"/>
              <w:rPr>
                <w:sz w:val="20"/>
                <w:szCs w:val="20"/>
                <w:color w:val="auto"/>
              </w:rPr>
            </w:pPr>
            <w:r>
              <w:rPr>
                <w:rFonts w:ascii="Arial" w:cs="Arial" w:eastAsia="Arial" w:hAnsi="Arial"/>
                <w:sz w:val="18"/>
                <w:szCs w:val="18"/>
                <w:b w:val="1"/>
                <w:bCs w:val="1"/>
                <w:color w:val="auto"/>
                <w:w w:val="92"/>
              </w:rPr>
              <w:t>Director Biographical Information</w:t>
            </w:r>
          </w:p>
        </w:tc>
      </w:tr>
      <w:tr>
        <w:trPr>
          <w:trHeight w:val="405"/>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196"/>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Dennis A. Ausiello, M.D. (3)</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left="216"/>
              <w:spacing w:after="0"/>
              <w:rPr>
                <w:sz w:val="20"/>
                <w:szCs w:val="20"/>
                <w:color w:val="auto"/>
              </w:rPr>
            </w:pPr>
            <w:r>
              <w:rPr>
                <w:rFonts w:ascii="Arial" w:cs="Arial" w:eastAsia="Arial" w:hAnsi="Arial"/>
                <w:sz w:val="18"/>
                <w:szCs w:val="18"/>
                <w:color w:val="auto"/>
                <w:w w:val="89"/>
              </w:rPr>
              <w:t>75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Grégory Behar (3)</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Stephen Berenson (3)</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Paul R. Biondi (2)</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Willard H. Dere, M.D. (1)</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67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Kurt C. Graves (2)</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53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Richard N. Kender (1)(2)</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Eric D. Shaff</w:t>
            </w:r>
          </w:p>
        </w:tc>
        <w:tc>
          <w:tcPr>
            <w:tcW w:w="20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Meryl S. Zausner (1)(2)</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jc w:val="center"/>
              <w:ind w:left="216"/>
              <w:spacing w:after="0"/>
              <w:rPr>
                <w:sz w:val="20"/>
                <w:szCs w:val="20"/>
                <w:color w:val="auto"/>
              </w:rPr>
            </w:pPr>
            <w:r>
              <w:rPr>
                <w:rFonts w:ascii="Arial" w:cs="Arial" w:eastAsia="Arial" w:hAnsi="Arial"/>
                <w:sz w:val="18"/>
                <w:szCs w:val="18"/>
                <w:color w:val="auto"/>
                <w:w w:val="89"/>
              </w:rPr>
              <w:t>64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8"/>
          <w:szCs w:val="18"/>
          <w:color w:val="auto"/>
        </w:rPr>
        <w:t>Member of the audit committee.</w:t>
      </w:r>
    </w:p>
    <w:p>
      <w:pPr>
        <w:spacing w:after="0" w:line="225" w:lineRule="exact"/>
        <w:rPr>
          <w:rFonts w:ascii="Arial" w:cs="Arial" w:eastAsia="Arial" w:hAnsi="Arial"/>
          <w:sz w:val="15"/>
          <w:szCs w:val="15"/>
          <w:color w:val="auto"/>
        </w:rPr>
      </w:pPr>
    </w:p>
    <w:p>
      <w:pPr>
        <w:ind w:left="380" w:hanging="372"/>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8"/>
          <w:szCs w:val="18"/>
          <w:color w:val="auto"/>
        </w:rPr>
        <w:t>Member of the compensation and talent committee.</w:t>
      </w:r>
    </w:p>
    <w:p>
      <w:pPr>
        <w:spacing w:after="0" w:line="225" w:lineRule="exact"/>
        <w:rPr>
          <w:rFonts w:ascii="Arial" w:cs="Arial" w:eastAsia="Arial" w:hAnsi="Arial"/>
          <w:sz w:val="15"/>
          <w:szCs w:val="15"/>
          <w:color w:val="auto"/>
        </w:rPr>
      </w:pPr>
    </w:p>
    <w:p>
      <w:pPr>
        <w:ind w:left="380" w:hanging="372"/>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8"/>
          <w:szCs w:val="18"/>
          <w:color w:val="auto"/>
        </w:rPr>
        <w:t>Member of the nominating and corporate governance committee.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231F20"/>
        </w:rPr>
        <w:t xml:space="preserve">Dennis A. Ausiello, M.D. </w:t>
      </w:r>
      <w:r>
        <w:rPr>
          <w:rFonts w:ascii="Arial" w:cs="Arial" w:eastAsia="Arial" w:hAnsi="Arial"/>
          <w:sz w:val="17"/>
          <w:szCs w:val="17"/>
          <w:color w:val="231F20"/>
        </w:rPr>
        <w:t>has served as a member of our board of directors since April 2015. Dr. Ausiello has served as</w:t>
      </w:r>
      <w:r>
        <w:rPr>
          <w:rFonts w:ascii="Arial" w:cs="Arial" w:eastAsia="Arial" w:hAnsi="Arial"/>
          <w:sz w:val="17"/>
          <w:szCs w:val="17"/>
          <w:i w:val="1"/>
          <w:iCs w:val="1"/>
          <w:color w:val="231F20"/>
        </w:rPr>
        <w:t xml:space="preserve"> </w:t>
      </w:r>
      <w:r>
        <w:rPr>
          <w:rFonts w:ascii="Arial" w:cs="Arial" w:eastAsia="Arial" w:hAnsi="Arial"/>
          <w:sz w:val="17"/>
          <w:szCs w:val="17"/>
          <w:color w:val="000000"/>
        </w:rPr>
        <w:t>the Jackson Distinguished Professor</w:t>
      </w:r>
      <w:r>
        <w:rPr>
          <w:rFonts w:ascii="Arial" w:cs="Arial" w:eastAsia="Arial" w:hAnsi="Arial"/>
          <w:sz w:val="17"/>
          <w:szCs w:val="17"/>
          <w:i w:val="1"/>
          <w:iCs w:val="1"/>
          <w:color w:val="231F20"/>
        </w:rPr>
        <w:t xml:space="preserve"> </w:t>
      </w:r>
      <w:r>
        <w:rPr>
          <w:rFonts w:ascii="Arial" w:cs="Arial" w:eastAsia="Arial" w:hAnsi="Arial"/>
          <w:sz w:val="17"/>
          <w:szCs w:val="17"/>
          <w:color w:val="000000"/>
        </w:rPr>
        <w:t xml:space="preserve">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w:t>
      </w:r>
      <w:r>
        <w:rPr>
          <w:rFonts w:ascii="Arial" w:cs="Arial" w:eastAsia="Arial" w:hAnsi="Arial"/>
          <w:sz w:val="17"/>
          <w:szCs w:val="17"/>
          <w:color w:val="231F20"/>
        </w:rPr>
        <w:t>From 1996 to April 2013, Dr. Ausiello served as the</w:t>
      </w:r>
      <w:r>
        <w:rPr>
          <w:rFonts w:ascii="Arial" w:cs="Arial" w:eastAsia="Arial" w:hAnsi="Arial"/>
          <w:sz w:val="17"/>
          <w:szCs w:val="17"/>
          <w:color w:val="000000"/>
        </w:rPr>
        <w:t xml:space="preserve"> </w:t>
      </w:r>
      <w:r>
        <w:rPr>
          <w:rFonts w:ascii="Arial" w:cs="Arial" w:eastAsia="Arial" w:hAnsi="Arial"/>
          <w:sz w:val="17"/>
          <w:szCs w:val="17"/>
          <w:color w:val="231F20"/>
        </w:rPr>
        <w:t>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from 2006 to 2019,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231F20"/>
        </w:rPr>
        <w:t xml:space="preserve">Grégory Behar </w:t>
      </w:r>
      <w:r>
        <w:rPr>
          <w:rFonts w:ascii="Arial" w:cs="Arial" w:eastAsia="Arial" w:hAnsi="Arial"/>
          <w:sz w:val="16"/>
          <w:szCs w:val="16"/>
          <w:color w:val="231F20"/>
        </w:rPr>
        <w:t>has served as a member of our board of directors since December 2014. Mr. Behar has served as Chief Executive Officer of Nestlé Health</w:t>
      </w:r>
      <w:r>
        <w:rPr>
          <w:rFonts w:ascii="Arial" w:cs="Arial" w:eastAsia="Arial" w:hAnsi="Arial"/>
          <w:sz w:val="16"/>
          <w:szCs w:val="16"/>
          <w:i w:val="1"/>
          <w:iCs w:val="1"/>
          <w:color w:val="231F20"/>
        </w:rPr>
        <w:t xml:space="preserve"> </w:t>
      </w:r>
      <w:r>
        <w:rPr>
          <w:rFonts w:ascii="Arial" w:cs="Arial" w:eastAsia="Arial" w:hAnsi="Arial"/>
          <w:sz w:val="16"/>
          <w:szCs w:val="16"/>
          <w:color w:val="231F20"/>
        </w:rPr>
        <w:t>Science, a business unit of Société des Produits Nestlé S.A., a health sciences company, since July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has served on the board of directors of Axcella Health, Inc. since February 2016 and previously served on the board of directors of Aimmune Therapeutics, Inc. from November 2016 until its acquisition in October 2020. Mr. Behar also serves on the boards of directors of numerous privately held companies.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i w:val="1"/>
          <w:iCs w:val="1"/>
          <w:color w:val="231F20"/>
        </w:rPr>
        <w:t xml:space="preserve">Stephen Berenson </w:t>
      </w:r>
      <w:r>
        <w:rPr>
          <w:rFonts w:ascii="Arial" w:cs="Arial" w:eastAsia="Arial" w:hAnsi="Arial"/>
          <w:sz w:val="17"/>
          <w:szCs w:val="17"/>
          <w:color w:val="231F20"/>
        </w:rPr>
        <w:t>has served as Chairman of our board of directors since December 2019 and as a member of our board of directors since August 2019.</w:t>
      </w:r>
      <w:r>
        <w:rPr>
          <w:rFonts w:ascii="Arial" w:cs="Arial" w:eastAsia="Arial" w:hAnsi="Arial"/>
          <w:sz w:val="17"/>
          <w:szCs w:val="17"/>
          <w:i w:val="1"/>
          <w:iCs w:val="1"/>
          <w:color w:val="231F20"/>
        </w:rPr>
        <w:t xml:space="preserve"> </w:t>
      </w:r>
      <w:r>
        <w:rPr>
          <w:rFonts w:ascii="Arial" w:cs="Arial" w:eastAsia="Arial" w:hAnsi="Arial"/>
          <w:sz w:val="17"/>
          <w:szCs w:val="17"/>
          <w:color w:val="231F20"/>
        </w:rPr>
        <w:t>Mr. Berenson has been a Managing Partner at Flagship Pioneering, a life sciences innovation firm, since June 2017. Prior to Flagship, Mr. Berenson spent 33 years in various roles as an investment banker at J.P. Morgan, an investment bank,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also serves on the boards of directors of Moderna, Inc. and CiBO Technologies, Inc.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17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i w:val="1"/>
          <w:iCs w:val="1"/>
          <w:color w:val="231F20"/>
        </w:rPr>
        <w:t xml:space="preserve">Paul R. Biondi </w:t>
      </w:r>
      <w:r>
        <w:rPr>
          <w:rFonts w:ascii="Arial" w:cs="Arial" w:eastAsia="Arial" w:hAnsi="Arial"/>
          <w:sz w:val="18"/>
          <w:szCs w:val="18"/>
          <w:color w:val="231F20"/>
        </w:rPr>
        <w:t>has served as a member of our board of directors since March 2020. Mr. Biondi is an Executive Partner and President of Pioneering</w:t>
      </w:r>
      <w:r>
        <w:rPr>
          <w:rFonts w:ascii="Arial" w:cs="Arial" w:eastAsia="Arial" w:hAnsi="Arial"/>
          <w:sz w:val="18"/>
          <w:szCs w:val="18"/>
          <w:i w:val="1"/>
          <w:iCs w:val="1"/>
          <w:color w:val="231F20"/>
        </w:rPr>
        <w:t xml:space="preserve"> </w:t>
      </w:r>
      <w:r>
        <w:rPr>
          <w:rFonts w:ascii="Arial" w:cs="Arial" w:eastAsia="Arial" w:hAnsi="Arial"/>
          <w:sz w:val="18"/>
          <w:szCs w:val="18"/>
          <w:color w:val="231F20"/>
        </w:rPr>
        <w:t>Medicines at Flagship Pioneering, roles he has held since November 2019. Mr. Biondi joined Flagship Pioneering following a seventeen-year tenure at Bristol-Myers Squibb, or BMS, a pharmaceutical company, where he was most recently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40"/>
        <w:spacing w:after="0" w:line="275" w:lineRule="auto"/>
        <w:rPr>
          <w:sz w:val="20"/>
          <w:szCs w:val="20"/>
          <w:color w:val="auto"/>
        </w:rPr>
      </w:pPr>
      <w:r>
        <w:rPr>
          <w:rFonts w:ascii="Arial" w:cs="Arial" w:eastAsia="Arial" w:hAnsi="Arial"/>
          <w:sz w:val="17"/>
          <w:szCs w:val="17"/>
          <w:color w:val="231F20"/>
        </w:rPr>
        <w:t>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231F20"/>
        </w:rPr>
        <w:t xml:space="preserve">Willard H. Dere, M.D. </w:t>
      </w:r>
      <w:r>
        <w:rPr>
          <w:rFonts w:ascii="Arial" w:cs="Arial" w:eastAsia="Arial" w:hAnsi="Arial"/>
          <w:sz w:val="18"/>
          <w:szCs w:val="18"/>
          <w:color w:val="231F20"/>
        </w:rPr>
        <w:t>has served as a member our board of directors since July 2017. Dr. Dere has been Professor of Internal Medicine, B. Lue and Hope</w:t>
      </w:r>
      <w:r>
        <w:rPr>
          <w:rFonts w:ascii="Arial" w:cs="Arial" w:eastAsia="Arial" w:hAnsi="Arial"/>
          <w:sz w:val="18"/>
          <w:szCs w:val="18"/>
          <w:i w:val="1"/>
          <w:iCs w:val="1"/>
          <w:color w:val="231F20"/>
        </w:rPr>
        <w:t xml:space="preserve"> </w:t>
      </w:r>
      <w:r>
        <w:rPr>
          <w:rFonts w:ascii="Arial" w:cs="Arial" w:eastAsia="Arial" w:hAnsi="Arial"/>
          <w:sz w:val="18"/>
          <w:szCs w:val="18"/>
          <w:color w:val="231F20"/>
        </w:rPr>
        <w:t>S. Bettilyon Presidential Endowed Chair in Internal Medicine for Diabetes Research, Executive Director of Personalized Health, and Co-Principal Investigator of the Center for Clinical and Translational Science at the University of Utah Health Sciences Center since November 2014 and Associate Vice President for Research since September 2019.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serves on the boards of directors of several companies, including BioMarin Pharmaceutical, Inc. since 2016, Radius Health since 2014, and Mersana Therapeutics, Inc. since 2018. From October 2016 to December 2017, he served on the board of directors of Ocera Therapeutics.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231F20"/>
        </w:rPr>
        <w:t xml:space="preserve">Kurt C. Graves </w:t>
      </w:r>
      <w:r>
        <w:rPr>
          <w:rFonts w:ascii="Arial" w:cs="Arial" w:eastAsia="Arial" w:hAnsi="Arial"/>
          <w:sz w:val="17"/>
          <w:szCs w:val="17"/>
          <w:color w:val="231F20"/>
        </w:rPr>
        <w:t>has served as a member of our board of directors since November 2015. Mr. Graves was previously the Chairman, President and Chief</w:t>
      </w:r>
      <w:r>
        <w:rPr>
          <w:rFonts w:ascii="Arial" w:cs="Arial" w:eastAsia="Arial" w:hAnsi="Arial"/>
          <w:sz w:val="17"/>
          <w:szCs w:val="17"/>
          <w:i w:val="1"/>
          <w:iCs w:val="1"/>
          <w:color w:val="231F20"/>
        </w:rPr>
        <w:t xml:space="preserve"> </w:t>
      </w:r>
      <w:r>
        <w:rPr>
          <w:rFonts w:ascii="Arial" w:cs="Arial" w:eastAsia="Arial" w:hAnsi="Arial"/>
          <w:sz w:val="17"/>
          <w:szCs w:val="17"/>
          <w:color w:val="231F20"/>
        </w:rPr>
        <w:t>Executive Officer of Intarcia Therapeutics, Inc., or Intarcia, a biotechnology company, from April 2012 to December 2020 and Executive Chairman from August 2010 to April 2012. Mr. Graves also previously served as Executive Chairman of Biolex Therapeutics, a biopharmaceutical company, from November 2010 to March 2012.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Chief Marketing Officer for the pharmaceuticals division of Novartis Corp. from September 2003 to June 2007. He served on the boards directors of Radius Health, Inc. from May 2011 to March 2020, and Achillion Pharmaceuticals, Inc. from June 2012 to January 2020.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231F20"/>
        </w:rPr>
        <w:t xml:space="preserve">Richard N. Kender </w:t>
      </w:r>
      <w:r>
        <w:rPr>
          <w:rFonts w:ascii="Arial" w:cs="Arial" w:eastAsia="Arial" w:hAnsi="Arial"/>
          <w:sz w:val="17"/>
          <w:szCs w:val="17"/>
          <w:color w:val="231F20"/>
        </w:rPr>
        <w:t>has served as a member of our board of directors since October 2014. From October 1978 to September 2013, Mr. Kender held</w:t>
      </w:r>
      <w:r>
        <w:rPr>
          <w:rFonts w:ascii="Arial" w:cs="Arial" w:eastAsia="Arial" w:hAnsi="Arial"/>
          <w:sz w:val="17"/>
          <w:szCs w:val="17"/>
          <w:i w:val="1"/>
          <w:iCs w:val="1"/>
          <w:color w:val="231F20"/>
        </w:rPr>
        <w:t xml:space="preserve"> </w:t>
      </w:r>
      <w:r>
        <w:rPr>
          <w:rFonts w:ascii="Arial" w:cs="Arial" w:eastAsia="Arial" w:hAnsi="Arial"/>
          <w:sz w:val="17"/>
          <w:szCs w:val="17"/>
          <w:color w:val="231F20"/>
        </w:rPr>
        <w:t>positions in a variety of corporate areas at Merck &amp; Co., Inc., or Merck, a pharmaceutical company, most recently serving as Senior Vice President of Business Development and Corporate Licensing. Mr. Kender has served on the boards of directors of Poxel S.A. since March 2015, Bicycle Therapeutics PLC since July 2019, and ReViral Ltd since November 2019. He previously served on the boards of directors of INC Research Holdings, Inc. between December 2014 and August 2017 and Abide Therapeutics, Inc. between December 2015 and May 2019.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17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231F20"/>
        </w:rPr>
        <w:t xml:space="preserve">Eric D. Shaff </w:t>
      </w:r>
      <w:r>
        <w:rPr>
          <w:rFonts w:ascii="Arial" w:cs="Arial" w:eastAsia="Arial" w:hAnsi="Arial"/>
          <w:sz w:val="17"/>
          <w:szCs w:val="17"/>
          <w:color w:val="231F20"/>
        </w:rPr>
        <w:t>has served as our President and Chief Executive Officer and a member of our board of directors since January 2019. Previously, he served as</w:t>
      </w:r>
      <w:r>
        <w:rPr>
          <w:rFonts w:ascii="Arial" w:cs="Arial" w:eastAsia="Arial" w:hAnsi="Arial"/>
          <w:sz w:val="17"/>
          <w:szCs w:val="17"/>
          <w:i w:val="1"/>
          <w:iCs w:val="1"/>
          <w:color w:val="231F20"/>
        </w:rPr>
        <w:t xml:space="preserve"> </w:t>
      </w:r>
      <w:r>
        <w:rPr>
          <w:rFonts w:ascii="Arial" w:cs="Arial" w:eastAsia="Arial" w:hAnsi="Arial"/>
          <w:sz w:val="17"/>
          <w:szCs w:val="17"/>
          <w:color w:val="231F20"/>
        </w:rPr>
        <w:t>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has served on the board of directors of Sigilon Therapeutics, Inc. since November 2017.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231F20"/>
        </w:rPr>
        <w:t xml:space="preserve">Meryl Zausner </w:t>
      </w:r>
      <w:r>
        <w:rPr>
          <w:rFonts w:ascii="Arial" w:cs="Arial" w:eastAsia="Arial" w:hAnsi="Arial"/>
          <w:sz w:val="16"/>
          <w:szCs w:val="16"/>
          <w:color w:val="231F20"/>
        </w:rPr>
        <w:t>has served as a member of our board of directors since August 2018. Ms. Zausner worked for Novartis Pharmaceuticals, Inc., or Novartis, a</w:t>
      </w:r>
      <w:r>
        <w:rPr>
          <w:rFonts w:ascii="Arial" w:cs="Arial" w:eastAsia="Arial" w:hAnsi="Arial"/>
          <w:sz w:val="16"/>
          <w:szCs w:val="16"/>
          <w:i w:val="1"/>
          <w:iCs w:val="1"/>
          <w:color w:val="231F20"/>
        </w:rPr>
        <w:t xml:space="preserve"> </w:t>
      </w:r>
      <w:r>
        <w:rPr>
          <w:rFonts w:ascii="Arial" w:cs="Arial" w:eastAsia="Arial" w:hAnsi="Arial"/>
          <w:sz w:val="16"/>
          <w:szCs w:val="16"/>
          <w:color w:val="231F20"/>
        </w:rPr>
        <w:t>pharmaceutical company, from 1988 until her retirement in 2017, most recently serving as Chief Financial and Administrative Officer and a member of the Pharmaceutical Executive Committee and Global Finance Leadership Team of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 (imatinib). Ms. Zausner has served on the board of directors of the Multiple Myeloma Research Foundation since 2009, and previously served on the board of directors of Neon Therapeutics, Inc. from December 2017 to May 2020. Ms. Zausner received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231F20"/>
        </w:rPr>
        <w:t>B.S. in Accounting and Economics from the University at Albany, SUNY. We believe Ms. Zausner is qualified to serve on our board of directors because of her finance and leadership experience and knowledge of the pharmaceutical industry.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380" w:type="dxa"/>
            <w:vAlign w:val="bottom"/>
            <w:gridSpan w:val="5"/>
          </w:tcPr>
          <w:p>
            <w:pPr>
              <w:ind w:left="1160"/>
              <w:spacing w:after="0"/>
              <w:rPr>
                <w:sz w:val="20"/>
                <w:szCs w:val="20"/>
                <w:color w:val="auto"/>
              </w:rPr>
            </w:pPr>
            <w:r>
              <w:rPr>
                <w:rFonts w:ascii="Arial" w:cs="Arial" w:eastAsia="Arial" w:hAnsi="Arial"/>
                <w:sz w:val="18"/>
                <w:szCs w:val="18"/>
                <w:b w:val="1"/>
                <w:bCs w:val="1"/>
                <w:color w:val="auto"/>
              </w:rPr>
              <w:t>Information about our Executive Officers</w:t>
            </w:r>
          </w:p>
        </w:tc>
      </w:tr>
      <w:tr>
        <w:trPr>
          <w:trHeight w:val="473"/>
        </w:trPr>
        <w:tc>
          <w:tcPr>
            <w:tcW w:w="28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56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22"/>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Eric D. Shaff</w:t>
            </w: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Marcus Chapman</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Vice President, Finance and Principal Financial and Accounting Officer</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Thomas J. DesRosier</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David S. Ege, Ph.D.</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Executive Vice President and Chief Technology Officer</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Matthew Henn, Ph.D.</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Executive Vice President and Chief Scientific Officer</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Lisa von Moltke, M.D.</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Executive Vice President and Chief Medical Officer</w:t>
            </w:r>
          </w:p>
        </w:tc>
      </w:tr>
      <w:tr>
        <w:trPr>
          <w:trHeight w:val="230"/>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Teresa L. Young, Ph.D.</w:t>
            </w:r>
          </w:p>
        </w:tc>
        <w:tc>
          <w:tcPr>
            <w:tcW w:w="1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Chief Commercial and Strategy Officer</w:t>
            </w: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Information concerning Eric D. Shaff, our President and Chief Executive Officer, may be found above in the section entitled “Director Biographical Information.”</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Marcus Chapman </w:t>
      </w:r>
      <w:r>
        <w:rPr>
          <w:rFonts w:ascii="Arial" w:cs="Arial" w:eastAsia="Arial" w:hAnsi="Arial"/>
          <w:sz w:val="17"/>
          <w:szCs w:val="17"/>
          <w:color w:val="auto"/>
        </w:rPr>
        <w:t>has served as our Senior Vice President, Finance since January 2018 and as Principal Financial and Accounting Officer since April 2019.</w:t>
      </w:r>
      <w:r>
        <w:rPr>
          <w:rFonts w:ascii="Arial" w:cs="Arial" w:eastAsia="Arial" w:hAnsi="Arial"/>
          <w:sz w:val="17"/>
          <w:szCs w:val="17"/>
          <w:i w:val="1"/>
          <w:iCs w:val="1"/>
          <w:color w:val="auto"/>
        </w:rPr>
        <w:t xml:space="preserve"> </w:t>
      </w:r>
      <w:r>
        <w:rPr>
          <w:rFonts w:ascii="Arial" w:cs="Arial" w:eastAsia="Arial" w:hAnsi="Arial"/>
          <w:sz w:val="17"/>
          <w:szCs w:val="17"/>
          <w:color w:val="auto"/>
        </w:rPr>
        <w:t>Since joining our company in March 2015, he has held positions of increasing seniority, including as our Senior Director of Finance from March 2015 to January 2018. Prior to joining our company, Mr. Chapman served in roles of increasing seniority at Takeda Oncology, or Takeda, the oncology business unit of Takeda Pharmaceuticals Co. Ltd., from August 2007 to March 2015, culminating as Senior Director of Finance and Interim Head of Finance. In these roles, Mr. Chapman oversaw finance functions supporting U.S. sales, U.S. and global marketing, operations, global medical affairs and manufacturing. Prior to Takeda, Mr. Chapman held senior roles at Clarion Healthcare Consulting and Strategic Decisions Group. He began his career at LaSalle Partners in their Investment Banking and Investment Management groups. Mr. Chapman received his B.A. in Economics from Wheaton College and his M.B.A. from The Tuck School of Business at Dartmouth College.</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Thomas J. DesRosier </w:t>
      </w:r>
      <w:r>
        <w:rPr>
          <w:rFonts w:ascii="Arial" w:cs="Arial" w:eastAsia="Arial" w:hAnsi="Arial"/>
          <w:sz w:val="17"/>
          <w:szCs w:val="17"/>
          <w:color w:val="auto"/>
        </w:rPr>
        <w:t>has served as our Chief Legal Officer, Executive Vice President, and Secretary since May 2016. Previously, he served as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S.A., a global biopharmaceutical company,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wholly-owned subsidiary of Otsuka Pharmaceutical Company, Ltd., since June 2017. Mr. DesRosier earned a B.A. in Chemistry from the University of Vermont and a J.D. from Wake Forest University School of Law.</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David S. Ege, Ph.D. </w:t>
      </w:r>
      <w:r>
        <w:rPr>
          <w:rFonts w:ascii="Arial" w:cs="Arial" w:eastAsia="Arial" w:hAnsi="Arial"/>
          <w:sz w:val="17"/>
          <w:szCs w:val="17"/>
          <w:color w:val="auto"/>
        </w:rPr>
        <w:t>has served as our Executive Vice President and Chief Technology Officer since October 2020. Previously, Dr. Ege served in a variety</w:t>
      </w:r>
      <w:r>
        <w:rPr>
          <w:rFonts w:ascii="Arial" w:cs="Arial" w:eastAsia="Arial" w:hAnsi="Arial"/>
          <w:sz w:val="17"/>
          <w:szCs w:val="17"/>
          <w:i w:val="1"/>
          <w:iCs w:val="1"/>
          <w:color w:val="auto"/>
        </w:rPr>
        <w:t xml:space="preserve"> </w:t>
      </w:r>
      <w:r>
        <w:rPr>
          <w:rFonts w:ascii="Arial" w:cs="Arial" w:eastAsia="Arial" w:hAnsi="Arial"/>
          <w:sz w:val="17"/>
          <w:szCs w:val="17"/>
          <w:color w:val="auto"/>
        </w:rPr>
        <w:t>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 Gardasil9® and Cancidas®. He has contributed to the successful first-in-class licensure and launch of cervical cancer vaccines, Gardasil® (2006) and Gardasil9® (2014), and a breakthrough cancer immunotherapy, Keytruda® (2014). He graduated summa cum laude from Princeton with a B.S.E. in chemical engineering and earned his Ph.D. in chemical engineering from the University of Pennsylvania.</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Matthew Henn, Ph.D. </w:t>
      </w:r>
      <w:r>
        <w:rPr>
          <w:rFonts w:ascii="Arial" w:cs="Arial" w:eastAsia="Arial" w:hAnsi="Arial"/>
          <w:sz w:val="17"/>
          <w:szCs w:val="17"/>
          <w:color w:val="auto"/>
        </w:rPr>
        <w:t>has served as our Executive Vice President and Chief Scientific Officer since February 2019. Since joining our company at its launch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w:t>
      </w:r>
      <w:r>
        <w:rPr>
          <w:rFonts w:ascii="Arial" w:cs="Arial" w:eastAsia="Arial" w:hAnsi="Arial"/>
          <w:sz w:val="17"/>
          <w:szCs w:val="17"/>
          <w:color w:val="231F20"/>
        </w:rPr>
        <w:t>the Massachusetts Institute of Technology</w:t>
      </w:r>
      <w:r>
        <w:rPr>
          <w:rFonts w:ascii="Arial" w:cs="Arial" w:eastAsia="Arial" w:hAnsi="Arial"/>
          <w:sz w:val="17"/>
          <w:szCs w:val="17"/>
          <w:color w:val="auto"/>
        </w:rPr>
        <w:t xml:space="preserve">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ind w:right="40"/>
        <w:spacing w:after="0" w:line="270" w:lineRule="auto"/>
        <w:rPr>
          <w:sz w:val="20"/>
          <w:szCs w:val="20"/>
          <w:color w:val="auto"/>
        </w:rPr>
      </w:pPr>
      <w:r>
        <w:rPr>
          <w:rFonts w:ascii="Arial" w:cs="Arial" w:eastAsia="Arial" w:hAnsi="Arial"/>
          <w:sz w:val="17"/>
          <w:szCs w:val="17"/>
          <w:i w:val="1"/>
          <w:iCs w:val="1"/>
          <w:color w:val="auto"/>
        </w:rPr>
        <w:t xml:space="preserve">Lisa von Moltke, M.D. </w:t>
      </w:r>
      <w:r>
        <w:rPr>
          <w:rFonts w:ascii="Arial" w:cs="Arial" w:eastAsia="Arial" w:hAnsi="Arial"/>
          <w:sz w:val="17"/>
          <w:szCs w:val="17"/>
          <w:color w:val="auto"/>
        </w:rPr>
        <w:t>has served as our Executive Vice President and Chief Medical Officer since March 2020. Previously, Dr. von Moltke worked for</w:t>
      </w:r>
      <w:r>
        <w:rPr>
          <w:rFonts w:ascii="Arial" w:cs="Arial" w:eastAsia="Arial" w:hAnsi="Arial"/>
          <w:sz w:val="17"/>
          <w:szCs w:val="17"/>
          <w:i w:val="1"/>
          <w:iCs w:val="1"/>
          <w:color w:val="auto"/>
        </w:rPr>
        <w:t xml:space="preserve"> </w:t>
      </w:r>
      <w:r>
        <w:rPr>
          <w:rFonts w:ascii="Arial" w:cs="Arial" w:eastAsia="Arial" w:hAnsi="Arial"/>
          <w:sz w:val="17"/>
          <w:szCs w:val="17"/>
          <w:color w:val="auto"/>
        </w:rPr>
        <w:t>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Teresa L. Young, Ph.D. </w:t>
      </w:r>
      <w:r>
        <w:rPr>
          <w:rFonts w:ascii="Arial" w:cs="Arial" w:eastAsia="Arial" w:hAnsi="Arial"/>
          <w:sz w:val="17"/>
          <w:szCs w:val="17"/>
          <w:color w:val="auto"/>
        </w:rPr>
        <w:t>has served as our Executive Vice President, Chief Commercial and Strategy Officer since June 2020. Previously, Dr. Young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firstLine="584"/>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which is available on our website at www.serestherapeutics.com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 The information contained on our website is not incorporated by reference into this Annual Report on Form 10-K.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270" w:lineRule="exact"/>
        <w:rPr>
          <w:sz w:val="20"/>
          <w:szCs w:val="20"/>
          <w:color w:val="auto"/>
        </w:rPr>
      </w:pPr>
    </w:p>
    <w:p>
      <w:pPr>
        <w:jc w:val="both"/>
        <w:ind w:right="20" w:firstLine="578"/>
        <w:spacing w:after="0" w:line="311" w:lineRule="auto"/>
        <w:rPr>
          <w:sz w:val="20"/>
          <w:szCs w:val="20"/>
          <w:color w:val="auto"/>
        </w:rPr>
      </w:pPr>
      <w:r>
        <w:rPr>
          <w:rFonts w:ascii="Arial" w:cs="Arial" w:eastAsia="Arial" w:hAnsi="Arial"/>
          <w:sz w:val="16"/>
          <w:szCs w:val="16"/>
          <w:color w:val="auto"/>
        </w:rPr>
        <w:t>The information in response to this item is contained in part under the captions, “Directors of the Registrant” and “Information about our Executive Officers” at the end of Part I of this Annual Report on Form 10-K. The remainder of the information required to be disclosed by this item will be contained in the Proxy Statement for our Annual Meeting of Stockholders scheduled to be held on June 16, 2021 and is incorporated herein by reference.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16, 2021 and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16, 2021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16, 2021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16, 2021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list of all exhibits filed as a part of this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12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Exhibit</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20" w:type="dxa"/>
            <w:vAlign w:val="bottom"/>
            <w:gridSpan w:val="15"/>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108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Restated Certificate of Incorporation, filed on July 1, 2015</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7/1/15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Amended and Restated By-Laws</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12/7/20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8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4800" w:type="dxa"/>
            <w:vAlign w:val="bottom"/>
            <w:gridSpan w:val="21"/>
          </w:tcPr>
          <w:p>
            <w:pPr>
              <w:spacing w:after="0"/>
              <w:rPr>
                <w:rFonts w:ascii="Arial" w:cs="Arial" w:eastAsia="Arial" w:hAnsi="Arial"/>
                <w:sz w:val="18"/>
                <w:szCs w:val="18"/>
                <w:color w:val="0000EE"/>
                <w:w w:val="97"/>
              </w:rPr>
            </w:pPr>
            <w:hyperlink r:id="rId121">
              <w:r>
                <w:rPr>
                  <w:rFonts w:ascii="Arial" w:cs="Arial" w:eastAsia="Arial" w:hAnsi="Arial"/>
                  <w:sz w:val="18"/>
                  <w:szCs w:val="18"/>
                  <w:color w:val="0000EE"/>
                  <w:w w:val="97"/>
                </w:rPr>
                <w:t>Specimen Stock Certificate evidencing the shares of common</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21">
              <w:r>
                <w:rPr>
                  <w:rFonts w:ascii="Arial" w:cs="Arial" w:eastAsia="Arial" w:hAnsi="Arial"/>
                  <w:sz w:val="18"/>
                  <w:szCs w:val="18"/>
                  <w:color w:val="0000EE"/>
                  <w:w w:val="85"/>
                </w:rPr>
                <w:t>stock</w:t>
              </w:r>
            </w:hyperlink>
          </w:p>
        </w:tc>
        <w:tc>
          <w:tcPr>
            <w:tcW w:w="4040" w:type="dxa"/>
            <w:vAlign w:val="bottom"/>
            <w:tcBorders>
              <w:top w:val="single" w:sz="8" w:color="0000EE"/>
            </w:tcBorders>
            <w:gridSpan w:val="13"/>
          </w:tcPr>
          <w:p>
            <w:pPr>
              <w:spacing w:after="0"/>
              <w:rPr>
                <w:sz w:val="17"/>
                <w:szCs w:val="17"/>
                <w:color w:val="auto"/>
              </w:rPr>
            </w:pPr>
          </w:p>
        </w:tc>
        <w:tc>
          <w:tcPr>
            <w:tcW w:w="38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Description of Capital Stock</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4800" w:type="dxa"/>
            <w:vAlign w:val="bottom"/>
            <w:gridSpan w:val="21"/>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2015 Incentive Award Plan and forms of award agreements</w:t>
              </w:r>
            </w:hyperlink>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thereunder</w:t>
              </w:r>
            </w:hyperlink>
          </w:p>
        </w:tc>
        <w:tc>
          <w:tcPr>
            <w:tcW w:w="5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2015 Employee Stock Purchase Plan</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4800" w:type="dxa"/>
            <w:vAlign w:val="bottom"/>
            <w:gridSpan w:val="21"/>
          </w:tcPr>
          <w:p>
            <w:pPr>
              <w:spacing w:after="0"/>
              <w:rPr>
                <w:rFonts w:ascii="Arial" w:cs="Arial" w:eastAsia="Arial" w:hAnsi="Arial"/>
                <w:sz w:val="18"/>
                <w:szCs w:val="18"/>
                <w:color w:val="0000EE"/>
              </w:rPr>
            </w:pPr>
            <w:hyperlink r:id="rId123">
              <w:r>
                <w:rPr>
                  <w:rFonts w:ascii="Arial" w:cs="Arial" w:eastAsia="Arial" w:hAnsi="Arial"/>
                  <w:sz w:val="18"/>
                  <w:szCs w:val="18"/>
                  <w:color w:val="0000EE"/>
                </w:rPr>
                <w:t>2012 Stock Incentive Plan, as amended and form of option</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agreement thereunder</w:t>
              </w:r>
            </w:hyperlink>
          </w:p>
        </w:tc>
        <w:tc>
          <w:tcPr>
            <w:tcW w:w="2660" w:type="dxa"/>
            <w:vAlign w:val="bottom"/>
            <w:tcBorders>
              <w:top w:val="single" w:sz="8" w:color="0000EE"/>
            </w:tcBorders>
            <w:gridSpan w:val="5"/>
          </w:tcPr>
          <w:p>
            <w:pPr>
              <w:spacing w:after="0"/>
              <w:rPr>
                <w:sz w:val="17"/>
                <w:szCs w:val="17"/>
                <w:color w:val="auto"/>
              </w:rPr>
            </w:pPr>
          </w:p>
        </w:tc>
        <w:tc>
          <w:tcPr>
            <w:tcW w:w="58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Non-Employee Director Compensation Program</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4240" w:type="dxa"/>
            <w:vAlign w:val="bottom"/>
            <w:tcBorders>
              <w:bottom w:val="single" w:sz="8" w:color="0000EE"/>
            </w:tcBorders>
            <w:gridSpan w:val="11"/>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Lease Agreement, dated April 1, 2015, by and between the</w:t>
              </w:r>
            </w:hyperlink>
          </w:p>
        </w:tc>
        <w:tc>
          <w:tcPr>
            <w:tcW w:w="560" w:type="dxa"/>
            <w:vAlign w:val="bottom"/>
            <w:gridSpan w:val="10"/>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Registrant and ARE-MA Region No. 38,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640" w:type="dxa"/>
            <w:vAlign w:val="bottom"/>
            <w:tcBorders>
              <w:bottom w:val="single" w:sz="8" w:color="0000EE"/>
            </w:tcBorders>
            <w:gridSpan w:val="19"/>
          </w:tcPr>
          <w:p>
            <w:pPr>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Lease, dated November 11, 2015, by and between the Registrant</w:t>
              </w:r>
            </w:hyperlink>
          </w:p>
        </w:tc>
        <w:tc>
          <w:tcPr>
            <w:tcW w:w="160" w:type="dxa"/>
            <w:vAlign w:val="bottom"/>
            <w:gridSpan w:val="2"/>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3/14/16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and BMR-Sidney Research Campus,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color w:val="0000EE"/>
                <w:w w:val="98"/>
              </w:rPr>
            </w:pPr>
            <w:hyperlink r:id="rId126">
              <w:r>
                <w:rPr>
                  <w:rFonts w:ascii="Arial" w:cs="Arial" w:eastAsia="Arial" w:hAnsi="Arial"/>
                  <w:sz w:val="18"/>
                  <w:szCs w:val="18"/>
                  <w:color w:val="0000EE"/>
                  <w:w w:val="98"/>
                </w:rPr>
                <w:t>Sublease Agreement dated July 1, 2019, by and between the</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11/5/19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Registrant and Flagship VL56, Inc., and Flagship VL58, Inc.</w:t>
              </w:r>
            </w:hyperlink>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4800" w:type="dxa"/>
            <w:vAlign w:val="bottom"/>
            <w:gridSpan w:val="21"/>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Amended and Restated Employment Agreement, dated January</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2/1/21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Borders>
              <w:top w:val="single" w:sz="8" w:color="0000EE"/>
            </w:tcBorders>
            <w:gridSpan w:val="18"/>
          </w:tcPr>
          <w:p>
            <w:pPr>
              <w:spacing w:after="0"/>
              <w:rPr>
                <w:rFonts w:ascii="Arial" w:cs="Arial" w:eastAsia="Arial" w:hAnsi="Arial"/>
                <w:sz w:val="18"/>
                <w:szCs w:val="18"/>
                <w:u w:val="single" w:color="auto"/>
                <w:color w:val="0000EE"/>
                <w:w w:val="97"/>
              </w:rPr>
            </w:pPr>
            <w:hyperlink r:id="rId127">
              <w:r>
                <w:rPr>
                  <w:rFonts w:ascii="Arial" w:cs="Arial" w:eastAsia="Arial" w:hAnsi="Arial"/>
                  <w:sz w:val="18"/>
                  <w:szCs w:val="18"/>
                  <w:u w:val="single" w:color="auto"/>
                  <w:color w:val="0000EE"/>
                  <w:w w:val="97"/>
                </w:rPr>
                <w:t>29, 2021, by and between the Registrant and Eric D. Shaff</w:t>
              </w:r>
            </w:hyperlink>
          </w:p>
        </w:tc>
        <w:tc>
          <w:tcPr>
            <w:tcW w:w="24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4060" w:type="dxa"/>
            <w:vAlign w:val="bottom"/>
            <w:tcBorders>
              <w:bottom w:val="single" w:sz="8" w:color="0000EE"/>
            </w:tcBorders>
            <w:gridSpan w:val="9"/>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Employment Agreement, dated January 29, 2021 by and</w:t>
              </w:r>
            </w:hyperlink>
          </w:p>
        </w:tc>
        <w:tc>
          <w:tcPr>
            <w:tcW w:w="740" w:type="dxa"/>
            <w:vAlign w:val="bottom"/>
            <w:gridSpan w:val="12"/>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2/1/21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between the Registrant and Thomas J. DesRosier</w:t>
              </w:r>
            </w:hyperlink>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4540" w:type="dxa"/>
            <w:vAlign w:val="bottom"/>
            <w:tcBorders>
              <w:bottom w:val="single" w:sz="8" w:color="0000EE"/>
            </w:tcBorders>
            <w:gridSpan w:val="17"/>
          </w:tcPr>
          <w:p>
            <w:pPr>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Second Amended and Restated Employment Agreement, dated</w:t>
              </w:r>
            </w:hyperlink>
          </w:p>
        </w:tc>
        <w:tc>
          <w:tcPr>
            <w:tcW w:w="260" w:type="dxa"/>
            <w:vAlign w:val="bottom"/>
            <w:gridSpan w:val="4"/>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2/1/21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January 29, 2021, by and between the Registrant and Matthew</w:t>
              </w:r>
            </w:hyperlink>
          </w:p>
        </w:tc>
        <w:tc>
          <w:tcPr>
            <w:tcW w:w="3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 Henn</w:t>
              </w:r>
              <w:r>
                <w:rPr>
                  <w:rFonts w:ascii="Arial" w:cs="Arial" w:eastAsia="Arial" w:hAnsi="Arial"/>
                  <w:sz w:val="18"/>
                  <w:szCs w:val="18"/>
                  <w:color w:val="000000"/>
                </w:rPr>
                <w:t>, Ph.D.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Employment Agreement, dated July 11, 2019, by and between</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11/5/19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the Registrant and Marcus Chapman</w:t>
              </w:r>
            </w:hyperlink>
          </w:p>
        </w:tc>
        <w:tc>
          <w:tcPr>
            <w:tcW w:w="3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Amended and Restated Employment Agreement, dated January</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top w:val="single" w:sz="8" w:color="0000EE"/>
            </w:tcBorders>
            <w:gridSpan w:val="18"/>
          </w:tcPr>
          <w:p>
            <w:pPr>
              <w:spacing w:after="0" w:line="196" w:lineRule="exact"/>
              <w:rPr>
                <w:rFonts w:ascii="Arial" w:cs="Arial" w:eastAsia="Arial" w:hAnsi="Arial"/>
                <w:sz w:val="18"/>
                <w:szCs w:val="18"/>
                <w:color w:val="0000EE"/>
                <w:w w:val="95"/>
              </w:rPr>
            </w:pPr>
            <w:hyperlink w:anchor="page171">
              <w:r>
                <w:rPr>
                  <w:rFonts w:ascii="Arial" w:cs="Arial" w:eastAsia="Arial" w:hAnsi="Arial"/>
                  <w:sz w:val="18"/>
                  <w:szCs w:val="18"/>
                  <w:color w:val="0000EE"/>
                  <w:w w:val="95"/>
                </w:rPr>
                <w:t>29, 2021, by and between the Registrant and David S. Ege,</w:t>
              </w:r>
            </w:hyperlink>
          </w:p>
        </w:tc>
        <w:tc>
          <w:tcPr>
            <w:tcW w:w="2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Ph.D.</w:t>
              </w:r>
            </w:hyperlink>
          </w:p>
        </w:tc>
        <w:tc>
          <w:tcPr>
            <w:tcW w:w="56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0000EE"/>
            </w:tcBorders>
            <w:gridSpan w:val="2"/>
          </w:tcPr>
          <w:p>
            <w:pPr>
              <w:spacing w:after="0"/>
              <w:rPr>
                <w:sz w:val="24"/>
                <w:szCs w:val="24"/>
                <w:color w:val="auto"/>
              </w:rPr>
            </w:pPr>
          </w:p>
        </w:tc>
        <w:tc>
          <w:tcPr>
            <w:tcW w:w="4140" w:type="dxa"/>
            <w:vAlign w:val="bottom"/>
            <w:gridSpan w:val="15"/>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12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Exhibit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gridSpan w:val="16"/>
            <w:vMerge w:val="restart"/>
          </w:tcPr>
          <w:p>
            <w:pPr>
              <w:ind w:left="9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60" w:type="dxa"/>
            <w:vAlign w:val="bottom"/>
            <w:vMerge w:val="restart"/>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1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4800" w:type="dxa"/>
            <w:vAlign w:val="bottom"/>
            <w:gridSpan w:val="21"/>
          </w:tcPr>
          <w:p>
            <w:pPr>
              <w:spacing w:after="0"/>
              <w:rPr>
                <w:rFonts w:ascii="Arial" w:cs="Arial" w:eastAsia="Arial" w:hAnsi="Arial"/>
                <w:sz w:val="18"/>
                <w:szCs w:val="18"/>
                <w:color w:val="0000EE"/>
                <w:w w:val="93"/>
              </w:rPr>
            </w:pPr>
            <w:hyperlink w:anchor="page190">
              <w:r>
                <w:rPr>
                  <w:rFonts w:ascii="Arial" w:cs="Arial" w:eastAsia="Arial" w:hAnsi="Arial"/>
                  <w:sz w:val="18"/>
                  <w:szCs w:val="18"/>
                  <w:color w:val="0000EE"/>
                  <w:w w:val="93"/>
                </w:rPr>
                <w:t>Amended and Restated Employment Agreement, dated January</w:t>
              </w:r>
            </w:hyperlink>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Borders>
              <w:top w:val="single" w:sz="8" w:color="0000EE"/>
            </w:tcBorders>
            <w:gridSpan w:val="16"/>
          </w:tcPr>
          <w:p>
            <w:pPr>
              <w:spacing w:after="0"/>
              <w:rPr>
                <w:rFonts w:ascii="Arial" w:cs="Arial" w:eastAsia="Arial" w:hAnsi="Arial"/>
                <w:sz w:val="18"/>
                <w:szCs w:val="18"/>
                <w:u w:val="single" w:color="auto"/>
                <w:color w:val="0000EE"/>
                <w:w w:val="91"/>
              </w:rPr>
            </w:pPr>
            <w:hyperlink w:anchor="page190">
              <w:r>
                <w:rPr>
                  <w:rFonts w:ascii="Arial" w:cs="Arial" w:eastAsia="Arial" w:hAnsi="Arial"/>
                  <w:sz w:val="18"/>
                  <w:szCs w:val="18"/>
                  <w:u w:val="single" w:color="auto"/>
                  <w:color w:val="0000EE"/>
                  <w:w w:val="91"/>
                </w:rPr>
                <w:t>29, 2021, by and between the Registrant and Teresa L. Young</w:t>
              </w:r>
            </w:hyperlink>
          </w:p>
        </w:tc>
        <w:tc>
          <w:tcPr>
            <w:tcW w:w="24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4800" w:type="dxa"/>
            <w:vAlign w:val="bottom"/>
            <w:gridSpan w:val="21"/>
          </w:tcPr>
          <w:p>
            <w:pPr>
              <w:spacing w:after="0"/>
              <w:rPr>
                <w:rFonts w:ascii="Arial" w:cs="Arial" w:eastAsia="Arial" w:hAnsi="Arial"/>
                <w:sz w:val="18"/>
                <w:szCs w:val="18"/>
                <w:color w:val="0000EE"/>
                <w:w w:val="93"/>
              </w:rPr>
            </w:pPr>
            <w:hyperlink w:anchor="page210">
              <w:r>
                <w:rPr>
                  <w:rFonts w:ascii="Arial" w:cs="Arial" w:eastAsia="Arial" w:hAnsi="Arial"/>
                  <w:sz w:val="18"/>
                  <w:szCs w:val="18"/>
                  <w:color w:val="0000EE"/>
                  <w:w w:val="93"/>
                </w:rPr>
                <w:t>Amended and Restated Employment Agreement, dated January</w:t>
              </w:r>
            </w:hyperlink>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10">
              <w:r>
                <w:rPr>
                  <w:rFonts w:ascii="Arial" w:cs="Arial" w:eastAsia="Arial" w:hAnsi="Arial"/>
                  <w:sz w:val="18"/>
                  <w:szCs w:val="18"/>
                  <w:color w:val="0000EE"/>
                  <w:w w:val="90"/>
                </w:rPr>
                <w:t>29, 2021, by and between the Registrant and Lisa von Moltke,</w:t>
              </w:r>
            </w:hyperlink>
          </w:p>
        </w:tc>
        <w:tc>
          <w:tcPr>
            <w:tcW w:w="80" w:type="dxa"/>
            <w:vAlign w:val="bottom"/>
            <w:tcBorders>
              <w:top w:val="single" w:sz="8" w:color="0000EE"/>
            </w:tcBorders>
            <w:gridSpan w:val="2"/>
          </w:tcPr>
          <w:p>
            <w:pPr>
              <w:spacing w:after="0"/>
              <w:rPr>
                <w:sz w:val="17"/>
                <w:szCs w:val="17"/>
                <w:color w:val="auto"/>
              </w:rPr>
            </w:pPr>
          </w:p>
        </w:tc>
        <w:tc>
          <w:tcPr>
            <w:tcW w:w="2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210">
              <w:r>
                <w:rPr>
                  <w:rFonts w:ascii="Arial" w:cs="Arial" w:eastAsia="Arial" w:hAnsi="Arial"/>
                  <w:sz w:val="18"/>
                  <w:szCs w:val="18"/>
                  <w:color w:val="0000EE"/>
                  <w:w w:val="94"/>
                </w:rPr>
                <w:t>M.D.</w:t>
              </w:r>
            </w:hyperlink>
          </w:p>
        </w:tc>
        <w:tc>
          <w:tcPr>
            <w:tcW w:w="442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640" w:type="dxa"/>
            <w:vAlign w:val="bottom"/>
            <w:tcBorders>
              <w:bottom w:val="single" w:sz="8" w:color="0000EE"/>
            </w:tcBorders>
            <w:gridSpan w:val="18"/>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Loan and Security Agreement, dated October 29, 2019, between</w:t>
              </w:r>
            </w:hyperlink>
          </w:p>
        </w:tc>
        <w:tc>
          <w:tcPr>
            <w:tcW w:w="160" w:type="dxa"/>
            <w:vAlign w:val="bottom"/>
            <w:gridSpan w:val="3"/>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11/4/19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the Registrant and Hercules Capital, Inc.</w:t>
              </w:r>
            </w:hyperlink>
          </w:p>
        </w:tc>
        <w:tc>
          <w:tcPr>
            <w:tcW w:w="188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color w:val="0000EE"/>
              </w:rPr>
            </w:pPr>
            <w:hyperlink r:id="rId134">
              <w:r>
                <w:rPr>
                  <w:rFonts w:ascii="Arial" w:cs="Arial" w:eastAsia="Arial" w:hAnsi="Arial"/>
                  <w:sz w:val="18"/>
                  <w:szCs w:val="18"/>
                  <w:color w:val="0000EE"/>
                </w:rPr>
                <w:t>First Amendment to Loan and Security Agreement by and</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7/28/20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1"/>
          </w:tcPr>
          <w:p>
            <w:pPr>
              <w:spacing w:after="0" w:line="196"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between the Registrant and Hercules Capital, Inc., dated April</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r:id="rId134">
              <w:r>
                <w:rPr>
                  <w:rFonts w:ascii="Arial" w:cs="Arial" w:eastAsia="Arial" w:hAnsi="Arial"/>
                  <w:sz w:val="18"/>
                  <w:szCs w:val="18"/>
                  <w:color w:val="0000EE"/>
                  <w:w w:val="85"/>
                </w:rPr>
                <w:t>16, 2020</w:t>
              </w:r>
            </w:hyperlink>
          </w:p>
        </w:tc>
        <w:tc>
          <w:tcPr>
            <w:tcW w:w="2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680" w:type="dxa"/>
            <w:vAlign w:val="bottom"/>
            <w:tcBorders>
              <w:bottom w:val="single" w:sz="8" w:color="0000EE"/>
            </w:tcBorders>
            <w:gridSpan w:val="19"/>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Collaboration and License Agreement, dated January 9, 2016, by</w:t>
              </w:r>
            </w:hyperlink>
          </w:p>
        </w:tc>
        <w:tc>
          <w:tcPr>
            <w:tcW w:w="120" w:type="dxa"/>
            <w:vAlign w:val="bottom"/>
            <w:gridSpan w:val="2"/>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5/16/16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rFonts w:ascii="Arial" w:cs="Arial" w:eastAsia="Arial" w:hAnsi="Arial"/>
                <w:sz w:val="18"/>
                <w:szCs w:val="18"/>
                <w:u w:val="single" w:color="auto"/>
                <w:color w:val="0000EE"/>
                <w:w w:val="90"/>
              </w:rPr>
            </w:pPr>
            <w:hyperlink r:id="rId135">
              <w:r>
                <w:rPr>
                  <w:rFonts w:ascii="Arial" w:cs="Arial" w:eastAsia="Arial" w:hAnsi="Arial"/>
                  <w:sz w:val="18"/>
                  <w:szCs w:val="18"/>
                  <w:u w:val="single" w:color="auto"/>
                  <w:color w:val="0000EE"/>
                  <w:w w:val="90"/>
                </w:rPr>
                <w:t>and between the Registrant and Société des Produits Nestlé S.A..</w:t>
              </w:r>
            </w:hyperlink>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4620" w:type="dxa"/>
            <w:vAlign w:val="bottom"/>
            <w:tcBorders>
              <w:bottom w:val="single" w:sz="8" w:color="0000EE"/>
            </w:tcBorders>
            <w:gridSpan w:val="17"/>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Amendment No. 1 to the Collaboration and License Agreement,</w:t>
              </w:r>
            </w:hyperlink>
          </w:p>
        </w:tc>
        <w:tc>
          <w:tcPr>
            <w:tcW w:w="180" w:type="dxa"/>
            <w:vAlign w:val="bottom"/>
            <w:gridSpan w:val="4"/>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3/6/19</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dated August 10, 2016, by and between the Registrant and</w:t>
              </w:r>
            </w:hyperlink>
          </w:p>
        </w:tc>
        <w:tc>
          <w:tcPr>
            <w:tcW w:w="58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Nestec Ltd.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color w:val="0000EE"/>
                <w:w w:val="95"/>
              </w:rPr>
            </w:pPr>
            <w:hyperlink r:id="rId137">
              <w:r>
                <w:rPr>
                  <w:rFonts w:ascii="Arial" w:cs="Arial" w:eastAsia="Arial" w:hAnsi="Arial"/>
                  <w:sz w:val="18"/>
                  <w:szCs w:val="18"/>
                  <w:color w:val="0000EE"/>
                  <w:w w:val="95"/>
                </w:rPr>
                <w:t>Letter Agreement dated October 30, 2018, by and between the</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3/6/19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Registrant and Nestec Ltd.</w:t>
              </w:r>
            </w:hyperlink>
          </w:p>
        </w:tc>
        <w:tc>
          <w:tcPr>
            <w:tcW w:w="2560" w:type="dxa"/>
            <w:vAlign w:val="bottom"/>
            <w:tcBorders>
              <w:top w:val="single" w:sz="8" w:color="0000EE"/>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500" w:type="dxa"/>
            <w:vAlign w:val="bottom"/>
            <w:tcBorders>
              <w:bottom w:val="single" w:sz="8" w:color="0000EE"/>
            </w:tcBorders>
            <w:gridSpan w:val="15"/>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Securities Purchase Agreement, dated August 12, 2020 by and</w:t>
              </w:r>
            </w:hyperlink>
          </w:p>
        </w:tc>
        <w:tc>
          <w:tcPr>
            <w:tcW w:w="300" w:type="dxa"/>
            <w:vAlign w:val="bottom"/>
            <w:gridSpan w:val="6"/>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8/14/20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rFonts w:ascii="Arial" w:cs="Arial" w:eastAsia="Arial" w:hAnsi="Arial"/>
                <w:sz w:val="18"/>
                <w:szCs w:val="18"/>
                <w:u w:val="single" w:color="auto"/>
                <w:color w:val="0000EE"/>
                <w:w w:val="99"/>
              </w:rPr>
            </w:pPr>
            <w:hyperlink r:id="rId138">
              <w:r>
                <w:rPr>
                  <w:rFonts w:ascii="Arial" w:cs="Arial" w:eastAsia="Arial" w:hAnsi="Arial"/>
                  <w:sz w:val="18"/>
                  <w:szCs w:val="18"/>
                  <w:u w:val="single" w:color="auto"/>
                  <w:color w:val="0000EE"/>
                  <w:w w:val="99"/>
                </w:rPr>
                <w:t>between the Company and Société des Produits Nestlé S.A.</w:t>
              </w:r>
            </w:hyperlink>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Subsidiaries of Seres Therapeutics, Inc.</w:t>
              </w:r>
            </w:hyperlink>
          </w:p>
        </w:tc>
        <w:tc>
          <w:tcPr>
            <w:tcW w:w="820" w:type="dxa"/>
            <w:vAlign w:val="bottom"/>
            <w:gridSpan w:val="2"/>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3/2/20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39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0">
              <w:r>
                <w:rPr>
                  <w:rFonts w:ascii="Arial" w:cs="Arial" w:eastAsia="Arial" w:hAnsi="Arial"/>
                  <w:sz w:val="18"/>
                  <w:szCs w:val="18"/>
                  <w:color w:val="0000EE"/>
                  <w:w w:val="88"/>
                </w:rPr>
                <w:t>Consent of PricewaterhouseCoopers LLP, Independent</w:t>
              </w:r>
            </w:hyperlink>
          </w:p>
        </w:tc>
        <w:tc>
          <w:tcPr>
            <w:tcW w:w="860" w:type="dxa"/>
            <w:vAlign w:val="bottom"/>
            <w:gridSpan w:val="13"/>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1"/>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Registered Public Accounting Firm</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2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31">
              <w:r>
                <w:rPr>
                  <w:rFonts w:ascii="Arial" w:cs="Arial" w:eastAsia="Arial" w:hAnsi="Arial"/>
                  <w:sz w:val="18"/>
                  <w:szCs w:val="18"/>
                  <w:color w:val="0000EE"/>
                  <w:w w:val="92"/>
                </w:rPr>
                <w:t>Rule 13a-14(a)/15d-14(a) Certification of Chief Executive</w:t>
              </w:r>
            </w:hyperlink>
          </w:p>
        </w:tc>
        <w:tc>
          <w:tcPr>
            <w:tcW w:w="60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1">
              <w:r>
                <w:rPr>
                  <w:rFonts w:ascii="Arial" w:cs="Arial" w:eastAsia="Arial" w:hAnsi="Arial"/>
                  <w:sz w:val="18"/>
                  <w:szCs w:val="18"/>
                  <w:color w:val="0000EE"/>
                  <w:w w:val="94"/>
                </w:rPr>
                <w:t>Officer</w:t>
              </w:r>
            </w:hyperlink>
          </w:p>
        </w:tc>
        <w:tc>
          <w:tcPr>
            <w:tcW w:w="428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4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32">
              <w:r>
                <w:rPr>
                  <w:rFonts w:ascii="Arial" w:cs="Arial" w:eastAsia="Arial" w:hAnsi="Arial"/>
                  <w:sz w:val="18"/>
                  <w:szCs w:val="18"/>
                  <w:color w:val="0000EE"/>
                  <w:w w:val="92"/>
                </w:rPr>
                <w:t>Rule 13a-14(a)/15d-14(a) Certification of Principal Financial</w:t>
              </w:r>
            </w:hyperlink>
          </w:p>
        </w:tc>
        <w:tc>
          <w:tcPr>
            <w:tcW w:w="4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2">
              <w:r>
                <w:rPr>
                  <w:rFonts w:ascii="Arial" w:cs="Arial" w:eastAsia="Arial" w:hAnsi="Arial"/>
                  <w:sz w:val="18"/>
                  <w:szCs w:val="18"/>
                  <w:color w:val="0000EE"/>
                  <w:w w:val="94"/>
                </w:rPr>
                <w:t>Officer</w:t>
              </w:r>
            </w:hyperlink>
          </w:p>
        </w:tc>
        <w:tc>
          <w:tcPr>
            <w:tcW w:w="428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Section 1350 Certification of Chief Executive Officer</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800" w:type="dxa"/>
            <w:vAlign w:val="bottom"/>
            <w:gridSpan w:val="21"/>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Section 1350 Certification of Principal Financial Officer</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800" w:type="dxa"/>
            <w:vAlign w:val="bottom"/>
            <w:gridSpan w:val="21"/>
          </w:tcPr>
          <w:p>
            <w:pPr>
              <w:spacing w:after="0"/>
              <w:rPr>
                <w:sz w:val="20"/>
                <w:szCs w:val="20"/>
                <w:color w:val="auto"/>
              </w:rPr>
            </w:pPr>
            <w:r>
              <w:rPr>
                <w:rFonts w:ascii="Arial" w:cs="Arial" w:eastAsia="Arial" w:hAnsi="Arial"/>
                <w:sz w:val="18"/>
                <w:szCs w:val="18"/>
                <w:color w:val="auto"/>
                <w:w w:val="96"/>
              </w:rPr>
              <w:t>Inline XBRL Instance Document- the Instance Document does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w w:val="94"/>
              </w:rPr>
              <w:t>not appear in the interactive data file because its XBRL tags are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rPr>
              <w:t>embedded within the Inline XBRL document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80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80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800" w:type="dxa"/>
            <w:vAlign w:val="bottom"/>
            <w:gridSpan w:val="21"/>
          </w:tcPr>
          <w:p>
            <w:pPr>
              <w:spacing w:after="0"/>
              <w:rPr>
                <w:sz w:val="20"/>
                <w:szCs w:val="20"/>
                <w:color w:val="auto"/>
              </w:rPr>
            </w:pPr>
            <w:r>
              <w:rPr>
                <w:rFonts w:ascii="Arial" w:cs="Arial" w:eastAsia="Arial" w:hAnsi="Arial"/>
                <w:sz w:val="18"/>
                <w:szCs w:val="18"/>
                <w:color w:val="auto"/>
                <w:w w:val="99"/>
              </w:rPr>
              <w:t>Inline XBRL Taxonomy Extension Label Linkbase Document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80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80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w w:val="94"/>
              </w:rPr>
              <w:t>Cover Page Interactive Data File (formatted as Inline XBRL and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21"/>
          </w:tcPr>
          <w:p>
            <w:pPr>
              <w:spacing w:after="0"/>
              <w:rPr>
                <w:sz w:val="20"/>
                <w:szCs w:val="20"/>
                <w:color w:val="auto"/>
              </w:rPr>
            </w:pPr>
            <w:r>
              <w:rPr>
                <w:rFonts w:ascii="Arial" w:cs="Arial" w:eastAsia="Arial" w:hAnsi="Arial"/>
                <w:sz w:val="18"/>
                <w:szCs w:val="18"/>
                <w:color w:val="auto"/>
              </w:rPr>
              <w:t>contained in Exhibit 101)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6"/>
          </w:tcPr>
          <w:p>
            <w:pPr>
              <w:ind w:left="4340"/>
              <w:spacing w:after="0"/>
              <w:rPr>
                <w:sz w:val="20"/>
                <w:szCs w:val="20"/>
                <w:color w:val="auto"/>
              </w:rPr>
            </w:pPr>
            <w:r>
              <w:rPr>
                <w:rFonts w:ascii="Arial" w:cs="Arial" w:eastAsia="Arial" w:hAnsi="Arial"/>
                <w:sz w:val="18"/>
                <w:szCs w:val="18"/>
                <w:color w:val="auto"/>
                <w:w w:val="99"/>
              </w:rPr>
              <w:t>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00" w:hanging="492"/>
        <w:spacing w:after="0" w:line="26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redacted portions of this exhibit. Redacted portions of this exhibit have been filed separately with the SEC.</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160"/>
              <w:spacing w:after="0"/>
              <w:rPr>
                <w:sz w:val="20"/>
                <w:szCs w:val="20"/>
                <w:color w:val="auto"/>
              </w:rPr>
            </w:pPr>
            <w:r>
              <w:rPr>
                <w:rFonts w:ascii="Arial" w:cs="Arial" w:eastAsia="Arial" w:hAnsi="Arial"/>
                <w:sz w:val="18"/>
                <w:szCs w:val="18"/>
                <w:b w:val="1"/>
                <w:bCs w:val="1"/>
                <w:color w:val="auto"/>
              </w:rPr>
              <w:t>SERES THERAPEUTICS,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March 2, 2021</w:t>
            </w:r>
          </w:p>
        </w:tc>
        <w:tc>
          <w:tcPr>
            <w:tcW w:w="7580" w:type="dxa"/>
            <w:vAlign w:val="bottom"/>
            <w:gridSpan w:val="2"/>
          </w:tcPr>
          <w:p>
            <w:pPr>
              <w:ind w:left="2160"/>
              <w:spacing w:after="0"/>
              <w:rPr>
                <w:sz w:val="20"/>
                <w:szCs w:val="20"/>
                <w:color w:val="auto"/>
              </w:rPr>
            </w:pPr>
            <w:r>
              <w:rPr>
                <w:rFonts w:ascii="Arial" w:cs="Arial" w:eastAsia="Arial" w:hAnsi="Arial"/>
                <w:sz w:val="18"/>
                <w:szCs w:val="18"/>
                <w:color w:val="auto"/>
              </w:rPr>
              <w:t>By:  /s/ Eric D. Shaff</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 Shaff</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2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jc w:val="center"/>
              <w:spacing w:after="0"/>
              <w:rPr>
                <w:sz w:val="20"/>
                <w:szCs w:val="20"/>
                <w:color w:val="auto"/>
              </w:rPr>
            </w:pPr>
            <w:r>
              <w:rPr>
                <w:rFonts w:ascii="Arial" w:cs="Arial" w:eastAsia="Arial" w:hAnsi="Arial"/>
                <w:sz w:val="14"/>
                <w:szCs w:val="14"/>
                <w:b w:val="1"/>
                <w:bCs w:val="1"/>
                <w:color w:val="231F20"/>
                <w:w w:val="92"/>
              </w:rPr>
              <w:t>Signature</w:t>
            </w:r>
          </w:p>
        </w:tc>
        <w:tc>
          <w:tcPr>
            <w:tcW w:w="4380" w:type="dxa"/>
            <w:vAlign w:val="bottom"/>
          </w:tcPr>
          <w:p>
            <w:pPr>
              <w:ind w:left="1860"/>
              <w:spacing w:after="0"/>
              <w:rPr>
                <w:sz w:val="20"/>
                <w:szCs w:val="20"/>
                <w:color w:val="auto"/>
              </w:rPr>
            </w:pPr>
            <w:r>
              <w:rPr>
                <w:rFonts w:ascii="Arial" w:cs="Arial" w:eastAsia="Arial" w:hAnsi="Arial"/>
                <w:sz w:val="14"/>
                <w:szCs w:val="14"/>
                <w:b w:val="1"/>
                <w:bCs w:val="1"/>
                <w:color w:val="231F20"/>
              </w:rPr>
              <w:t>Title</w:t>
            </w:r>
          </w:p>
        </w:tc>
        <w:tc>
          <w:tcPr>
            <w:tcW w:w="2720" w:type="dxa"/>
            <w:vAlign w:val="bottom"/>
          </w:tcPr>
          <w:p>
            <w:pPr>
              <w:ind w:left="1040"/>
              <w:spacing w:after="0"/>
              <w:rPr>
                <w:sz w:val="20"/>
                <w:szCs w:val="20"/>
                <w:color w:val="auto"/>
              </w:rPr>
            </w:pPr>
            <w:r>
              <w:rPr>
                <w:rFonts w:ascii="Arial" w:cs="Arial" w:eastAsia="Arial" w:hAnsi="Arial"/>
                <w:sz w:val="14"/>
                <w:szCs w:val="14"/>
                <w:b w:val="1"/>
                <w:bCs w:val="1"/>
                <w:color w:val="231F20"/>
              </w:rPr>
              <w:t>Date</w:t>
            </w:r>
          </w:p>
        </w:tc>
      </w:tr>
      <w:tr>
        <w:trPr>
          <w:trHeight w:val="350"/>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c>
          <w:tcPr>
            <w:tcW w:w="4380" w:type="dxa"/>
            <w:vAlign w:val="bottom"/>
          </w:tcPr>
          <w:p>
            <w:pPr>
              <w:ind w:left="120"/>
              <w:spacing w:after="0"/>
              <w:rPr>
                <w:sz w:val="20"/>
                <w:szCs w:val="20"/>
                <w:color w:val="auto"/>
              </w:rPr>
            </w:pPr>
            <w:r>
              <w:rPr>
                <w:rFonts w:ascii="Arial" w:cs="Arial" w:eastAsia="Arial" w:hAnsi="Arial"/>
                <w:sz w:val="18"/>
                <w:szCs w:val="18"/>
                <w:color w:val="231F20"/>
              </w:rPr>
              <w:t>President, Chief Executive Officer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195"/>
        </w:trPr>
        <w:tc>
          <w:tcPr>
            <w:tcW w:w="4140" w:type="dxa"/>
            <w:vAlign w:val="bottom"/>
          </w:tcPr>
          <w:p>
            <w:pPr>
              <w:jc w:val="center"/>
              <w:spacing w:after="0" w:line="195" w:lineRule="exact"/>
              <w:rPr>
                <w:sz w:val="20"/>
                <w:szCs w:val="20"/>
                <w:color w:val="auto"/>
              </w:rPr>
            </w:pPr>
            <w:r>
              <w:rPr>
                <w:rFonts w:ascii="Arial" w:cs="Arial" w:eastAsia="Arial" w:hAnsi="Arial"/>
                <w:sz w:val="18"/>
                <w:szCs w:val="18"/>
                <w:color w:val="auto"/>
                <w:w w:val="92"/>
              </w:rPr>
              <w:t>Eric D. Shaff</w:t>
            </w:r>
          </w:p>
        </w:tc>
        <w:tc>
          <w:tcPr>
            <w:tcW w:w="4380" w:type="dxa"/>
            <w:vAlign w:val="bottom"/>
          </w:tcPr>
          <w:p>
            <w:pPr>
              <w:ind w:left="120"/>
              <w:spacing w:after="0" w:line="195" w:lineRule="exact"/>
              <w:rPr>
                <w:sz w:val="20"/>
                <w:szCs w:val="20"/>
                <w:color w:val="auto"/>
              </w:rPr>
            </w:pPr>
            <w:r>
              <w:rPr>
                <w:rFonts w:ascii="Arial" w:cs="Arial" w:eastAsia="Arial" w:hAnsi="Arial"/>
                <w:sz w:val="18"/>
                <w:szCs w:val="18"/>
                <w:color w:val="231F20"/>
              </w:rPr>
              <w:t>and Director</w:t>
            </w:r>
          </w:p>
        </w:tc>
        <w:tc>
          <w:tcPr>
            <w:tcW w:w="2720" w:type="dxa"/>
            <w:vAlign w:val="bottom"/>
          </w:tcPr>
          <w:p>
            <w:pPr>
              <w:spacing w:after="0"/>
              <w:rPr>
                <w:sz w:val="16"/>
                <w:szCs w:val="16"/>
                <w:color w:val="auto"/>
              </w:rPr>
            </w:pPr>
          </w:p>
        </w:tc>
      </w:tr>
      <w:tr>
        <w:trPr>
          <w:trHeight w:val="216"/>
        </w:trPr>
        <w:tc>
          <w:tcPr>
            <w:tcW w:w="414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231F20"/>
              </w:rPr>
              <w:t>(Principal Executive Officer)</w:t>
            </w:r>
          </w:p>
        </w:tc>
        <w:tc>
          <w:tcPr>
            <w:tcW w:w="2720" w:type="dxa"/>
            <w:vAlign w:val="bottom"/>
          </w:tcPr>
          <w:p>
            <w:pPr>
              <w:spacing w:after="0"/>
              <w:rPr>
                <w:sz w:val="18"/>
                <w:szCs w:val="18"/>
                <w:color w:val="auto"/>
              </w:rPr>
            </w:pPr>
          </w:p>
        </w:tc>
      </w:tr>
      <w:tr>
        <w:trPr>
          <w:trHeight w:val="230"/>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Chapman</w:t>
            </w:r>
          </w:p>
        </w:tc>
        <w:tc>
          <w:tcPr>
            <w:tcW w:w="4380" w:type="dxa"/>
            <w:vAlign w:val="bottom"/>
          </w:tcPr>
          <w:p>
            <w:pPr>
              <w:ind w:left="120"/>
              <w:spacing w:after="0"/>
              <w:rPr>
                <w:sz w:val="20"/>
                <w:szCs w:val="20"/>
                <w:color w:val="auto"/>
              </w:rPr>
            </w:pPr>
            <w:r>
              <w:rPr>
                <w:rFonts w:ascii="Arial" w:cs="Arial" w:eastAsia="Arial" w:hAnsi="Arial"/>
                <w:sz w:val="18"/>
                <w:szCs w:val="18"/>
                <w:color w:val="231F20"/>
              </w:rPr>
              <w:t>Vice President, Finance</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w w:val="90"/>
              </w:rPr>
              <w:t>Marcus Chapman</w:t>
            </w:r>
          </w:p>
        </w:tc>
        <w:tc>
          <w:tcPr>
            <w:tcW w:w="4380" w:type="dxa"/>
            <w:vAlign w:val="bottom"/>
          </w:tcPr>
          <w:p>
            <w:pPr>
              <w:ind w:left="120"/>
              <w:spacing w:after="0"/>
              <w:rPr>
                <w:sz w:val="20"/>
                <w:szCs w:val="20"/>
                <w:color w:val="auto"/>
              </w:rPr>
            </w:pPr>
            <w:r>
              <w:rPr>
                <w:rFonts w:ascii="Arial" w:cs="Arial" w:eastAsia="Arial" w:hAnsi="Arial"/>
                <w:sz w:val="18"/>
                <w:szCs w:val="18"/>
                <w:color w:val="231F20"/>
              </w:rPr>
              <w:t>(Principal Financial and Accounting Officer)</w:t>
            </w:r>
          </w:p>
        </w:tc>
        <w:tc>
          <w:tcPr>
            <w:tcW w:w="2720" w:type="dxa"/>
            <w:vAlign w:val="bottom"/>
          </w:tcPr>
          <w:p>
            <w:pPr>
              <w:spacing w:after="0"/>
              <w:rPr>
                <w:sz w:val="19"/>
                <w:szCs w:val="19"/>
                <w:color w:val="auto"/>
              </w:rPr>
            </w:pPr>
          </w:p>
        </w:tc>
      </w:tr>
      <w:tr>
        <w:trPr>
          <w:trHeight w:val="377"/>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31F20"/>
              </w:rPr>
              <w:t>Stephen Berenson</w:t>
            </w:r>
          </w:p>
        </w:tc>
        <w:tc>
          <w:tcPr>
            <w:tcW w:w="4380" w:type="dxa"/>
            <w:vAlign w:val="bottom"/>
          </w:tcPr>
          <w:p>
            <w:pPr>
              <w:ind w:left="120"/>
              <w:spacing w:after="0"/>
              <w:rPr>
                <w:sz w:val="20"/>
                <w:szCs w:val="20"/>
                <w:color w:val="auto"/>
              </w:rPr>
            </w:pPr>
            <w:r>
              <w:rPr>
                <w:rFonts w:ascii="Arial" w:cs="Arial" w:eastAsia="Arial" w:hAnsi="Arial"/>
                <w:sz w:val="18"/>
                <w:szCs w:val="18"/>
                <w:color w:val="231F20"/>
              </w:rPr>
              <w:t>Chairman of the Board</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87"/>
              </w:rPr>
              <w:t>Stephen Berenson</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A. Ausiello</w:t>
            </w:r>
          </w:p>
        </w:tc>
        <w:tc>
          <w:tcPr>
            <w:tcW w:w="43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5"/>
              </w:rPr>
              <w:t>Dennis A. Ausiello, M.D.</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R. Biondi</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w w:val="92"/>
              </w:rPr>
              <w:t>Paul R. Biondi</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Willard H. Dere</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5"/>
              </w:rPr>
              <w:t>Willard H. Dere</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Grégory Behar</w:t>
            </w:r>
          </w:p>
        </w:tc>
        <w:tc>
          <w:tcPr>
            <w:tcW w:w="43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1"/>
              </w:rPr>
              <w:t>Grégory Behar</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231F20"/>
              </w:rPr>
              <w:t>/s/ Kurt C. Graves</w:t>
            </w:r>
          </w:p>
        </w:tc>
        <w:tc>
          <w:tcPr>
            <w:tcW w:w="43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2"/>
              </w:rPr>
              <w:t>Kurt C. Graves</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Kender</w:t>
            </w:r>
          </w:p>
        </w:tc>
        <w:tc>
          <w:tcPr>
            <w:tcW w:w="43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1"/>
              </w:rPr>
              <w:t>Richard N. Kender</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Meryl S. Zausner</w:t>
            </w:r>
          </w:p>
        </w:tc>
        <w:tc>
          <w:tcPr>
            <w:tcW w:w="43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720" w:type="dxa"/>
            <w:vAlign w:val="bottom"/>
          </w:tcPr>
          <w:p>
            <w:pPr>
              <w:ind w:left="1660"/>
              <w:spacing w:after="0"/>
              <w:rPr>
                <w:sz w:val="20"/>
                <w:szCs w:val="20"/>
                <w:color w:val="auto"/>
              </w:rPr>
            </w:pPr>
            <w:r>
              <w:rPr>
                <w:rFonts w:ascii="Arial" w:cs="Arial" w:eastAsia="Arial" w:hAnsi="Arial"/>
                <w:sz w:val="18"/>
                <w:szCs w:val="18"/>
                <w:color w:val="231F20"/>
                <w:w w:val="90"/>
              </w:rPr>
              <w:t>March 2, 2021</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1"/>
              </w:rPr>
              <w:t>Meryl S. Zausner</w:t>
            </w:r>
          </w:p>
        </w:tc>
        <w:tc>
          <w:tcPr>
            <w:tcW w:w="438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vMerge w:val="restart"/>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Report of Independent Registered Public Accounting Firm</w:t>
              </w:r>
            </w:hyperlink>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400" w:type="dxa"/>
            <w:vAlign w:val="bottom"/>
            <w:vMerge w:val="continue"/>
          </w:tcPr>
          <w:p>
            <w:pPr>
              <w:spacing w:after="0"/>
              <w:rPr>
                <w:sz w:val="16"/>
                <w:szCs w:val="16"/>
                <w:color w:val="auto"/>
              </w:rPr>
            </w:pPr>
          </w:p>
        </w:tc>
        <w:tc>
          <w:tcPr>
            <w:tcW w:w="840" w:type="dxa"/>
            <w:vAlign w:val="bottom"/>
            <w:tcBorders>
              <w:top w:val="single" w:sz="8" w:color="auto"/>
            </w:tcBorders>
          </w:tcPr>
          <w:p>
            <w:pPr>
              <w:ind w:left="600"/>
              <w:spacing w:after="0" w:line="195"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Consolidated Balance Sheets as of December 31, 2020 and 2019</w:t>
              </w:r>
            </w:hyperlink>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1040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Consolidated Statements of Operations and Comprehensive Loss for the years ended December 31, 2020, 2019 and 2018</w:t>
              </w:r>
            </w:hyperlink>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1040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Consolidated Statements of Stockholders’ Equity (Deficit) as of December 31, 2020, 2019 and 2018</w:t>
              </w:r>
            </w:hyperlink>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1040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Consolidated Statements of Cash Flows for the years ended December 31, 2020, 2019 and 2018</w:t>
              </w:r>
            </w:hyperlink>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0"/>
        </w:trPr>
        <w:tc>
          <w:tcPr>
            <w:tcW w:w="1040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Notes to Consolidated Financial Statements</w:t>
              </w:r>
            </w:hyperlink>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Seres Therapeutics,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audited the accompanying consolidated balance sheets of Seres Therapeutics, Inc. and its subsidiaries (the “Company”) as of December 31, 2020 and 2019, and the related consolidated statements of operations and comprehensive loss, of stockholders' equity (deficit)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revenues from contracts with customers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will require additional financing to fund future operations. Management’s evaluation of the events and conditions and management’s plans to mitigate these matters are described in Note 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Nestlé Health Science (‘NHS’) Collaboration Agreement Recognized Under an Input Method</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described in Notes 2 and 12 to the consolidated financial statements, the Company recognizes revenue arising from a collaboration agreement with NHS, which totaled $11.9 million for the year ended December 31, 2020. The promised goods and services represent one combined performance obligation and the entire transaction price was allocated to that single combined performance obligation.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right="140"/>
        <w:spacing w:after="0" w:line="285" w:lineRule="auto"/>
        <w:rPr>
          <w:sz w:val="20"/>
          <w:szCs w:val="20"/>
          <w:color w:val="auto"/>
        </w:rPr>
      </w:pPr>
      <w:r>
        <w:rPr>
          <w:rFonts w:ascii="Arial" w:cs="Arial" w:eastAsia="Arial" w:hAnsi="Arial"/>
          <w:sz w:val="16"/>
          <w:szCs w:val="16"/>
          <w:color w:val="auto"/>
        </w:rPr>
        <w:t>When management concludes that a contract should be accounted for as a combined performance obligation and recognized over-time, management must then determine the period over which revenue should be recognized and the method by which to measure revenue. Management generally recognizes revenue using a cost-based input method, which measures the extent of progress towards completion based on the ratio of actual costs incurred to the total estimated costs expected upon satisfying the performance obligation. Due to the nature of the work required to be performed to satisfy the performance obligation, management’s estimation of costs expected is complex and requires significant judgment.</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for the NHS collaboration agreement recognized under an input method is a critical audit matter are the significant judgment by management when determining the total estimated costs expected upon satisfying the performance obligation, which in turn led to significant auditor judgment, subjectivity and effort in performing procedures to evaluate the total estimate of the costs expected upon satisfying the performance obligation.</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Addressing the matter involved performing procedures and evaluating audit evidence in connection with forming our overall opinion on the consolidated financial statements. These procedures included, among others, evaluating and testing management’s process for determining the total estimated costs expected upon satisfying the performance obligation, which included testing actual costs incurred and evaluating the reasonableness of estimated costs to satisfy the performance obligation. Evaluating the reasonableness of estimated costs to satisfy the performance obligation involved assessing management’s ability to reasonably estimate costs to satisfy the performance obligation by (i) </w:t>
      </w:r>
      <w:r>
        <w:rPr>
          <w:rFonts w:ascii="Arial" w:cs="Arial" w:eastAsia="Arial" w:hAnsi="Arial"/>
          <w:sz w:val="16"/>
          <w:szCs w:val="16"/>
          <w:color w:val="202124"/>
        </w:rPr>
        <w:t>evaluating the appropriateness of changes to management’s estimates of</w:t>
      </w:r>
      <w:r>
        <w:rPr>
          <w:rFonts w:ascii="Arial" w:cs="Arial" w:eastAsia="Arial" w:hAnsi="Arial"/>
          <w:sz w:val="16"/>
          <w:szCs w:val="16"/>
          <w:color w:val="auto"/>
        </w:rPr>
        <w:t xml:space="preserve"> </w:t>
      </w:r>
      <w:r>
        <w:rPr>
          <w:rFonts w:ascii="Arial" w:cs="Arial" w:eastAsia="Arial" w:hAnsi="Arial"/>
          <w:sz w:val="16"/>
          <w:szCs w:val="16"/>
          <w:color w:val="202124"/>
        </w:rPr>
        <w:t xml:space="preserve">total costs to satisfy the performance obligation; (ii) </w:t>
      </w:r>
      <w:r>
        <w:rPr>
          <w:rFonts w:ascii="Arial" w:cs="Arial" w:eastAsia="Arial" w:hAnsi="Arial"/>
          <w:sz w:val="16"/>
          <w:szCs w:val="16"/>
          <w:color w:val="000000"/>
        </w:rPr>
        <w:t>performing a comparison of management’s prior period cost estimates to actual costs incurred; and (iii)</w:t>
      </w:r>
      <w:r>
        <w:rPr>
          <w:rFonts w:ascii="Arial" w:cs="Arial" w:eastAsia="Arial" w:hAnsi="Arial"/>
          <w:sz w:val="16"/>
          <w:szCs w:val="16"/>
          <w:color w:val="202124"/>
        </w:rPr>
        <w:t xml:space="preserve"> </w:t>
      </w:r>
      <w:r>
        <w:rPr>
          <w:rFonts w:ascii="Arial" w:cs="Arial" w:eastAsia="Arial" w:hAnsi="Arial"/>
          <w:sz w:val="16"/>
          <w:szCs w:val="16"/>
          <w:color w:val="000000"/>
        </w:rPr>
        <w:t>evaluating whether the cost estimates used by management were reasonable considering consistency with industry and company-specific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116,049</w:t>
            </w:r>
          </w:p>
        </w:tc>
        <w:tc>
          <w:tcPr>
            <w:tcW w:w="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89"/>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65,126</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Short term investments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137,567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100,189</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19,495</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Restricted investments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Long term investments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342,940</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132,440</w:t>
            </w:r>
          </w:p>
        </w:tc>
        <w:tc>
          <w:tcPr>
            <w:tcW w:w="100" w:type="dxa"/>
            <w:vAlign w:val="bottom"/>
            <w:tcBorders>
              <w:bottom w:val="single" w:sz="8" w:color="CFF0FC"/>
            </w:tcBorders>
          </w:tcPr>
          <w:p>
            <w:pPr>
              <w:spacing w:after="0"/>
              <w:rPr>
                <w:sz w:val="22"/>
                <w:szCs w:val="22"/>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89"/>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Short term portion of note payable, net of discount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related party</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r>
      <w:tr>
        <w:trPr>
          <w:trHeight w:val="22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46,415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Long term portion of note payable, net of discount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89,111</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180,764</w:t>
            </w:r>
          </w:p>
        </w:tc>
        <w:tc>
          <w:tcPr>
            <w:tcW w:w="100" w:type="dxa"/>
            <w:vAlign w:val="bottom"/>
            <w:shd w:val="clear" w:color="auto" w:fill="CFF0FC"/>
          </w:tcPr>
          <w:p>
            <w:pPr>
              <w:spacing w:after="0"/>
              <w:rPr>
                <w:sz w:val="19"/>
                <w:szCs w:val="19"/>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660" w:type="dxa"/>
            <w:vAlign w:val="bottom"/>
          </w:tcPr>
          <w:p>
            <w:pPr>
              <w:ind w:left="260"/>
              <w:spacing w:after="0"/>
              <w:rPr>
                <w:sz w:val="20"/>
                <w:szCs w:val="20"/>
                <w:color w:val="auto"/>
              </w:rPr>
            </w:pPr>
            <w:r>
              <w:rPr>
                <w:rFonts w:ascii="Arial" w:cs="Arial" w:eastAsia="Arial" w:hAnsi="Arial"/>
                <w:sz w:val="18"/>
                <w:szCs w:val="18"/>
                <w:color w:val="auto"/>
                <w:w w:val="91"/>
              </w:rPr>
              <w:t>Preferred stock, $0.001 par value; 10,000,000 shares authorized at December 31, 2020 and 2019; no</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shares issued and outstanding at December 31, 2020 and 2019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200,000,000 shares authorized at December 31, 2020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2019; 91,459,239 and 70,143,252 shares issued and outstanding</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December 31, 2020 and 2019</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0"/>
                <w:szCs w:val="20"/>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723,482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411,255</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(548,776)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(459,649)</w:t>
            </w:r>
          </w:p>
        </w:tc>
      </w:tr>
      <w:tr>
        <w:trPr>
          <w:trHeight w:val="22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174,750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342,940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132,440</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ind w:right="-9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Collaboration revenue - related party</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11,897</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27,188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33,215</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90,570</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expenses</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121,345</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106,381</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6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79,789,220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56,649,220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40,743,492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investments, net of tax of $0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(89,174)</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Par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Paid-in</w:t>
            </w: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2017</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40,571,015</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324,376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(263,571)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60"/>
              <w:spacing w:after="0"/>
              <w:rPr>
                <w:sz w:val="20"/>
                <w:szCs w:val="20"/>
                <w:color w:val="auto"/>
              </w:rPr>
            </w:pPr>
            <w:r>
              <w:rPr>
                <w:rFonts w:ascii="Arial" w:cs="Arial" w:eastAsia="Arial" w:hAnsi="Arial"/>
                <w:sz w:val="16"/>
                <w:szCs w:val="16"/>
                <w:color w:val="auto"/>
              </w:rPr>
              <w:t>Issuance of common stock upon exercise of stock</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212,240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 of common stock upon vesting of RSUs, net</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tax withholdings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60"/>
              <w:spacing w:after="0"/>
              <w:rPr>
                <w:sz w:val="20"/>
                <w:szCs w:val="20"/>
                <w:color w:val="auto"/>
              </w:rPr>
            </w:pPr>
            <w:r>
              <w:rPr>
                <w:rFonts w:ascii="Arial" w:cs="Arial" w:eastAsia="Arial" w:hAnsi="Arial"/>
                <w:sz w:val="16"/>
                <w:szCs w:val="16"/>
                <w:color w:val="auto"/>
              </w:rPr>
              <w:t>Repurchase of common stock for employee tax</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withholdings</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(17,900)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under ESPP plan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Unrealized gain on investments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Adoption of new revenue standard (ASC 606)</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(26,857)</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(26,857)</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(98,942)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(98,942)</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2018</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40,936,735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341,284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(389,370)</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(48,045)</w:t>
            </w:r>
          </w:p>
        </w:tc>
        <w:tc>
          <w:tcPr>
            <w:tcW w:w="0" w:type="dxa"/>
            <w:vAlign w:val="bottom"/>
          </w:tcPr>
          <w:p>
            <w:pPr>
              <w:spacing w:after="0"/>
              <w:rPr>
                <w:sz w:val="1"/>
                <w:szCs w:val="1"/>
                <w:color w:val="auto"/>
              </w:rPr>
            </w:pPr>
          </w:p>
        </w:tc>
      </w:tr>
      <w:tr>
        <w:trPr>
          <w:trHeight w:val="203"/>
        </w:trPr>
        <w:tc>
          <w:tcPr>
            <w:tcW w:w="4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Issuance of common stock from public</w:t>
            </w: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offering, net of commissions, underwriting</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discounts and offering costs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28,818,578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60,498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60"/>
              <w:spacing w:after="0"/>
              <w:rPr>
                <w:sz w:val="20"/>
                <w:szCs w:val="20"/>
                <w:color w:val="auto"/>
              </w:rPr>
            </w:pPr>
            <w:r>
              <w:rPr>
                <w:rFonts w:ascii="Arial" w:cs="Arial" w:eastAsia="Arial" w:hAnsi="Arial"/>
                <w:sz w:val="16"/>
                <w:szCs w:val="16"/>
                <w:color w:val="auto"/>
              </w:rPr>
              <w:t>Issuance of common stock from at the market equity</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offering</w:t>
            </w:r>
          </w:p>
        </w:tc>
        <w:tc>
          <w:tcPr>
            <w:tcW w:w="980" w:type="dxa"/>
            <w:vAlign w:val="bottom"/>
          </w:tcPr>
          <w:p>
            <w:pPr>
              <w:jc w:val="right"/>
              <w:spacing w:after="0"/>
              <w:rPr>
                <w:sz w:val="20"/>
                <w:szCs w:val="20"/>
                <w:color w:val="auto"/>
              </w:rPr>
            </w:pPr>
            <w:r>
              <w:rPr>
                <w:rFonts w:ascii="Arial" w:cs="Arial" w:eastAsia="Arial" w:hAnsi="Arial"/>
                <w:sz w:val="16"/>
                <w:szCs w:val="16"/>
                <w:color w:val="auto"/>
              </w:rPr>
              <w:t>128,400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upon exercise of stock</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60"/>
              <w:spacing w:after="0"/>
              <w:rPr>
                <w:sz w:val="20"/>
                <w:szCs w:val="20"/>
                <w:color w:val="auto"/>
              </w:rPr>
            </w:pPr>
            <w:r>
              <w:rPr>
                <w:rFonts w:ascii="Arial" w:cs="Arial" w:eastAsia="Arial" w:hAnsi="Arial"/>
                <w:sz w:val="16"/>
                <w:szCs w:val="16"/>
                <w:color w:val="auto"/>
                <w:w w:val="99"/>
              </w:rPr>
              <w:t>Issuance of common stock upon vesting of RSUs, net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380"/>
              <w:spacing w:after="0"/>
              <w:rPr>
                <w:sz w:val="20"/>
                <w:szCs w:val="20"/>
                <w:color w:val="auto"/>
              </w:rPr>
            </w:pPr>
            <w:r>
              <w:rPr>
                <w:rFonts w:ascii="Arial" w:cs="Arial" w:eastAsia="Arial" w:hAnsi="Arial"/>
                <w:sz w:val="16"/>
                <w:szCs w:val="16"/>
                <w:color w:val="auto"/>
              </w:rPr>
              <w:t>of tax withholdings</w:t>
            </w:r>
          </w:p>
        </w:tc>
        <w:tc>
          <w:tcPr>
            <w:tcW w:w="980" w:type="dxa"/>
            <w:vAlign w:val="bottom"/>
          </w:tcPr>
          <w:p>
            <w:pPr>
              <w:jc w:val="right"/>
              <w:spacing w:after="0"/>
              <w:rPr>
                <w:sz w:val="20"/>
                <w:szCs w:val="20"/>
                <w:color w:val="auto"/>
              </w:rPr>
            </w:pPr>
            <w:r>
              <w:rPr>
                <w:rFonts w:ascii="Arial" w:cs="Arial" w:eastAsia="Arial" w:hAnsi="Arial"/>
                <w:sz w:val="16"/>
                <w:szCs w:val="16"/>
                <w:color w:val="auto"/>
              </w:rPr>
              <w:t>94,400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under ESPP plan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(70,279)</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(70,279)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70,143,252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411,255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(459,649)</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(48,324)</w:t>
            </w:r>
          </w:p>
        </w:tc>
        <w:tc>
          <w:tcPr>
            <w:tcW w:w="0" w:type="dxa"/>
            <w:vAlign w:val="bottom"/>
          </w:tcPr>
          <w:p>
            <w:pPr>
              <w:spacing w:after="0"/>
              <w:rPr>
                <w:sz w:val="1"/>
                <w:szCs w:val="1"/>
                <w:color w:val="auto"/>
              </w:rPr>
            </w:pPr>
          </w:p>
        </w:tc>
      </w:tr>
      <w:tr>
        <w:trPr>
          <w:trHeight w:val="203"/>
        </w:trPr>
        <w:tc>
          <w:tcPr>
            <w:tcW w:w="4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Issuance of common stock from public</w:t>
            </w: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offering, net of commissions, underwriting</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discounts and offering costs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12,075,000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243,736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60"/>
              <w:spacing w:after="0"/>
              <w:rPr>
                <w:sz w:val="20"/>
                <w:szCs w:val="20"/>
                <w:color w:val="auto"/>
              </w:rPr>
            </w:pPr>
            <w:r>
              <w:rPr>
                <w:rFonts w:ascii="Arial" w:cs="Arial" w:eastAsia="Arial" w:hAnsi="Arial"/>
                <w:sz w:val="16"/>
                <w:szCs w:val="16"/>
                <w:color w:val="auto"/>
              </w:rPr>
              <w:t>Issuance of common stock from Securities Purchase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Agreement, net of offering costs - related party</w:t>
            </w:r>
          </w:p>
        </w:tc>
        <w:tc>
          <w:tcPr>
            <w:tcW w:w="980" w:type="dxa"/>
            <w:vAlign w:val="bottom"/>
          </w:tcPr>
          <w:p>
            <w:pPr>
              <w:jc w:val="right"/>
              <w:spacing w:after="0"/>
              <w:rPr>
                <w:sz w:val="20"/>
                <w:szCs w:val="20"/>
                <w:color w:val="auto"/>
              </w:rPr>
            </w:pPr>
            <w:r>
              <w:rPr>
                <w:rFonts w:ascii="Arial" w:cs="Arial" w:eastAsia="Arial" w:hAnsi="Arial"/>
                <w:sz w:val="16"/>
                <w:szCs w:val="16"/>
                <w:color w:val="auto"/>
              </w:rPr>
              <w:t>959,002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from at the market equity</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offering</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5,787,681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24,767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60"/>
              <w:spacing w:after="0"/>
              <w:rPr>
                <w:sz w:val="20"/>
                <w:szCs w:val="20"/>
                <w:color w:val="auto"/>
              </w:rPr>
            </w:pPr>
            <w:r>
              <w:rPr>
                <w:rFonts w:ascii="Arial" w:cs="Arial" w:eastAsia="Arial" w:hAnsi="Arial"/>
                <w:sz w:val="16"/>
                <w:szCs w:val="16"/>
                <w:color w:val="auto"/>
              </w:rPr>
              <w:t>Issuance of common stock upon exercise of stock</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2,214,011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 of common stock upon vesting of RSUs, net</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tax withholdings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Issuance of common stock under ESPP plan</w:t>
            </w:r>
          </w:p>
        </w:tc>
        <w:tc>
          <w:tcPr>
            <w:tcW w:w="980" w:type="dxa"/>
            <w:vAlign w:val="bottom"/>
          </w:tcPr>
          <w:p>
            <w:pPr>
              <w:jc w:val="right"/>
              <w:spacing w:after="0"/>
              <w:rPr>
                <w:sz w:val="20"/>
                <w:szCs w:val="20"/>
                <w:color w:val="auto"/>
              </w:rPr>
            </w:pPr>
            <w:r>
              <w:rPr>
                <w:rFonts w:ascii="Arial" w:cs="Arial" w:eastAsia="Arial" w:hAnsi="Arial"/>
                <w:sz w:val="16"/>
                <w:szCs w:val="16"/>
                <w:color w:val="auto"/>
              </w:rPr>
              <w:t>155,293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Unrealized loss on investments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(89,127)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(89,127)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91,459,239</w:t>
            </w:r>
          </w:p>
        </w:tc>
        <w:tc>
          <w:tcPr>
            <w:tcW w:w="140" w:type="dxa"/>
            <w:vAlign w:val="bottom"/>
          </w:tcPr>
          <w:p>
            <w:pPr>
              <w:spacing w:after="0"/>
              <w:rPr>
                <w:sz w:val="17"/>
                <w:szCs w:val="17"/>
                <w:color w:val="auto"/>
              </w:rPr>
            </w:pPr>
          </w:p>
        </w:tc>
        <w:tc>
          <w:tcPr>
            <w:tcW w:w="80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91</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723,482</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(548,776)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174,750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6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(89,127)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(70,279)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(98,942)</w:t>
            </w:r>
          </w:p>
        </w:tc>
      </w:tr>
      <w:tr>
        <w:trPr>
          <w:trHeight w:val="215"/>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16,641</w:t>
            </w:r>
          </w:p>
        </w:tc>
        <w:tc>
          <w:tcPr>
            <w:tcW w:w="120" w:type="dxa"/>
            <w:vAlign w:val="bottom"/>
          </w:tcPr>
          <w:p>
            <w:pPr>
              <w:spacing w:after="0"/>
              <w:rPr>
                <w:sz w:val="19"/>
                <w:szCs w:val="19"/>
                <w:color w:val="auto"/>
              </w:rPr>
            </w:pPr>
          </w:p>
        </w:tc>
      </w:tr>
      <w:tr>
        <w:trPr>
          <w:trHeight w:val="229"/>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Non-cash operating lease cost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500"/>
              <w:spacing w:after="0"/>
              <w:rPr>
                <w:sz w:val="20"/>
                <w:szCs w:val="20"/>
                <w:color w:val="auto"/>
              </w:rPr>
            </w:pPr>
            <w:r>
              <w:rPr>
                <w:rFonts w:ascii="Arial" w:cs="Arial" w:eastAsia="Arial" w:hAnsi="Arial"/>
                <w:sz w:val="18"/>
                <w:szCs w:val="18"/>
                <w:color w:val="auto"/>
                <w:w w:val="98"/>
              </w:rPr>
              <w:t>Accretion (amortization) of discount (premium) on issued debt securities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(2,056)</w:t>
            </w:r>
          </w:p>
        </w:tc>
      </w:tr>
      <w:tr>
        <w:trPr>
          <w:trHeight w:val="230"/>
        </w:trPr>
        <w:tc>
          <w:tcPr>
            <w:tcW w:w="616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(11,565)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(17,520)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r>
      <w:tr>
        <w:trPr>
          <w:trHeight w:val="229"/>
        </w:trPr>
        <w:tc>
          <w:tcPr>
            <w:tcW w:w="6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(4,211)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(93,610)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(76,520)</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(1,937)</w:t>
            </w:r>
          </w:p>
        </w:tc>
      </w:tr>
      <w:tr>
        <w:trPr>
          <w:trHeight w:val="229"/>
        </w:trPr>
        <w:tc>
          <w:tcPr>
            <w:tcW w:w="616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(218,284)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(46,420)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(21,832)</w:t>
            </w: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maturities of investments</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136,087</w:t>
            </w:r>
          </w:p>
        </w:tc>
        <w:tc>
          <w:tcPr>
            <w:tcW w:w="120" w:type="dxa"/>
            <w:vAlign w:val="bottom"/>
            <w:shd w:val="clear" w:color="auto" w:fill="CFF0FC"/>
          </w:tcPr>
          <w:p>
            <w:pPr>
              <w:spacing w:after="0"/>
              <w:rPr>
                <w:sz w:val="19"/>
                <w:szCs w:val="19"/>
                <w:color w:val="auto"/>
              </w:rPr>
            </w:pPr>
          </w:p>
        </w:tc>
      </w:tr>
      <w:tr>
        <w:trPr>
          <w:trHeight w:val="223"/>
        </w:trPr>
        <w:tc>
          <w:tcPr>
            <w:tcW w:w="6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112,318</w:t>
            </w:r>
          </w:p>
        </w:tc>
        <w:tc>
          <w:tcPr>
            <w:tcW w:w="12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public offering of common stock, net of commissions,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60" w:type="dxa"/>
            <w:vAlign w:val="bottom"/>
          </w:tcPr>
          <w:p>
            <w:pPr>
              <w:ind w:left="380"/>
              <w:spacing w:after="0"/>
              <w:rPr>
                <w:sz w:val="20"/>
                <w:szCs w:val="20"/>
                <w:color w:val="auto"/>
              </w:rPr>
            </w:pPr>
            <w:r>
              <w:rPr>
                <w:rFonts w:ascii="Arial" w:cs="Arial" w:eastAsia="Arial" w:hAnsi="Arial"/>
                <w:sz w:val="18"/>
                <w:szCs w:val="18"/>
                <w:color w:val="auto"/>
              </w:rPr>
              <w:t>underwriting discounts and offering costs</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243,748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60,527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Securities Purchase Agreement, net of issuance costs -</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party</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issuance of note payable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at the market equity offering, net of commissions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Payments of debt issuance costs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and restricted common stock</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15"/>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repurchase of common stock for employee tax</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withholdings</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w:t>
            </w:r>
          </w:p>
        </w:tc>
      </w:tr>
      <w:tr>
        <w:trPr>
          <w:trHeight w:val="229"/>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Issuance of common stock under ESPP plan</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86,231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(20,807)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49,732</w:t>
            </w:r>
          </w:p>
        </w:tc>
        <w:tc>
          <w:tcPr>
            <w:tcW w:w="12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85,933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120" w:type="dxa"/>
            <w:vAlign w:val="bottom"/>
            <w:shd w:val="clear" w:color="auto" w:fill="CFF0FC"/>
          </w:tcPr>
          <w:p>
            <w:pPr>
              <w:spacing w:after="0"/>
              <w:rPr>
                <w:sz w:val="19"/>
                <w:szCs w:val="19"/>
                <w:color w:val="auto"/>
              </w:rPr>
            </w:pPr>
          </w:p>
        </w:tc>
      </w:tr>
      <w:tr>
        <w:trPr>
          <w:trHeight w:val="26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4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116,049</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65,126</w:t>
            </w:r>
          </w:p>
        </w:tc>
        <w:tc>
          <w:tcPr>
            <w:tcW w:w="1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85,933</w:t>
            </w:r>
          </w:p>
        </w:tc>
        <w:tc>
          <w:tcPr>
            <w:tcW w:w="120" w:type="dxa"/>
            <w:vAlign w:val="bottom"/>
            <w:tcBorders>
              <w:bottom w:val="single" w:sz="8" w:color="CFF0FC"/>
            </w:tcBorders>
          </w:tcPr>
          <w:p>
            <w:pPr>
              <w:spacing w:after="0"/>
              <w:rPr>
                <w:sz w:val="22"/>
                <w:szCs w:val="22"/>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1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1"/>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activities:</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5"/>
        </w:trPr>
        <w:tc>
          <w:tcPr>
            <w:tcW w:w="6160" w:type="dxa"/>
            <w:vAlign w:val="bottom"/>
          </w:tcPr>
          <w:p>
            <w:pPr>
              <w:ind w:left="260"/>
              <w:spacing w:after="0"/>
              <w:rPr>
                <w:sz w:val="20"/>
                <w:szCs w:val="20"/>
                <w:color w:val="auto"/>
              </w:rPr>
            </w:pPr>
            <w:r>
              <w:rPr>
                <w:rFonts w:ascii="Arial" w:cs="Arial" w:eastAsia="Arial" w:hAnsi="Arial"/>
                <w:sz w:val="18"/>
                <w:szCs w:val="18"/>
                <w:color w:val="auto"/>
              </w:rPr>
              <w:t>Property and equipment purchases included in accounts payable and</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7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r>
      <w:tr>
        <w:trPr>
          <w:trHeight w:val="215"/>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of operating lease assets and operating lease liabilities from</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modifications or reassessments</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treat disease by modulating the microbiome to restore health by repairing the function of a disrupted microbiome to a non-disease state. The Company’s lead product candidate, SER-109, is designed to prevent further recurrences of </w:t>
      </w:r>
      <w:r>
        <w:rPr>
          <w:rFonts w:ascii="Arial" w:cs="Arial" w:eastAsia="Arial" w:hAnsi="Arial"/>
          <w:sz w:val="16"/>
          <w:szCs w:val="16"/>
          <w:i w:val="1"/>
          <w:iCs w:val="1"/>
          <w:color w:val="auto"/>
        </w:rPr>
        <w:t>Clostridioides difficle</w:t>
      </w:r>
      <w:r>
        <w:rPr>
          <w:rFonts w:ascii="Arial" w:cs="Arial" w:eastAsia="Arial" w:hAnsi="Arial"/>
          <w:sz w:val="16"/>
          <w:szCs w:val="16"/>
          <w:color w:val="auto"/>
        </w:rPr>
        <w:t xml:space="preserve"> infection (“CDI”), a debilitating infection of the colon, in patients who have received antibiotic therapy for recurrent CDI by treating the disruption of the colonic microbiome. If approved by the U.S. Food and Drug Administration (“FDA”), we believe SER-109 will be a first-in-field oral microbiome drug. SER-287 and SER-301 are being developed by the Company to treat ulcerative colitis (“UC”). In addition, using its microbiome therapeutics platform, the Company is also developing product candidates to treat diseases where the microbiome is implicated, including SER-155, a consortium of cultivated bacteria, therapeutics candidate designed to prevent mortality due to gastrointestinal infections, bacteremia and graft versus host disease (GvHD”) in immunocompromised patients, including in patients receiving allogeneic hematopoietic stem cell transplantation (“allo-HSCT”) and solid organ transplants and SER-401, a microbiome therapeutics candidate for use with checkpoint inhibitors (CPI’s”) in patients with metastatic melanoma. The Company continues to evaluate microbiome pharmacokinetic of SER-262 to treat an initial recurrence of CDI. The Company is also using its reverse translation microbiome therapeutics platforms to conduct research on various indications, including pathogen infection and antibiotic resistant bacteria, inflammatory and immune diseases, cancer, and metabolic diseases.</w:t>
      </w:r>
    </w:p>
    <w:p>
      <w:pPr>
        <w:spacing w:after="0" w:line="17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2"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On August 10, 2020, the Company reported positive topline results from its pivotal Phase 3 ECOSPOR III study evaluating SER-109 for recurrent CDI. The Company is actively enrolling patients in its SER-109 open-label study, which also admits patients with a single recurrence of CDI, to expand the safety database to meet the FDA threshold of at least 300 patients.</w:t>
      </w:r>
    </w:p>
    <w:p>
      <w:pPr>
        <w:spacing w:after="0" w:line="18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On August 12, 2020, the Company completed an underwritten public offering in which it sold 10,500,000 shares of its common stock at a public offering price of $21.50 per share. In addition, the Company granted the underwriters a 30-day option to purchase up to an additional 1,575,000 shares of its common stock at the public offering price, less underwriting discounts and commissions, which the underwriters exercised in full. The Company received aggregate net proceeds from the offering of approximately $243,748 after deducting underwriting discounts and commissions and offering expenses payable by the Company.</w:t>
      </w:r>
    </w:p>
    <w:p>
      <w:pPr>
        <w:spacing w:after="0" w:line="188"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August 12, 2020, the Company entered into a Securities Purchase Agreement (the “Securities Agreement”) with Société des Produits Nestlé S.A. (“Nestlé”) for the sale of 959,002 shares of its common stock at a purchase price of $20.855 per share (the “concurrent placement”). The Company received aggregate net proceeds from the concurrent placement of approximately $19,900 after deducting offering expenses payable by the Company.</w:t>
      </w:r>
    </w:p>
    <w:p>
      <w:pPr>
        <w:spacing w:after="0" w:line="14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 xml:space="preserve">Under Accounting Standards Update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xml:space="preserve"> (Subtopic 205-40) (“ASC 205-40”), the Company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As of December 31, 2020, the Company had an accumulated deficit of $548,776 and cash, cash equivalents and short- and long-term investments of $303,441. For </w:t>
      </w:r>
      <w:r>
        <w:rPr>
          <w:rFonts w:ascii="Arial" w:cs="Arial" w:eastAsia="Arial" w:hAnsi="Arial"/>
          <w:sz w:val="17"/>
          <w:szCs w:val="17"/>
          <w:color w:val="222222"/>
        </w:rPr>
        <w:t>the year ended December 31, 2020, the Company incurred a loss of $89,127 and used $93,610 of cash in operations. The Company expects</w:t>
      </w:r>
      <w:r>
        <w:rPr>
          <w:rFonts w:ascii="Arial" w:cs="Arial" w:eastAsia="Arial" w:hAnsi="Arial"/>
          <w:sz w:val="17"/>
          <w:szCs w:val="17"/>
          <w:color w:val="auto"/>
        </w:rPr>
        <w:t xml:space="preserve"> </w:t>
      </w:r>
      <w:r>
        <w:rPr>
          <w:rFonts w:ascii="Arial" w:cs="Arial" w:eastAsia="Arial" w:hAnsi="Arial"/>
          <w:sz w:val="17"/>
          <w:szCs w:val="17"/>
          <w:color w:val="222222"/>
        </w:rPr>
        <w:t xml:space="preserve">that its operating losses and negative cash flows will continue for the foreseeable future. </w:t>
      </w:r>
      <w:r>
        <w:rPr>
          <w:rFonts w:ascii="Arial" w:cs="Arial" w:eastAsia="Arial" w:hAnsi="Arial"/>
          <w:sz w:val="17"/>
          <w:szCs w:val="17"/>
          <w:color w:val="000000"/>
        </w:rPr>
        <w:t>The Company expects that its cash, cash equivalents and short and</w:t>
      </w:r>
      <w:r>
        <w:rPr>
          <w:rFonts w:ascii="Arial" w:cs="Arial" w:eastAsia="Arial" w:hAnsi="Arial"/>
          <w:sz w:val="17"/>
          <w:szCs w:val="17"/>
          <w:color w:val="222222"/>
        </w:rPr>
        <w:t xml:space="preserve"> </w:t>
      </w:r>
      <w:r>
        <w:rPr>
          <w:rFonts w:ascii="Arial" w:cs="Arial" w:eastAsia="Arial" w:hAnsi="Arial"/>
          <w:sz w:val="17"/>
          <w:szCs w:val="17"/>
          <w:color w:val="000000"/>
        </w:rPr>
        <w:t>long-term investments as of December 31, 2020 of $303,441 will be sufficient to fund its operating expenses, capital expenditure requirements, and debt service obligations for at least the next 12-months from issuance of the financial statements. The future viability of the Company beyond that point is dependent on its ability to raise additional capital to finance its operations.</w:t>
      </w:r>
    </w:p>
    <w:p>
      <w:pPr>
        <w:spacing w:after="0" w:line="218"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The Company is eligible to receive contingent milestone payments under its license and collaboration agreement with Société des Produits Nestlé S.A. (“Nestlé”), successor in interest to Nestec Ltd., an affiliate of Nestlé Health Science US Holdings, Inc. (“Nestlé Health Science”), both of which are significant stockholder of the Company, if certain development milestones are achieved. However, these milestones are uncertain and there is no assurance that the Company will receive any of them. Until such time, if ever, as the Company can generate substantial product revenue, the Company will finance its cash needs through a combination of public or private equity offerings, debt financings, governmental funding, collaborations, strategic partnerships or marketing, distribution or licensing arrangements with third parties. The Company may not be able to obtain funding on acceptable terms, or at all. If the Company is unable to raise additional funds as and when needed, it would have a negative impact on the Company’s financial condition, which may require the Company to delay, reduce or eliminate certain research and development activities and reduce or eliminate discretionary operating expenses, which could constrain the Company’s ability to pursue its business strategies.</w:t>
      </w:r>
    </w:p>
    <w:p>
      <w:pPr>
        <w:spacing w:after="0" w:line="181"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88" w:lineRule="exact"/>
        <w:rPr>
          <w:sz w:val="20"/>
          <w:szCs w:val="20"/>
          <w:color w:val="auto"/>
        </w:rPr>
      </w:pPr>
    </w:p>
    <w:p>
      <w:pPr>
        <w:ind w:right="7360" w:firstLine="8"/>
        <w:spacing w:after="0" w:line="377" w:lineRule="auto"/>
        <w:tabs>
          <w:tab w:leader="none" w:pos="499"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2"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revenue recognition and the accrual of research and development expenses. Estimates are periodically reviewed in light of changes in circumstances, facts and experience. Actual results could differ from the Company’s estimates.</w:t>
      </w:r>
    </w:p>
    <w:p>
      <w:pPr>
        <w:spacing w:after="0" w:line="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full extent to which the COVID-19 pandemic will directly or indirectly impact the Company’s business, results of operations and financial condition, including revenue, operating expenses, clinical trials and employee-related amounts, will depend on future developments that are highly uncertain, including new information that may emerge concerning COVID-19 and the actions taken to contain it or treat its impact and the economic impact on local, regional, national and international markets. We have made estimates of the impact of COVID-19 within our financial statements and there may be changes to those estimates in future periods. Actual results could differ from the Company’s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accounts, commercial paper and corporate bonds purchased with original maturities of less than 90 days from the date of purchase, are stated at fair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classifies its available-for-sale marketable debt securities as current assets on the consolidated balance sheet if they mature within one year from the balance sheet date. Any available-for-sale marketable debt securities with maturities greater than one year from the balance sheet date are classified as long-term assets on the consolidated balance sheet.</w:t>
      </w:r>
    </w:p>
    <w:p>
      <w:pPr>
        <w:spacing w:after="0" w:line="184" w:lineRule="exact"/>
        <w:rPr>
          <w:sz w:val="20"/>
          <w:szCs w:val="20"/>
          <w:color w:val="auto"/>
        </w:rPr>
      </w:pPr>
    </w:p>
    <w:p>
      <w:pPr>
        <w:ind w:right="600" w:firstLine="510"/>
        <w:spacing w:after="0" w:line="263" w:lineRule="auto"/>
        <w:rPr>
          <w:sz w:val="20"/>
          <w:szCs w:val="20"/>
          <w:color w:val="auto"/>
        </w:rPr>
      </w:pPr>
      <w:r>
        <w:rPr>
          <w:rFonts w:ascii="Arial" w:cs="Arial" w:eastAsia="Arial" w:hAnsi="Arial"/>
          <w:sz w:val="18"/>
          <w:szCs w:val="18"/>
          <w:color w:val="auto"/>
        </w:rPr>
        <w:t>The Company classifies all of its marketable debt securities as available-for-sale securities. Accordingly, these marketable debt securities are recorded at fair value and unrealized gains and losses are reported as a separate component of accumulated other comprehensive income (loss) in stockholders’ equity (deficit). The cost of securities sold is determined on a specific identification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Investments</w:t>
      </w:r>
    </w:p>
    <w:p>
      <w:pPr>
        <w:spacing w:after="0" w:line="135"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The Company held investments of $1,400 as of December 31, 2020 and December 31, 2019 in a separate restricted bank account as a security deposit for the lease of the Company’s facilities. The Company has classified these deposits as long-term restricted investments on its balance sheet.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1000" w:hanging="493"/>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The Company’s cash equivalents and investments are carried at fair value, determined according to the fair value hierarchy described above. The Company’s investments in certificates of deposit are carried at amortized cost, which approximates fair value. The carrying values of the Company’s accounts receivable, prepaid expense and other current assets, accounts payable and accrued expenses approximates their fair value due to the short-term nature of these assets and liabilities. The carrying value of the Company’s long-term debt approximates its fair value (a level 2 measurement) at each balance sheet date due to its variable interest rate, which approximates a market interest rate.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92"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46"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The Company accounts for forfeitures of stock-based awards as they occur rather than applying an estimated forfeiture rate to stock-based compensation expense.</w:t>
      </w:r>
    </w:p>
    <w:p>
      <w:pPr>
        <w:spacing w:after="0" w:line="170" w:lineRule="exact"/>
        <w:rPr>
          <w:sz w:val="20"/>
          <w:szCs w:val="20"/>
          <w:color w:val="auto"/>
        </w:rPr>
      </w:pPr>
    </w:p>
    <w:p>
      <w:pPr>
        <w:ind w:right="520" w:firstLine="510"/>
        <w:spacing w:after="0" w:line="259" w:lineRule="auto"/>
        <w:rPr>
          <w:sz w:val="20"/>
          <w:szCs w:val="20"/>
          <w:color w:val="auto"/>
        </w:rPr>
      </w:pPr>
      <w:r>
        <w:rPr>
          <w:rFonts w:ascii="Arial" w:cs="Arial" w:eastAsia="Arial" w:hAnsi="Arial"/>
          <w:sz w:val="18"/>
          <w:szCs w:val="18"/>
          <w:color w:val="auto"/>
        </w:rPr>
        <w:t>The fair value of each stock option grant is estimated on the date of grant using the Black- Scholes option-pricing model. The Company lacks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Company uses the simplified method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prescribed by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w:t>
      </w:r>
    </w:p>
    <w:p>
      <w:pPr>
        <w:spacing w:after="0" w:line="211" w:lineRule="exact"/>
        <w:rPr>
          <w:sz w:val="20"/>
          <w:szCs w:val="20"/>
          <w:color w:val="auto"/>
        </w:rPr>
      </w:pPr>
    </w:p>
    <w:p>
      <w:pPr>
        <w:jc w:val="both"/>
        <w:ind w:right="120" w:firstLine="600"/>
        <w:spacing w:after="0" w:line="263" w:lineRule="auto"/>
        <w:rPr>
          <w:sz w:val="20"/>
          <w:szCs w:val="20"/>
          <w:color w:val="auto"/>
        </w:rPr>
      </w:pPr>
      <w:r>
        <w:rPr>
          <w:rFonts w:ascii="Arial" w:cs="Arial" w:eastAsia="Arial" w:hAnsi="Arial"/>
          <w:sz w:val="18"/>
          <w:szCs w:val="18"/>
          <w:color w:val="auto"/>
        </w:rPr>
        <w:t>Under ASC 606, the Company recognizes revenue using the cost-to-cost method over the remaining performance period as described in Note 12. The cumulative effect of applying ASC 606 as of the adoption date of January 1, 2018 of $26,857 was recorded as an adjustment to accumulated deficit in the statement of stockholders’ equity (deficit).</w:t>
      </w:r>
    </w:p>
    <w:p>
      <w:pPr>
        <w:spacing w:after="0" w:line="18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The Company recognizes revenue in accordance with the guidance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applies to all contracts with customers, except those contracts that are within the scope of other guidance, such as leases, insurance, and financial instruments. The Company enters into agreements that are within the scope of ASC 606, under which the Company licenses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an entity recognizes revenue when its customer obtains control of promised goods or services, in an amount that reflects the consideration which the entity expects to receive in exchange for those goods or services. When determining the timing and extent of revenue recognition for arrangements that the Company determines are within the scope of ASC 606, the Company performs the following five steps:</w:t>
      </w:r>
    </w:p>
    <w:p>
      <w:pPr>
        <w:spacing w:after="0" w:line="73" w:lineRule="exact"/>
        <w:rPr>
          <w:sz w:val="20"/>
          <w:szCs w:val="20"/>
          <w:color w:val="auto"/>
        </w:rPr>
      </w:pPr>
    </w:p>
    <w:p>
      <w:pPr>
        <w:ind w:left="1480" w:hanging="730"/>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480" w:hanging="730"/>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480" w:hanging="730"/>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480" w:hanging="730"/>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480" w:hanging="730"/>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5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only applies the five-step model to contracts when it is probable that the entity will collect the consideration to which it is entitled in exchange for the goods or services transferred to the customer.</w:t>
      </w:r>
    </w:p>
    <w:p>
      <w:pPr>
        <w:spacing w:after="0" w:line="211"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219"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The Company determines the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9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 As of December 31, 2020 and December 31, 2019, the Company had $1,186 and $406 of accounts receivable and $8,201 and $1,379 of unbilled accounts receivable, respectively.</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does not assess whether a contract has a significant financing component if the expectation at contract inception is that the period between payment by the customer and the transfer of the promised goods or services to the customer will be one year or less. Incremental costs of obtaining a contract are expensed as and when incurred if the expected period over which the Company would have amortized the asset is one year or less, or the amount is immaterial.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When the Company concludes that a contract should be accounted for as a combined performance obligation and recognized over-time, the Company must then determine the period over which revenue should be recognized and the method by which to measure revenue. The Company generally recognizes revenue using a cost-based input method.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If a license to the Company’s intellectual property is determined to be distinct from the other performance obligations identified in the arrangement, the Company recognizes revenue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The Company evaluates the measure of progress each reporting period and, if necessary, adjusts the measure of progress and related revenue recognition.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6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Company evaluates each milestone to determine when and how much of the milestone to include in the transaction price. The Company first estimates the amount of the milestone payment that the Company could receive using either the expected value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revenue related to sales-based royalties or milestone payments based on the level of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For arrangements that include a promise of supply of clinical or commercial product, the Company determines if the supply is a promise in the contract or a future obligation at the customer’s option. If determined to be a promise at inception of the contract, the Company evaluates the promise to determine whether it is a separate performance obligation or a component of a bundled performance obligation. If determined to be an option, the Company determines if the option provides a material right to the customer and if so, accounts for the option as a separate performance obligation. If determined to be an option but not a material right, the Company accounts for the option as a separate contract when the customer elects to exercise the option.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13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22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accounts receivable. The related costs incurred by the Company are included in research and development expense in the Company’s consolidated statements of operations and comprehensive loss.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95"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microbiome therapeutics to treat the modulation of the colonic microbiome. Revenue to date has been generated solely through the Company's agreements with its collaborators, all of which has been earned in the United States. All tangible assets are held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2020, 2019 and 2018, other comprehensive income (loss) consisted of changes in unrealized gains (losses) from available-for-sale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w:t>
      </w:r>
    </w:p>
    <w:p>
      <w:pPr>
        <w:spacing w:after="0" w:line="16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Company’s convertible preferred stock contractually entitle the holders of such shares to participate in dividends but do not contractually require the holders of such shares to participate in losses of the Company. Similarly,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adopted ASC 842 on January 1, 2019 using the modified retrospective approach with no restatement of prior periods or cumulative adjustment to accumulated deficit. The Company determined if an arrangement is a lease at contract inception based on the facts and circumstances present in the arrangement. All the Company’s leases are classified as operating leases under the new leasing standard. The Company records operating lease assets and lease liabilities in its consolidated balance sheets. Operating lease assets represent the Company’s right to use an underlying asset for the lease term and operating lease liabilities represent the Company’s obligation to make lease payments arising from the leasing arrangement. Operating lease assets and operating lease liabilities are recognized at commencement date based on the present value of lease payments over the lease term. As most of the Company’s leases do not provide an implicit rate, in determining the operating lease liabilities, the Company uses an estimate of its incremental borrowing rate based on the information available at commencement. Lease expense for lease payments is recognized on a straight-line basis over the lease term. Short-term leases, or leases that have a lease term of 12 months or less at commencement date, are excluded from this treatment and are recognized on a straight-line basis over the term of the lease.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 xml:space="preserve">In November 2018, the Financial Accounting Standards Board (“FASB”) issued Accounting Standards Update (“ASU”) No. 2018-18, </w:t>
      </w:r>
      <w:r>
        <w:rPr>
          <w:rFonts w:ascii="Arial" w:cs="Arial" w:eastAsia="Arial" w:hAnsi="Arial"/>
          <w:sz w:val="18"/>
          <w:szCs w:val="18"/>
          <w:i w:val="1"/>
          <w:iCs w:val="1"/>
          <w:color w:val="auto"/>
        </w:rPr>
        <w:t>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(Topic 808): Clarifying the Interaction between Topic 808 and Topic 606 </w:t>
      </w:r>
      <w:r>
        <w:rPr>
          <w:rFonts w:ascii="Arial" w:cs="Arial" w:eastAsia="Arial" w:hAnsi="Arial"/>
          <w:sz w:val="18"/>
          <w:szCs w:val="18"/>
          <w:color w:val="auto"/>
        </w:rPr>
        <w:t>(“ASU 2018-18”). This standard makes targeted improvements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collaborative arrangements as follows:</w:t>
      </w:r>
    </w:p>
    <w:p>
      <w:pPr>
        <w:spacing w:after="0" w:line="76" w:lineRule="exact"/>
        <w:rPr>
          <w:sz w:val="20"/>
          <w:szCs w:val="20"/>
          <w:color w:val="auto"/>
        </w:rPr>
      </w:pPr>
    </w:p>
    <w:p>
      <w:pPr>
        <w:ind w:left="1260" w:right="380" w:hanging="375"/>
        <w:spacing w:after="0" w:line="259"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Clarifies that certain transactions between collaborative arrangement participants should be accounted for as revenue under ASC 606, Revenue from Contracts with Customers, when the collaborative arrangement participant is a customer in the context of a unit of account. In those situations, all the guidance in ASC 606 should be applied, including recognition, measurement, presentation and disclosure requirements;</w:t>
      </w:r>
    </w:p>
    <w:p>
      <w:pPr>
        <w:spacing w:after="0" w:line="78" w:lineRule="exact"/>
        <w:rPr>
          <w:rFonts w:ascii="Arial" w:cs="Arial" w:eastAsia="Arial" w:hAnsi="Arial"/>
          <w:sz w:val="18"/>
          <w:szCs w:val="18"/>
          <w:color w:val="auto"/>
        </w:rPr>
      </w:pPr>
    </w:p>
    <w:p>
      <w:pPr>
        <w:ind w:left="1260" w:right="40" w:hanging="375"/>
        <w:spacing w:after="0" w:line="263"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Adds unit-of-account guidance to ASC 808, Collaborative Arrangements, to align with the guidance in ASC 606 (that is, a distinct good or service) when an entity is assessing whether the collaborative arrangement or a part of the arrangement is within the scope of ASC 606; and</w:t>
      </w:r>
    </w:p>
    <w:p>
      <w:pPr>
        <w:spacing w:after="0" w:line="75" w:lineRule="exact"/>
        <w:rPr>
          <w:rFonts w:ascii="Arial" w:cs="Arial" w:eastAsia="Arial" w:hAnsi="Arial"/>
          <w:sz w:val="18"/>
          <w:szCs w:val="18"/>
          <w:color w:val="auto"/>
        </w:rPr>
      </w:pPr>
    </w:p>
    <w:p>
      <w:pPr>
        <w:ind w:left="1260" w:right="120" w:hanging="375"/>
        <w:spacing w:after="0" w:line="277"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Precludes a company from presenting transactions with collaborative participants that are not directly related to sales to third parties with revenue recognized under ASC 606 if the collaborative arrangement participant is not a customer.</w:t>
      </w:r>
    </w:p>
    <w:p>
      <w:pPr>
        <w:spacing w:after="0" w:line="19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This standard became effective for the Company on January 1, 2020 and did not have a material impact on the Company’s consolidated financial statements and related disclosures.</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(“ASU 2018-13”). This standard modifies certain disclosure requirements on fair value measurements. This standard became effective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on January 1, 2020 and did not have a material impact on the Company’s disclosures.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In November 2018, the FASB issued ASU No. 2018-19, </w:t>
      </w:r>
      <w:r>
        <w:rPr>
          <w:rFonts w:ascii="Arial" w:cs="Arial" w:eastAsia="Arial" w:hAnsi="Arial"/>
          <w:sz w:val="16"/>
          <w:szCs w:val="16"/>
          <w:i w:val="1"/>
          <w:iCs w:val="1"/>
          <w:color w:val="auto"/>
        </w:rPr>
        <w:t>Codification Improvements to Topic 326, Financial Instruments—Credit Losses</w:t>
      </w:r>
      <w:r>
        <w:rPr>
          <w:rFonts w:ascii="Arial" w:cs="Arial" w:eastAsia="Arial" w:hAnsi="Arial"/>
          <w:sz w:val="16"/>
          <w:szCs w:val="16"/>
          <w:color w:val="auto"/>
        </w:rPr>
        <w:t xml:space="preserve">, which narrowed the scope and changed the effective date for non-public entities for ASU 2016-13. The FASB subsequently issued supplemental guidance within ASU No. 2019-05,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(Topic 326): Targeted Transition Relief </w:t>
      </w:r>
      <w:r>
        <w:rPr>
          <w:rFonts w:ascii="Arial" w:cs="Arial" w:eastAsia="Arial" w:hAnsi="Arial"/>
          <w:sz w:val="16"/>
          <w:szCs w:val="16"/>
          <w:color w:val="auto"/>
        </w:rPr>
        <w:t>(‘‘ASU 2019-05’’). ASU 2019-05 provides an option to irrevocably elect the fair value option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financial assets previously measured at amortized cost basis. For public entities that are Securities and Exchange Commission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This standard will be effective for the Company on January 1, 2023. The Company is currently evaluating the potential impact that this standard may have on its condensed consolidated financial statements and related disclosures.</w:t>
      </w:r>
    </w:p>
    <w:p>
      <w:pPr>
        <w:spacing w:after="0" w:line="318"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80" w:type="dxa"/>
            <w:vAlign w:val="bottom"/>
            <w:gridSpan w:val="11"/>
          </w:tcPr>
          <w:p>
            <w:pPr>
              <w:ind w:left="420"/>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35,480</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0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12,343</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securities</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60" w:type="dxa"/>
            <w:vAlign w:val="bottom"/>
            <w:gridSpan w:val="2"/>
          </w:tcPr>
          <w:p>
            <w:pPr>
              <w:jc w:val="right"/>
              <w:ind w:right="127"/>
              <w:spacing w:after="0"/>
              <w:rPr>
                <w:sz w:val="20"/>
                <w:szCs w:val="20"/>
                <w:color w:val="auto"/>
              </w:rPr>
            </w:pPr>
            <w:r>
              <w:rPr>
                <w:rFonts w:ascii="Arial" w:cs="Arial" w:eastAsia="Arial" w:hAnsi="Arial"/>
                <w:sz w:val="18"/>
                <w:szCs w:val="18"/>
                <w:color w:val="auto"/>
              </w:rPr>
              <w:t>F-16</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80" w:type="dxa"/>
            <w:vAlign w:val="bottom"/>
            <w:gridSpan w:val="11"/>
          </w:tcPr>
          <w:p>
            <w:pPr>
              <w:ind w:left="420"/>
              <w:spacing w:after="0"/>
              <w:rPr>
                <w:sz w:val="20"/>
                <w:szCs w:val="20"/>
                <w:color w:val="auto"/>
              </w:rPr>
            </w:pPr>
            <w:r>
              <w:rPr>
                <w:rFonts w:ascii="Arial" w:cs="Arial" w:eastAsia="Arial" w:hAnsi="Arial"/>
                <w:sz w:val="14"/>
                <w:szCs w:val="14"/>
                <w:b w:val="1"/>
                <w:bCs w:val="1"/>
                <w:color w:val="auto"/>
              </w:rPr>
              <w:t>Fair Value Measurements as of December 31, 2019 Using:</w:t>
            </w:r>
          </w:p>
        </w:tc>
      </w:tr>
      <w:tr>
        <w:trPr>
          <w:trHeight w:val="156"/>
        </w:trPr>
        <w:tc>
          <w:tcPr>
            <w:tcW w:w="5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25,510</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25,510</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64,343</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Money market funds were valued by the Company based on quoted market prices, which represent a Level 1 measurement within the fair value hierarchy. Commercial paper, government securities, certificates of deposit and corporate bonds were valued by the Company using quoted prices in active markets for similar securities, which represent a Level 2 measurement within the fair value hierarchy. There were no transfers between Level 1 or Level 2 during the years ended December 31, 2020 and 2019.</w:t>
      </w:r>
    </w:p>
    <w:p>
      <w:pPr>
        <w:spacing w:after="0" w:line="18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December 31, 2020 and 2019 the Company held a restricted investment of $1,400, which represents a certificate of deposit that is classified as Level 2 in the fair value hierarchy.</w:t>
      </w:r>
    </w:p>
    <w:p>
      <w:pPr>
        <w:spacing w:after="0" w:line="274"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Investments by security type consisted of the following at December 31, 2020 and December 31, 2019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720" w:type="dxa"/>
            <w:vAlign w:val="bottom"/>
          </w:tcPr>
          <w:p>
            <w:pPr>
              <w:ind w:left="320"/>
              <w:spacing w:after="0" w:line="133" w:lineRule="exact"/>
              <w:rPr>
                <w:sz w:val="20"/>
                <w:szCs w:val="20"/>
                <w:color w:val="auto"/>
              </w:rPr>
            </w:pPr>
            <w:r>
              <w:rPr>
                <w:rFonts w:ascii="Arial" w:cs="Arial" w:eastAsia="Arial" w:hAnsi="Arial"/>
                <w:sz w:val="14"/>
                <w:szCs w:val="14"/>
                <w:b w:val="1"/>
                <w:bCs w:val="1"/>
                <w:color w:val="auto"/>
                <w:w w:val="93"/>
              </w:rPr>
              <w:t>Gross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Unrealized Gain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12,343</w:t>
            </w: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12,343</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104,488</w:t>
            </w:r>
          </w:p>
        </w:tc>
        <w:tc>
          <w:tcPr>
            <w:tcW w:w="100" w:type="dxa"/>
            <w:vAlign w:val="bottom"/>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187,439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187,392</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720" w:type="dxa"/>
            <w:vAlign w:val="bottom"/>
          </w:tcPr>
          <w:p>
            <w:pPr>
              <w:ind w:left="320"/>
              <w:spacing w:after="0" w:line="133" w:lineRule="exact"/>
              <w:rPr>
                <w:sz w:val="20"/>
                <w:szCs w:val="20"/>
                <w:color w:val="auto"/>
              </w:rPr>
            </w:pPr>
            <w:r>
              <w:rPr>
                <w:rFonts w:ascii="Arial" w:cs="Arial" w:eastAsia="Arial" w:hAnsi="Arial"/>
                <w:sz w:val="14"/>
                <w:szCs w:val="14"/>
                <w:b w:val="1"/>
                <w:bCs w:val="1"/>
                <w:color w:val="auto"/>
                <w:w w:val="93"/>
              </w:rPr>
              <w:t>Gross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Unrealized Gain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11,957</w:t>
            </w: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29,689</w:t>
            </w: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Investments with original maturities of less than 90 days are included in cash and cash equivalents on the consolidated balance sheets and are not included in the table above. Investments with maturities of less than twelve months are considered current assets and those investments with maturities greater than twelve months are considered non-current assets.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Excluded from the table above is a restricted investment of $1,400 as the cost approximates current fair value.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jc w:val="center"/>
        <w:ind w:right="-2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amortized cost and fair value of investments in commercial paper, corporate bonds, certificates of deposit and government securities by contractual maturity, as of December 31, 2020 were as follows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400"/>
              <w:spacing w:after="0"/>
              <w:rPr>
                <w:sz w:val="20"/>
                <w:szCs w:val="20"/>
                <w:color w:val="auto"/>
              </w:rPr>
            </w:pPr>
            <w:r>
              <w:rPr>
                <w:rFonts w:ascii="Arial" w:cs="Arial" w:eastAsia="Arial" w:hAnsi="Arial"/>
                <w:sz w:val="14"/>
                <w:szCs w:val="14"/>
                <w:b w:val="1"/>
                <w:bCs w:val="1"/>
                <w:color w:val="auto"/>
              </w:rPr>
              <w:t>Available-for-Sale</w:t>
            </w:r>
          </w:p>
        </w:tc>
      </w:tr>
      <w:tr>
        <w:trPr>
          <w:trHeight w:val="155"/>
        </w:trPr>
        <w:tc>
          <w:tcPr>
            <w:tcW w:w="38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FF0FC"/>
            </w:tcBorders>
          </w:tcPr>
          <w:p>
            <w:pPr>
              <w:spacing w:after="0"/>
              <w:rPr>
                <w:sz w:val="13"/>
                <w:szCs w:val="13"/>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Due in 1-year or less</w:t>
            </w: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137,588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137,567</w:t>
            </w:r>
          </w:p>
        </w:tc>
        <w:tc>
          <w:tcPr>
            <w:tcW w:w="80" w:type="dxa"/>
            <w:vAlign w:val="bottom"/>
            <w:shd w:val="clear" w:color="auto" w:fill="CFF0FC"/>
          </w:tcPr>
          <w:p>
            <w:pPr>
              <w:spacing w:after="0"/>
              <w:rPr>
                <w:sz w:val="19"/>
                <w:szCs w:val="19"/>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1-year through 5-years</w:t>
            </w:r>
          </w:p>
        </w:tc>
        <w:tc>
          <w:tcPr>
            <w:tcW w:w="15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49,825</w:t>
            </w:r>
          </w:p>
        </w:tc>
        <w:tc>
          <w:tcPr>
            <w:tcW w:w="8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187,439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we did not hold any investments with a contractual maturity over one year.</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67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20" w:type="dxa"/>
            <w:vAlign w:val="bottom"/>
          </w:tcPr>
          <w:p>
            <w:pPr>
              <w:spacing w:after="0"/>
              <w:rPr>
                <w:sz w:val="24"/>
                <w:szCs w:val="24"/>
                <w:color w:val="auto"/>
              </w:rPr>
            </w:pPr>
          </w:p>
        </w:tc>
        <w:tc>
          <w:tcPr>
            <w:tcW w:w="674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 consisted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15,140</w:t>
            </w:r>
          </w:p>
        </w:tc>
        <w:tc>
          <w:tcPr>
            <w:tcW w:w="80" w:type="dxa"/>
            <w:vAlign w:val="bottom"/>
            <w:shd w:val="clear" w:color="auto" w:fill="CFF0FC"/>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2,874</w:t>
            </w:r>
          </w:p>
        </w:tc>
        <w:tc>
          <w:tcPr>
            <w:tcW w:w="8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27,977</w:t>
            </w:r>
          </w:p>
        </w:tc>
        <w:tc>
          <w:tcPr>
            <w:tcW w:w="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47,237</w:t>
            </w:r>
          </w:p>
        </w:tc>
        <w:tc>
          <w:tcPr>
            <w:tcW w:w="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(34,320)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(27,742)</w:t>
            </w: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19,495</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was $6,578, $7,603 and $7,862 for the years ended December 31, 2020, 2019 and 2018, respectively.</w:t>
      </w:r>
    </w:p>
    <w:p>
      <w:pPr>
        <w:spacing w:after="0" w:line="200" w:lineRule="exact"/>
        <w:rPr>
          <w:sz w:val="20"/>
          <w:szCs w:val="20"/>
          <w:color w:val="auto"/>
        </w:rPr>
      </w:pPr>
    </w:p>
    <w:p>
      <w:pPr>
        <w:spacing w:after="0" w:line="233"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6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Development and clinical manufacturing costs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Payroll and payroll-related costs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Facility and other</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FF0FC"/>
          </w:tcPr>
          <w:p>
            <w:pPr>
              <w:spacing w:after="0"/>
              <w:rPr>
                <w:sz w:val="19"/>
                <w:szCs w:val="19"/>
                <w:color w:val="auto"/>
              </w:rPr>
            </w:pPr>
          </w:p>
        </w:tc>
      </w:tr>
      <w:tr>
        <w:trPr>
          <w:trHeight w:val="223"/>
        </w:trPr>
        <w:tc>
          <w:tcPr>
            <w:tcW w:w="4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adopted ASC 842 on January 1, 2019 using the modified retrospective approach with no restatement of prior periods or cumulative adjustment to accumulated deficit. The reported results for 2019 and 2020 reflect the application of ASC 842 while the reported results for 2018 were prepared under ASC 840.</w:t>
      </w:r>
    </w:p>
    <w:p>
      <w:pPr>
        <w:spacing w:after="0" w:line="1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Company leases real estate, primarily laboratory, office and manufacturing space. The Company’s leases have remaining terms ranging from less than 1 year to 3 years. Certain leases include one or more options to renew, exercised at the Company’s sole discretion, with renewal terms that can extend the lease from one year to five years. The Company evaluated the renewal options in its leases to determine if it was reasonably certain that the renewal option would be exercised, and therefore should be included in the calculation of the operating lease assets and operating lease liabilities.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8" w:name="page119"/>
    <w:bookmarkEnd w:id="118"/>
    <w:p>
      <w:pPr>
        <w:jc w:val="center"/>
        <w:ind w:right="-17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94"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In July 2019, the Company entered into a sublease agreement with a related party to sublease a portion of its office and laboratory space in Cambridge, Massachusetts. The term of the sublease agreement commenced in July 2019 and ends on the last day of the 24th calendar month following commencement, with no option to extend. The annual rent for the subleased premises will be approximately $1,200 in the first year and $1,300 in the second year, which is greater than the annual rent owed by the Company to the landlord for the leased premises. The sublessee is obligated to pay all real estate taxes and costs related to the subleased premises, including cost of operations, maintenance, repair, replacement and property management.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future undiscounted cash inflows under the sublease are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6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concluded that the sublease is an operating lease. Consistent with the Company’s policy election for lessor operating leases, each lease component and its associated non-lease components is accounted for as a single lease component.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presentation in the Company’s consolidated balance sheets of its operating leases: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526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Operating lease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9,041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11,356</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Operating lease liabilities, net of current portion</w:t>
            </w:r>
          </w:p>
        </w:tc>
        <w:tc>
          <w:tcPr>
            <w:tcW w:w="1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12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1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effect of lease costs in the Company’s consolidated statement of operations and comprehensive loss: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For the Year Ended</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For the Year Ended</w:t>
            </w:r>
          </w:p>
        </w:tc>
      </w:tr>
      <w:tr>
        <w:trPr>
          <w:trHeight w:val="228"/>
        </w:trPr>
        <w:tc>
          <w:tcPr>
            <w:tcW w:w="4260" w:type="dxa"/>
            <w:vAlign w:val="bottom"/>
            <w:tcBorders>
              <w:bottom w:val="single" w:sz="8" w:color="CFF0FC"/>
            </w:tcBorders>
          </w:tcPr>
          <w:p>
            <w:pPr>
              <w:spacing w:after="0"/>
              <w:rPr>
                <w:sz w:val="19"/>
                <w:szCs w:val="19"/>
                <w:color w:val="auto"/>
              </w:rPr>
            </w:pPr>
          </w:p>
        </w:tc>
        <w:tc>
          <w:tcPr>
            <w:tcW w:w="2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CFF0FC"/>
            </w:tcBorders>
          </w:tcPr>
          <w:p>
            <w:pPr>
              <w:spacing w:after="0"/>
              <w:rPr>
                <w:sz w:val="19"/>
                <w:szCs w:val="19"/>
                <w:color w:val="auto"/>
              </w:rPr>
            </w:pPr>
          </w:p>
        </w:tc>
      </w:tr>
      <w:tr>
        <w:trPr>
          <w:trHeight w:val="23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Short-term lease costs</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costs</w:t>
            </w:r>
          </w:p>
        </w:tc>
        <w:tc>
          <w:tcPr>
            <w:tcW w:w="2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Sublease income</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r>
      <w:tr>
        <w:trPr>
          <w:trHeight w:val="236"/>
        </w:trPr>
        <w:tc>
          <w:tcPr>
            <w:tcW w:w="42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lease costs</w:t>
            </w:r>
          </w:p>
        </w:tc>
        <w:tc>
          <w:tcPr>
            <w:tcW w:w="26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the year ended December 31, 2018, the Company recognized $4,377 of rental expense related to office, laboratory, and manufacturing space. During the years ended December 31, 2020 and December 31, 2019, the Company made cash payments of $6,302 and $6,514 for operating leases, respectively.</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19" w:name="page120"/>
    <w:bookmarkEnd w:id="119"/>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30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SERES THERAPEUTICS, INC.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300" w:type="dxa"/>
            <w:vAlign w:val="bottom"/>
          </w:tcPr>
          <w:p>
            <w:pPr>
              <w:jc w:val="center"/>
              <w:ind w:left="169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8300" w:type="dxa"/>
            <w:vAlign w:val="bottom"/>
          </w:tcPr>
          <w:p>
            <w:pPr>
              <w:jc w:val="center"/>
              <w:ind w:left="1690"/>
              <w:spacing w:after="0"/>
              <w:rPr>
                <w:sz w:val="20"/>
                <w:szCs w:val="20"/>
                <w:color w:val="auto"/>
              </w:rPr>
            </w:pPr>
            <w:r>
              <w:rPr>
                <w:rFonts w:ascii="Arial" w:cs="Arial" w:eastAsia="Arial" w:hAnsi="Arial"/>
                <w:sz w:val="18"/>
                <w:szCs w:val="18"/>
                <w:b w:val="1"/>
                <w:bCs w:val="1"/>
                <w:color w:val="auto"/>
                <w:w w:val="88"/>
              </w:rPr>
              <w:t>(amounts in thousands, except share and per share data)</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360" w:type="dxa"/>
            <w:vAlign w:val="bottom"/>
            <w:gridSpan w:val="2"/>
          </w:tcPr>
          <w:p>
            <w:pPr>
              <w:spacing w:after="0"/>
              <w:rPr>
                <w:sz w:val="20"/>
                <w:szCs w:val="20"/>
                <w:color w:val="auto"/>
              </w:rPr>
            </w:pPr>
            <w:r>
              <w:rPr>
                <w:rFonts w:ascii="Arial" w:cs="Arial" w:eastAsia="Arial" w:hAnsi="Arial"/>
                <w:sz w:val="18"/>
                <w:szCs w:val="18"/>
                <w:color w:val="auto"/>
              </w:rPr>
              <w:t>As of December 31, 2020, future payments of operating lease liabilities are as follows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As of December 31, 2020</w:t>
            </w:r>
          </w:p>
        </w:tc>
      </w:tr>
      <w:tr>
        <w:trPr>
          <w:trHeight w:val="223"/>
        </w:trPr>
        <w:tc>
          <w:tcPr>
            <w:tcW w:w="60" w:type="dxa"/>
            <w:vAlign w:val="bottom"/>
          </w:tcPr>
          <w:p>
            <w:pPr>
              <w:spacing w:after="0"/>
              <w:rPr>
                <w:sz w:val="19"/>
                <w:szCs w:val="19"/>
                <w:color w:val="auto"/>
              </w:rPr>
            </w:pPr>
          </w:p>
        </w:tc>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Pr>
          <w:p>
            <w:pPr>
              <w:spacing w:after="0"/>
              <w:rPr>
                <w:sz w:val="19"/>
                <w:szCs w:val="19"/>
                <w:color w:val="auto"/>
              </w:rPr>
            </w:pPr>
          </w:p>
        </w:tc>
        <w:tc>
          <w:tcPr>
            <w:tcW w:w="8300" w:type="dxa"/>
            <w:vAlign w:val="bottom"/>
          </w:tcPr>
          <w:p>
            <w:pPr>
              <w:ind w:left="120"/>
              <w:spacing w:after="0"/>
              <w:rPr>
                <w:sz w:val="20"/>
                <w:szCs w:val="20"/>
                <w:color w:val="auto"/>
              </w:rPr>
            </w:pPr>
            <w:r>
              <w:rPr>
                <w:rFonts w:ascii="Arial" w:cs="Arial" w:eastAsia="Arial" w:hAnsi="Arial"/>
                <w:sz w:val="18"/>
                <w:szCs w:val="18"/>
                <w:color w:val="auto"/>
              </w:rPr>
              <w:t>Total future payments of operating lease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18,009</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(2,333)</w:t>
            </w:r>
          </w:p>
        </w:tc>
      </w:tr>
      <w:tr>
        <w:trPr>
          <w:trHeight w:val="223"/>
        </w:trPr>
        <w:tc>
          <w:tcPr>
            <w:tcW w:w="60" w:type="dxa"/>
            <w:vAlign w:val="bottom"/>
          </w:tcPr>
          <w:p>
            <w:pPr>
              <w:spacing w:after="0"/>
              <w:rPr>
                <w:sz w:val="19"/>
                <w:szCs w:val="19"/>
                <w:color w:val="auto"/>
              </w:rPr>
            </w:pPr>
          </w:p>
        </w:tc>
        <w:tc>
          <w:tcPr>
            <w:tcW w:w="8300" w:type="dxa"/>
            <w:vAlign w:val="bottom"/>
          </w:tcPr>
          <w:p>
            <w:pPr>
              <w:ind w:left="120"/>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of December 31, 2020, the weighted average remaining lease term was 2.89 years and the weighted average incremental borrowing rate used to determine the operating lease liability was 11%. As of December 31, 2019, the weighted average remaining lease term was 3.88 years and the weighted average incremental borrowing rate used to determine the operating lease liability was 11%.</w:t>
      </w:r>
    </w:p>
    <w:p>
      <w:pPr>
        <w:spacing w:after="0" w:line="200" w:lineRule="exact"/>
        <w:rPr>
          <w:sz w:val="20"/>
          <w:szCs w:val="20"/>
          <w:color w:val="auto"/>
        </w:rPr>
      </w:pPr>
    </w:p>
    <w:p>
      <w:pPr>
        <w:spacing w:after="0" w:line="236"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February 2019, the Company implemented corporate changes to focus its resources on advancing its clinical-stage therapeutic candidates. As a result, the Company is concentrating on completing the SER-287 Phase 2b study in mild-to-moderate UC, expanding the SER-109 safety database to meet the FDA threshold of at least 300 patients, advancing the SER-401 Phase 1b study, to evaluate augmenting checkpoint inhibitor response in patients with metastatic melanoma and advancing SER-301 into clinical development. In connection with the prioritization of these therapeutic candidates, the Company made changes to its management team and reduced headcount by approximately 30 percent.</w:t>
      </w:r>
    </w:p>
    <w:p>
      <w:pPr>
        <w:spacing w:after="0" w:line="17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During the year ended December 31, 2019 the Company recorded charges of $1,492, related to severance and other termination benefits. No restructuring charges were recorded during the years ended December 31, 2020 and 2018. During the year ended December 31, 2019 the Company paid $1,299 related to the restructuring and paid out the remaining $193 in 2020.</w:t>
      </w:r>
    </w:p>
    <w:p>
      <w:pPr>
        <w:spacing w:after="0" w:line="184" w:lineRule="exact"/>
        <w:rPr>
          <w:sz w:val="20"/>
          <w:szCs w:val="20"/>
          <w:color w:val="auto"/>
        </w:rPr>
      </w:pPr>
    </w:p>
    <w:p>
      <w:pPr>
        <w:jc w:val="both"/>
        <w:ind w:right="480" w:firstLine="510"/>
        <w:spacing w:after="0" w:line="311" w:lineRule="auto"/>
        <w:rPr>
          <w:sz w:val="20"/>
          <w:szCs w:val="20"/>
          <w:color w:val="auto"/>
        </w:rPr>
      </w:pPr>
      <w:r>
        <w:rPr>
          <w:rFonts w:ascii="Arial" w:cs="Arial" w:eastAsia="Arial" w:hAnsi="Arial"/>
          <w:sz w:val="16"/>
          <w:szCs w:val="16"/>
          <w:color w:val="auto"/>
        </w:rPr>
        <w:t>During the year ended December 31, 2019, the Company paid $1,299 related to the restructuring. The outstanding restructuring liabilities are included in accrued expenses and other current liabilities on the consolidated balance sheets as of December 31, 2019. As of December 31, 2019, the components of the outstanding restructuring liabilities included in accrued expenses and other current liabilities were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Employee</w:t>
            </w:r>
          </w:p>
        </w:tc>
      </w:tr>
      <w:tr>
        <w:trPr>
          <w:trHeight w:val="149"/>
        </w:trPr>
        <w:tc>
          <w:tcPr>
            <w:tcW w:w="7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Severance and</w:t>
            </w:r>
          </w:p>
        </w:tc>
      </w:tr>
      <w:tr>
        <w:trPr>
          <w:trHeight w:val="171"/>
        </w:trPr>
        <w:tc>
          <w:tcPr>
            <w:tcW w:w="7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 Benefits</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Cash payments</w:t>
            </w:r>
          </w:p>
        </w:tc>
        <w:tc>
          <w:tcPr>
            <w:tcW w:w="11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r>
      <w:tr>
        <w:trPr>
          <w:trHeight w:val="223"/>
        </w:trPr>
        <w:tc>
          <w:tcPr>
            <w:tcW w:w="74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Liability included in accrued expenses and other current liabilities at December 31, 2019</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During the year ended December 31, 2020, the Company made the remaining cash payments of $193. There were no outstanding restructuring liabilities included in accrued expenses and other current liabilities as of December 31, 2020.</w:t>
      </w:r>
    </w:p>
    <w:p>
      <w:pPr>
        <w:spacing w:after="0" w:line="99"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On October 29, 2019 (the “Closing Date”), the Company entered into a Loan and Security Agreement (the “Loan Agreement”) with Hercules Capital, Inc. (“Hercules”) pursuant to which a term loan in an aggregate principal amount of up to $50,000 (the “Term Loan Facility”) is available to the Company in three tranches, subject to certain terms and conditions. The first tranche of $25,000 was advanced to the Company on the Closing Date. The Company did not meet the milestone requirements for the second tranche under the Term Loan Facility, and as such, the additional amount up to $12,500 is not available for the Company to borrow. The third tranche, which allows the Company to borrow an additional $12,500, will be available upon Hercules’ approval on or prior to June 30, 2021.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Advances under the Term Loan Facility will bear interest at a rate equal to the greater of either (i) the Prime Rate (as reported in The Wall Street Journal) plus 4.40%, and (ii) 9.65%. The Company will make interest only payments through December 1, 2021. The interest only period may be extended to June 1, 2022 upon satisfaction of certain milestones. Following the interest only period, the Company will repay the principal balance and interest of the advances in equal monthly installments through November 1, 2023.</w:t>
      </w:r>
    </w:p>
    <w:p>
      <w:pPr>
        <w:spacing w:after="0" w:line="18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may prepay advances under the Loan Agreement, in whole or in part, at any time subject to a prepayment charge (the “Prepayment Premium”) equal to: (a) 3.0 % of amounts so prepaid, if such prepayment occurs during the first year following the Closing Date; (b) 2.0% of the amount so prepaid, if such prepayment occurs during the second year following the Closing Date, and (c) 1.0% of the amount so prepaid, if such prepayment occurs after the second year following the Closing Date.</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Upon prepayment or repayment of all or any of the term loans under the Term Loan Facility, the Company will pay (in addition to any Prepayment Premium) an end of term charge of 4.85% of the aggregate funded amount under the Term Loan Facility. With respect to the first tranche, an end of term charge of $1,213 will be payable upon any prepayment or repayment. To the extent that the Company is provided additional advances under the Term Loan Facility, the 4.85% end of term charge will be applied to any such additional amounts.</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Term Loan Facility is secured by substantially all of the Company’s assets, other than the Company’s intellectual property. The Company has agreed to not pledge or secure its intellectual property to others.</w:t>
      </w:r>
    </w:p>
    <w:p>
      <w:pPr>
        <w:spacing w:after="0" w:line="170"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Upon issuance, the first tranche was recorded as a liability with an initial carrying value of $24,575, net of debt issuance costs. The initial carrying value will be accreted to the repayment amount, which includes the outstanding principal plus the end of term charge, through interest expense using the effective interest rate method over the term of the debt. The effective interest rate is 11.47%. As of December 31, 2020, the carrying value of the debt is $25,093, of which $454 is classified as a current liability and $24,639 is classified as a non-current liability on the Company’s consolidated balance sheet.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2020, the future principal payments due under the arrangement, excluding interest and the end of term charge, are as follows: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tcPr>
          <w:p>
            <w:pPr>
              <w:spacing w:after="0"/>
              <w:rPr>
                <w:sz w:val="19"/>
                <w:szCs w:val="19"/>
                <w:color w:val="auto"/>
              </w:rPr>
            </w:pP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12,081</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During the years ended December 31, 2020 and December 31, 2019, the Company recognized $2,899 and $502 of interest expense related to the Loan Agreement, respectively, which is reflected in other income (expense), net on the consolidated statements of operations and comprehensive loss.</w:t>
      </w:r>
    </w:p>
    <w:p>
      <w:pPr>
        <w:spacing w:after="0" w:line="309"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268"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On July 1, 2015, in connection with the closing of the IPO, the Company effected its Restated Certificate of Incorporation, which authorizes the Company to issue 200,000,000 shares of common stock, $0.001 par value per share.</w:t>
      </w:r>
    </w:p>
    <w:p>
      <w:pPr>
        <w:spacing w:after="0" w:line="17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On June 18, 2019, the Company completed an underwritten public offering, in which the Company sold 26,666,667 shares of its common stock at a price to the public of $2.25 per share. The aggregate net proceeds received by the Company from the offering were approximately $55,976, after deducting underwriting discounts and commissions and offering expenses payable by the Company. In addition, the Company granted the underwriters a 30-day option to purchase up to an additional 2,666,666 shares of common stock at the public offering price, less underwriting discounts and commissions.</w:t>
      </w:r>
    </w:p>
    <w:p>
      <w:pPr>
        <w:spacing w:after="0" w:line="15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June 21, 2019, the Company sold an additional 2,151,911 shares of its common stock at a price to the public of $2.25 per share. The aggregate net proceeds received by the Company were approximately $4,551, after deducting underwriting discounts and commissions and offering expenses payable by the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November 27, 2019, the Company entered into a Sales Agreement (the “2019 Sales Agreement”) with Cowen and Company, LLC (“Cowen”) to sell shares of the Company’s common stock, par value $0.001 per share (the “Common Stock”), with aggregate gross sales proceeds of up to $25,000, from time to time, through an “at the market” equity offering program under which Cowen will act as sales agent. On March 18, 2020, in connection with filing an updated registration statement on Form S-3 (File No. 333-237033), the Company entered into a Sales Agreement (the “2020 Sales Agreement”), with Cowen on substantially the same terms as the 2019 Sales Agreement and terminated the 2019 Sales Agreement. From January 1, 2020 to December 31, 2020 the Company sold 5,787,681 shares of common stock under the 2019 Sales Agreement and the 2020 Sales Agreement, as applicable, at an average price of approximately $4.40 per share, raising aggregate net proceeds of approximately $24,773 after deducting an aggregate commission of approximately 3%.</w:t>
      </w:r>
    </w:p>
    <w:p>
      <w:pPr>
        <w:spacing w:after="0" w:line="19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On August 12, 2020, the Company entered into an underwriting agreement (the “Underwriting Agreement”) with Cowen and Company, LLC and Piper Sandler &amp; Co., as representatives of the several underwriters named therein (collectively, the “Underwriters”), in connection with the issuance and sale by the Company in a public offering of 10,500,000 shares of the Company’s common stock at a public offering price of $21.50 per share, less underwriting discounts and commissions, pursuant to an effective shelf registration statement on Form S-3 (Registration No. 333-244401) and a related prospectus supplement filed with the Securities and Exchange Commission (the “SEC” and such public offering, the “offering”). Under the terms of the Underwriting Agreement, the Company granted the Underwriters an option exercisable for 30 days to purchase up to an additional 1,575,000 shares of its common stock at the public offering price, less underwriting discounts and commissions, which the underwriters exercised in full. The Company received aggregate net proceeds from the offering of approximately $243,748 after deducting underwriting discounts and commissions and offering expenses payable by the Company.</w:t>
      </w:r>
    </w:p>
    <w:p>
      <w:pPr>
        <w:spacing w:after="0" w:line="18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Additionally on August 12, 2020, the Company entered into the Securities Purchase Agreement with Nestlé for the sale by the Company of 959,002 shares of the Company’s common stock at a purchase price of $20.855 per share (the “concurrent placement”). The Company received aggregate net proceeds from the concurrent placement of approximately $19,900 after deducting offering expenses payable by the Company. The consummation of the concurrent placement was contingent upon the closing of the offering and the satisfaction of certain other customary conditions. The shares were offered and sold to Nestlé pursuant to an effective registration statement on Form S-3 (File No. 333-237033) and a related prospectus supplement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Stock Incentive Plan</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7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Stock options granted under the 2012 Plan generally vest over four years and expire after ten years, although options have been granted with vesting terms less than four years. As of December 31, 2020, there were no shares available for future grant under the 2012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Incentive Award Plan</w:t>
      </w:r>
    </w:p>
    <w:p>
      <w:pPr>
        <w:spacing w:after="0" w:line="12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78"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Stock options granted under the 2015 Plan generally vest over four years and expire after ten years, although options have been granted with vesting terms less than four years. As of December 31, 2020, there were 1,018,232 shares available for future grant under the 2015 Plan.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Employee Stock Purchase Plan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June 16, 2015, the Company’s stockholders approved the 2015 Employee Stock Purchase Plan (the “ESPP”), which became effective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25, 2015. A total of 365,000 shares of common stock were reserved for issuance under the ESPP. In addition, the number of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be issued under the ESPP automatically increase on the first day of each calendar year, beginning in 2016 and ending in 2025, by an amount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lesser of (i) 400,000 shares, (ii) 1% of the number of shares of the Company’s common stock outstanding on the last day of the applicable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calendar year and (iii) an amount determined by the Company’s board of directors. Offering periods under the ESPP will commence when determined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plan administrator. As of December 31, 2020, there were 155,293 shares issued under the ESPP and 2,092,181 shares were reserved and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under the ESPP.</w:t>
      </w:r>
    </w:p>
    <w:p>
      <w:pPr>
        <w:spacing w:after="0" w:line="21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ESPP provides that eligible employees may contribute up to 15% of their eligible earnings toward the semi-annual purchase of the Company's common stock. The ESPP is qualified under Section 423 of the Internal Revenue Code.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 The Company estimates the fair value of common stock under the ESPP using a Black-Scholes valuation model. The fair value was estimated on the date of grant using the Black-Scholes option valuation model and the straight-line attribution approach with the following weighted-average assumptions: risk-free interest rate (1.2%); expected term (0.5 years); expected volatility (74.9%); and an expected dividend yield (0%). The Company recorded $200, $109 and $145 of stock-based compensation expense under the ESPP for the twelve months ended December 31, 2020, 2019 and 2018,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43"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1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1.26%</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29"/>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73.3%</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88.4%</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twelve months ended December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8,310,683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5,095,365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(2,214,011)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(1,154,907)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10,037,130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156,627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Options exercisable as of December 31, 2020</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5.75</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34,652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3,164,129</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2020, 2019 and 2018 was $5.08, $4.13, and $6.53 per share, respectively. The total intrinsic value of stock options exercised during the years ended December 31, 2020, 2019, and 2018 was $37,255, $244, and $1,801,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During the year ended December 31, 2019, the Company granted performance-based stock options to employees for the purchase of an aggregate of 1.1 million shares of common stock with a grant date fair value of $4.58 per share. These stock options are exercisable only upon achievement of specified performance targets. As of December 31, 2020, none of these options were exercisable because none of the specified performance targets had been achieved. Because achievement of the specified performance targets was not deemed probable as of December 31, 2020, the Company did not record any expense for these stock options from the dates of issuance through December 31, 2020.</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 has granted restricted stock units with time-based vesting conditions. The table below summarizes the Company’s restricted stock activity for the twelve months ended December 31, 2020:</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2019</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6,500</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(125,000)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2020</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aggregate intrinsic value of restricted stock units that vested during the years ended December 31, 2020, 2019 and 2018 was $532, $517, and $1,206,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96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80" w:type="dxa"/>
            <w:vAlign w:val="bottom"/>
            <w:tcBorders>
              <w:bottom w:val="single" w:sz="8" w:color="CFF0FC"/>
            </w:tcBorders>
          </w:tcPr>
          <w:p>
            <w:pPr>
              <w:spacing w:after="0"/>
              <w:rPr>
                <w:sz w:val="19"/>
                <w:szCs w:val="19"/>
                <w:color w:val="auto"/>
              </w:rPr>
            </w:pPr>
          </w:p>
        </w:tc>
      </w:tr>
      <w:tr>
        <w:trPr>
          <w:trHeight w:val="223"/>
        </w:trPr>
        <w:tc>
          <w:tcPr>
            <w:tcW w:w="39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As of December 31, 2020, the Company had an aggregate of $26,221 of unrecognized stock-based compensation cost, which is expected to be recognized over a weighted average period of 3.49 years.</w:t>
      </w:r>
    </w:p>
    <w:p>
      <w:pPr>
        <w:spacing w:after="0" w:line="315"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Revenue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Collaboration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January 2016, the Company entered into the License Agreement for the development and commercialization of certain product candidates in development for the treatment and management of CDI and IBD, including UC and Crohn’s disease. The License Agreement supports the development of the Company’s portfolio of products for CDI and IBD in markets outside of the United States and Canada (the “Licensed Territory”). The Company has retained full commercial rights to its entire portfolio of product candidates with respect to the United States and Canada.</w:t>
      </w:r>
    </w:p>
    <w:p>
      <w:pPr>
        <w:spacing w:after="0" w:line="17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Under the License Agreement, the Company granted to Nestlé an exclusive, royalty-bearing license to develop and commercialize, in the Licensed Territory, certain products based on its microbiome technology that are being developed for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treatment of CDI and IBD, including SER-109, SER-262, SER-287 and SER-301 (collectively, the “Nestlé Collaboration Products”). The License Agreement sets forth the Company’s and Nestlé’s respective obligations for development, commercialization, regulatory and manufacturing and supply activities for the Nestlé Collaboration Products with respect to the licensed fields and the Licensed Territory.</w:t>
      </w:r>
    </w:p>
    <w:p>
      <w:pPr>
        <w:spacing w:after="0" w:line="18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Under the License Agreement, Nestlé agreed to pay the Company an upfront cash payment of $120,000, which the Company received in February 2016. The Company is eligible to receive up to $285,000 in development milestone payments, $375,000 in regulatory payments and up to an aggregate of $1,125,000 for the achievement of certain commercial milestones related to the sales of Nestlé Collaboration Products. Nestlé also agreed to pay the Company tiered royalties, at percentages ranging from the high single digits to high teens, of net sales of Nestlé Collaboration Products in the Licensed Territory.</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Under the License Agreement, the Company was entitled to receive a $20,000 milestone payment from Nestlé following initiation of a SER-287 Phase 2 study and a $20,000 milestone payment from Nestlé following the initiation of a SER-287 Phase 3 study. In November 2018, the Company entered into a letter agreement with Nestlé which modified the License Agreement to address the current clinical plans for SER-287. Through the letter agreement, the Company and Nestlé agreed that following initiation of the SER-287 Phase 2b study, the Company will receive $40,000 in milestone payments from Nestlé which represents the milestone due to the Company for the initiation of the SER-287 Phase 2 and Phase 3 studies. The SER-287 Phase 2b study was initiated and the $40,000 of milestone payments were received in December 2018. The letter agreement also provides scenarios under which Nestlé’s reimbursement to the Company for certain Phase 3 development costs would be reduced or delayed depending on the outcomes of the SER-287 Phase 2b study.</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3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Company assessed the License Agreement in accordance with ASC 606 and concluded that Nestlé is a customer. The Company identified the following promises under the contract: (i) a license to develop and commercialize the Nestlé Collaboration Products in the Licensed Territory, (ii) obligation to perform research and development services, (iii) participation on a joint steering committee, and (iv) manufacturing services to provide clinical supply to complete future clinical trials. In addition, the Company identified a contingent obligation to perform manufacturing services to provide commercial supply if commercialization occurs, which is contingent upon regulatory approval. This contingent obligation is not a performance obligation at inception and has been excluded from the initial allocation as it represents a separate buying decision at market rates, rather than a material right in the contract. The Company assessed the promised goods and services to determine if they are distinct. Based on this assessment, the Company determined that Nestlé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18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At contract inception, the Company determined that the $120,000 non-refundable upfront amount constituted the entirety of the consideration to be included in the transaction price as the development, regulatory, and commercial milestones were fully constrained. During the year ended December 31, 2016, the Company received $10,000 from Nestlé in connection with the initiation of the Phase 1b study for SER-262 in CDI. During the year ended December 31, 2017, the Company received $20,000 from Nestlé in connection with the initiation of the Phase 3 study for SER-109. During the year ended December 31, 2018, the Company received $40,000 from Nestlé in connection with the initiation of the Phase 2b study for SER-287. During the year ended December 31, 2020, the Company received $10,000 from Nestlé in connection with the initiation of the Phase 1b SER-301 study.</w:t>
      </w:r>
    </w:p>
    <w:p>
      <w:pPr>
        <w:spacing w:after="0" w:line="16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Therefore, as of December 31, 2020, the aggregate amount of the transaction price allocated to the remaining performance obligation of the License Agreement was approximately $200,000.</w:t>
      </w:r>
    </w:p>
    <w:p>
      <w:pPr>
        <w:spacing w:after="0" w:line="170"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During the year ended December 31, 2018, the Company received $40,000 from Nestlé in connection with the initiation of the Phase 2b study for SER-287. In the third quarter of 2018, the Company increased the transaction price by $20,000 associated with the Phase 2 milestone for SER-287. The Company estimated the $20,000 of variable consideration by using the most likely amount method which best predicts the amount of consideration to which the Company will be entitled. The Company included the $20,000 in the transaction price because it is probable that a significant reversal in the amount of cumulative revenue recognized would not occur when the uncertainty associated with the variable consideration was subsequently resolved.</w:t>
      </w:r>
    </w:p>
    <w:p>
      <w:pPr>
        <w:spacing w:after="0" w:line="16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In the fourth quarter of 2018, the Company entered into a letter agreement with Nestlé which modified the License Agreement to address the current clinical plans for SER-287. As a result of this modification, the Company and Nestlé agreed that the $20,000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milestone payment due to the Company from Nestlé following the initiation of a Phase 3 study for SER-287 would now be due to the Company upon initiation of the SER-287 Phase 2b study. The Letter Agreement constituted a contract modification under ASC 606. The Company accounted for the contract modification through a cumulative catch-up adjustment of approximately $5,517 because the contract modification did not add any additional goods or services and the remaining goods and services are not distinct. The SER-287 Phase 2b study was initiated in December 2018 and the Company included the $20,000 in the transaction price as of December 31, 2018. The transaction price as of December 31, 2018 was approximately $190,000.</w:t>
      </w:r>
    </w:p>
    <w:p>
      <w:pPr>
        <w:spacing w:after="0" w:line="16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April 2019, the Company, with the approval of the Seres/ Nestlé Joint Steering Committee, as provided for in the License Agreement, modified the SER-109 clinical trial. As a result of this modification, the Company and Nestlé agreed, and informed the FDA, that the target study enrollment would be reduced from 320 subjects to 188 subjects. This modification to the SER-109 clinical trial constituted a contract modification under ASC 606. The Company accounted for the contract modification through a cumulative catch-up adjustment because the contract modification did not add any additional goods or services and the remaining goods and services are not distinct. The modification reduced the total estimated costs in the Company’s cost-to-cost model for the License Agreement and resulted in the Company recognizing $6,830 of collaboration revenue – related party in the twelve months ended December 31, 2019.</w:t>
      </w:r>
    </w:p>
    <w:p>
      <w:pPr>
        <w:spacing w:after="0" w:line="195"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During the year ended December 31, 2020, the Company received $10,000 from Nestlé in connection with the initiation of the Phase 1b study for SER-301. In the third quarter of 2020, the Company increased the transaction price by $10,000 associated with the Phase 1b milestone for SER-301. The Company estimated the $10,000 of variable consideration by using the most likely amount method which best predicts the amount of consideration to which the Company will be entitled. The Company included the $10,000 in the transaction price because it is probable that a significant reversal in the amount of cumulative revenue recognized would not occur when the uncertainty associated with the variable consideration was subsequently</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resolved. This resulted in $4,565 of cumulative catch-up revenue during the twelve months ended December 31, 2020, which was primarily off-set by the Company’s updated estimate of future costs that would be incurred from on-going research and development services to complete its performance obligation under the License Agreement that is recognized over time using the input method.</w:t>
      </w:r>
    </w:p>
    <w:p>
      <w:pPr>
        <w:spacing w:after="0" w:line="19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During the twelve months ended December 31, 2020, 2019, and 2018 using the cost-to-cost method, which best depicts the transfer of control to the customer, the Company recognized $11,897, $27,188, and $26,917 of Collaboration revenue – related party, respectively.</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As of December 31, 2020 and December 31, 2019, there was $108,174, and $110,071 of deferred revenue related to the unsatisfied portion of the performance obligation under the License Agreement. As of December 31, 2020, deferred revenue is classified as current or non-current in the consolidated balance sheets based on the Company’s estimate of revenue that will be recognized within the next twelve months which is determined by the cost-to-cost method which measures the extent of progress towards completion based on the ratio of actual costs incurred to the total estimated costs expected upon satisfying the performance obligation. Due to the nature of the work required to be performed to satisfy the performance obligation, the Company’s estimation of costs expected is complex and requires significant judgment. All costs associated with the License Agreement are recorded in research and development expense in the consolidated statements of operations and comprehensive loss.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Research Collaboration and Option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Agreement</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March 2019, the Company entered into a Research Collaboration and Option Agreement (the “Research Agreement”) with MedImmune, LLC, a wholly owned subsidiary of AstraZeneca Inc. (“AstraZeneca”), to advance the mechanistic understanding of the microbiome in augmenting the efficacy of cancer immunotherapy. Under the Research Agreement, the Company and AstraZeneca will conduct certain research and development activities as set forth on a research plan focused on the role of the microbiome in certain cancers and cancer immunotherapies, including furthering the research program for SER-401, in combination with AstraZeneca compounds targeting various cancers.</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Pursuant to the Research Agreement, the Company agreed not to conduct research or development on any microbiome products specifically designed by the Company during the term of the Research Agreement for the treatment of cancer (“Microbiome Oncology Products”), with or on behalf of any third-party without the prior approval of the joint steering committee for the Research Agreement for at least three years after the effective date (the “Exclusivity Period”). Additionally, AstraZeneca will pay to the Company a total of $20,000 in three equal installments, the first of which the Company received in April 2019, the second of which the Company received in December 2019, and the third of which the Company received in January 2021. Such payments are payable even if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Research Agreement is terminated in accordance with its terms, unless the Research Agreement is terminated by AstraZeneca for the Company’s uncured material breach. Additionally, AstraZeneca will bear its costs of conducting activities under the research plan and will reimburse the Company for all activities performed under the research plan based on actual full-time employee (“FTE”) time and certain third-party costs incurred by the Company in connection therewith.</w:t>
      </w:r>
    </w:p>
    <w:p>
      <w:pPr>
        <w:spacing w:after="0" w:line="18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Under the Research Agreement, the Company granted to AstraZeneca an exclusive option to negotiate a worldwide, sublicensable exclusive license under relevant intellectual property rights controlled by the Company to exploit Microbiome Oncology Products for the treatment of cancer. Additionally, the Company granted to AstraZeneca an additional exclusive option to obtain a worldwide, sublicensable, license under certain intellectual property rights arising out of the Agreement or coming into the control of the Company during the term of the Agreement, to exploit AstraZeneca’s oncology and other assets which are the subject of the research plan. AstraZeneca may exercise each option at any point prior to 90 days after the end of the Exclusivity Period (the “Option Exercise Period”) by delivering an option exercise notice to the Company. If AstraZeneca exercises an option during the Option Exercise Period, the parties will enter into exclusive, good faith negotiations for a period of six months (the “Negotiation Period”) regarding the terms of the definitive license agreement contemplated by such option. If no definitive agreement is reached during the Negotiation Period, subject to certain other terms and conditions applicable for a one (1) year period, the Company is free to license, further develop or otherwise exploit its assets that were the subject of the option without further obligation to AstraZeneca.</w:t>
      </w:r>
    </w:p>
    <w:p>
      <w:pPr>
        <w:spacing w:after="0" w:line="185"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The term of the Research Agreement continues in effect until the Research Agreement is terminated by the parties in accordance with its terms by mutual written agreement. Either party may terminate the Research Agreement for the other party’s uncured material breach or bankruptcy or insolvency-related events. AstraZeneca may terminate the Research Agreement for convenience. In December 2020, the Company received written notice from AstraZeneca that AstraZeneca elected to terminate the Research Agreement by and in accordance with its terms. The termination of the Research Agreement will be effective on April 2, 2021 (the “Termination Date”), which is 120 days from the date of the termination notice.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Company assessed the Research Agreement in accordance with ASC 606 and concluded that AstraZeneca is a customer. The Company identified the following promises under the contract: (i) a research license, (ii) an obligation to perform research and development services, and (iii) participation on a joint steering committee. The Company assessed the promised goods and services to determine if they are distinct. Based on this assessment, the Company determined that AstraZeneca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218" w:lineRule="exact"/>
        <w:rPr>
          <w:sz w:val="20"/>
          <w:szCs w:val="20"/>
          <w:color w:val="auto"/>
        </w:rPr>
      </w:pPr>
    </w:p>
    <w:p>
      <w:pPr>
        <w:jc w:val="both"/>
        <w:ind w:right="540" w:firstLine="510"/>
        <w:spacing w:after="0" w:line="286" w:lineRule="auto"/>
        <w:rPr>
          <w:sz w:val="20"/>
          <w:szCs w:val="20"/>
          <w:color w:val="auto"/>
        </w:rPr>
      </w:pPr>
      <w:r>
        <w:rPr>
          <w:rFonts w:ascii="Arial" w:cs="Arial" w:eastAsia="Arial" w:hAnsi="Arial"/>
          <w:sz w:val="17"/>
          <w:szCs w:val="17"/>
          <w:color w:val="auto"/>
        </w:rPr>
        <w:t>Each exclusive option granted to AstraZeneca provides AstraZeneca with the right to negotiate a license agreement in the future at fair value. Therefore, the Company concluded that each option does not constitute a performance obligation at inception and has been excluded from the initial allocation since each option represents a separate buying decision at market rates, rather than a material right in the contract.</w:t>
      </w:r>
    </w:p>
    <w:p>
      <w:pPr>
        <w:spacing w:after="0" w:line="165" w:lineRule="exact"/>
        <w:rPr>
          <w:sz w:val="20"/>
          <w:szCs w:val="20"/>
          <w:color w:val="auto"/>
        </w:rPr>
      </w:pPr>
    </w:p>
    <w:p>
      <w:pPr>
        <w:ind w:firstLine="510"/>
        <w:spacing w:after="0" w:line="300" w:lineRule="auto"/>
        <w:rPr>
          <w:sz w:val="20"/>
          <w:szCs w:val="20"/>
          <w:color w:val="auto"/>
        </w:rPr>
      </w:pPr>
      <w:r>
        <w:rPr>
          <w:rFonts w:ascii="Arial" w:cs="Arial" w:eastAsia="Arial" w:hAnsi="Arial"/>
          <w:sz w:val="16"/>
          <w:szCs w:val="16"/>
          <w:color w:val="auto"/>
        </w:rPr>
        <w:t>At contract inception, the Company determined that the transaction price is comprised of: (i) the $20,000 fee, which represents fixed consideration, and (ii) the estimated reimbursement of research and development costs incurred, which represents variable consideration. The Company included the estimated reimbursement of research and development costs, approximately $13,900, in the transaction price at the inception of the arrangement because the Company is required to perform research and development services and the contract requires AstraZeneca to reimburse the Company for costs incurred. Also, since the related revenue would be recognized only as the costs are incurred, and the contract precludes the joint steering committee from changing the research plan without mutual agreement, the Company determined it is not probable that a significant reversal of cumulative revenue would occur.</w:t>
      </w:r>
    </w:p>
    <w:p>
      <w:pPr>
        <w:spacing w:after="0" w:line="159"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The Company determined that revenue under the Research Agreement should be recognized over time as AstraZeneca simultaneously receives the benefit from the Company as the Company performs under the single performance obligation over time. The Company will recognize revenue for the single performance obligation using a cost-to-cost input method as the Company has concluded it best depicts the research and joint steering committee participation services performed prior to AstraZeneca’s ability to negotiate a license. Under this method, the transaction price is recognized over the contract’s entire performance period, using costs incurred relative to total estimated costs to determine the extent of progress towards completion.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160" w:firstLine="510"/>
        <w:spacing w:after="0" w:line="300" w:lineRule="auto"/>
        <w:rPr>
          <w:sz w:val="20"/>
          <w:szCs w:val="20"/>
          <w:color w:val="auto"/>
        </w:rPr>
      </w:pPr>
      <w:r>
        <w:rPr>
          <w:rFonts w:ascii="Arial" w:cs="Arial" w:eastAsia="Arial" w:hAnsi="Arial"/>
          <w:sz w:val="16"/>
          <w:szCs w:val="16"/>
          <w:color w:val="auto"/>
        </w:rPr>
        <w:t>In December 2020, the Company received written notice that AstraZeneca elected to terminate the Research Agreement. As a result of AstraZeneca’s decision to terminate the Research Agreement, the Company’s performance obligations under the Research Agreement have ended as of December 31, 2020. The final transaction price of $23,377 is comprised of the $20,000 fixed consideration and $3,376 for the reimbursed research and development costs. The Company removed all costs associated with its remaining performance from the cost-to-cost model in the fourth quarter of 2020. This resulted in the Company recognizing the remaining deferred revenue of $15,145 to collaboration revenue in the year ended December 31, 2020. For the twelve months ended December 31, 2020, the Company recognized collaboration revenue of $17,161.</w:t>
      </w:r>
    </w:p>
    <w:p>
      <w:pPr>
        <w:spacing w:after="0" w:line="186" w:lineRule="exact"/>
        <w:rPr>
          <w:sz w:val="20"/>
          <w:szCs w:val="20"/>
          <w:color w:val="auto"/>
        </w:rPr>
      </w:pPr>
    </w:p>
    <w:p>
      <w:pPr>
        <w:ind w:right="200" w:firstLine="564"/>
        <w:spacing w:after="0" w:line="277" w:lineRule="auto"/>
        <w:rPr>
          <w:sz w:val="20"/>
          <w:szCs w:val="20"/>
          <w:color w:val="auto"/>
        </w:rPr>
      </w:pPr>
      <w:r>
        <w:rPr>
          <w:rFonts w:ascii="Arial" w:cs="Arial" w:eastAsia="Arial" w:hAnsi="Arial"/>
          <w:sz w:val="18"/>
          <w:szCs w:val="18"/>
          <w:color w:val="auto"/>
        </w:rPr>
        <w:t>All costs associated with the Research Agreement are recorded in research and development expense in the consolidated statements of operations and comprehensive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present changes in the Company’s contract liabilities during the twelve months ended December 31, 2020 and 2019:</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2020</w:t>
            </w:r>
          </w:p>
        </w:tc>
        <w:tc>
          <w:tcPr>
            <w:tcW w:w="1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related party</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(11,897)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9,668</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7,493</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(17,161)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related party</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137,259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(27,188)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15,883</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twelve months ended December 31, 2020 the Company recognized the following revenues as a result of changes in the contract liability balances in the respective periods: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1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21,565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27,188</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When consideration is received, or such consideration is unconditionally due, from a customer prior to transferring goods or services to the customer under the terms of a contract, a contract liability is recorded. Revenue is recognized from the contract liability over time using the cost-to-cost method.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96"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486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(89,127)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(70,279)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(98,942)</w:t>
            </w:r>
          </w:p>
        </w:tc>
      </w:tr>
      <w:tr>
        <w:trPr>
          <w:trHeight w:val="210"/>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4860" w:type="dxa"/>
            <w:vAlign w:val="bottom"/>
          </w:tcPr>
          <w:p>
            <w:pPr>
              <w:ind w:left="240"/>
              <w:spacing w:after="0"/>
              <w:rPr>
                <w:sz w:val="20"/>
                <w:szCs w:val="20"/>
                <w:color w:val="auto"/>
              </w:rPr>
            </w:pPr>
            <w:r>
              <w:rPr>
                <w:rFonts w:ascii="Arial" w:cs="Arial" w:eastAsia="Arial" w:hAnsi="Arial"/>
                <w:sz w:val="18"/>
                <w:szCs w:val="18"/>
                <w:color w:val="auto"/>
                <w:w w:val="99"/>
              </w:rPr>
              <w:t>Weighted average common shares outstanding, basic and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4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79,789,220</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56,649,220</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40,743,492</w:t>
            </w:r>
          </w:p>
        </w:tc>
        <w:tc>
          <w:tcPr>
            <w:tcW w:w="80" w:type="dxa"/>
            <w:vAlign w:val="bottom"/>
            <w:tcBorders>
              <w:bottom w:val="single" w:sz="8" w:color="CFF0FC"/>
            </w:tcBorders>
          </w:tcPr>
          <w:p>
            <w:pPr>
              <w:spacing w:after="0"/>
              <w:rPr>
                <w:sz w:val="23"/>
                <w:szCs w:val="23"/>
                <w:color w:val="auto"/>
              </w:rPr>
            </w:pPr>
          </w:p>
        </w:tc>
      </w:tr>
      <w:tr>
        <w:trPr>
          <w:trHeight w:val="196"/>
        </w:trPr>
        <w:tc>
          <w:tcPr>
            <w:tcW w:w="48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8"/>
              </w:rPr>
              <w:t>Net loss per share attributable to common stockholders, basic</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w:t>
            </w: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Company’s potential dilutive securities, which include stock options, unvested restricted common stock and shares issuable under the ESPP,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7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8"/>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10,037,130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8,310,683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7,561,719</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226,900</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under employee stock purchase plan</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10,786</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89,821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49,495</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10,054,416</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8,530,504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7,838,114</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right="8140" w:firstLine="8"/>
        <w:spacing w:after="0" w:line="378" w:lineRule="auto"/>
        <w:tabs>
          <w:tab w:leader="none" w:pos="499"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Refer to Note 7 “Leases” for discussion of the commitments associated with the Company’s lease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2020 or 2019.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right="120" w:firstLine="578"/>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9" w:name="page130"/>
    <w:bookmarkEnd w:id="129"/>
    <w:p>
      <w:pPr>
        <w:jc w:val="center"/>
        <w:ind w:right="-1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84" w:lineRule="exact"/>
        <w:rPr>
          <w:sz w:val="20"/>
          <w:szCs w:val="20"/>
          <w:color w:val="auto"/>
        </w:rPr>
      </w:pPr>
    </w:p>
    <w:p>
      <w:pPr>
        <w:ind w:right="260" w:firstLine="578"/>
        <w:spacing w:after="0" w:line="277" w:lineRule="auto"/>
        <w:rPr>
          <w:sz w:val="20"/>
          <w:szCs w:val="20"/>
          <w:color w:val="auto"/>
        </w:rPr>
      </w:pPr>
      <w:r>
        <w:rPr>
          <w:rFonts w:ascii="Arial" w:cs="Arial" w:eastAsia="Arial" w:hAnsi="Arial"/>
          <w:sz w:val="18"/>
          <w:szCs w:val="18"/>
          <w:color w:val="auto"/>
        </w:rPr>
        <w:t>The Company did not accrue any liabilities related to legal contingencies in its consolidated financial statements as of December 31, 2020 and December 31, 2019.</w:t>
      </w:r>
    </w:p>
    <w:p>
      <w:pPr>
        <w:spacing w:after="0" w:line="315"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During the years ended December 31, 2020, 2019 and 2018, the Company recorded no income tax benefits for the net operating losses incurred in each year or interim period, due to its uncertainty of realizing a benefit from those items.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13"/>
          </w:tcPr>
          <w:p>
            <w:pPr>
              <w:jc w:val="right"/>
              <w:ind w:right="1320"/>
              <w:spacing w:after="0"/>
              <w:rPr>
                <w:sz w:val="20"/>
                <w:szCs w:val="20"/>
                <w:color w:val="auto"/>
              </w:rPr>
            </w:pPr>
            <w:r>
              <w:rPr>
                <w:rFonts w:ascii="Arial" w:cs="Arial" w:eastAsia="Arial" w:hAnsi="Arial"/>
                <w:sz w:val="14"/>
                <w:szCs w:val="14"/>
                <w:b w:val="1"/>
                <w:bCs w:val="1"/>
                <w:color w:val="auto"/>
                <w:w w:val="94"/>
              </w:rPr>
              <w:t>Year Ended December 31,</w:t>
            </w:r>
          </w:p>
        </w:tc>
      </w:tr>
      <w:tr>
        <w:trPr>
          <w:trHeight w:val="156"/>
        </w:trPr>
        <w:tc>
          <w:tcPr>
            <w:tcW w:w="62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r>
      <w:tr>
        <w:trPr>
          <w:trHeight w:val="223"/>
        </w:trPr>
        <w:tc>
          <w:tcPr>
            <w:tcW w:w="6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122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62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 tax credits</w:t>
            </w:r>
          </w:p>
        </w:tc>
        <w:tc>
          <w:tcPr>
            <w:tcW w:w="1260" w:type="dxa"/>
            <w:vAlign w:val="bottom"/>
            <w:gridSpan w:val="3"/>
          </w:tcPr>
          <w:p>
            <w:pPr>
              <w:jc w:val="right"/>
              <w:ind w:right="128"/>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(5.8)</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(7.2)</w:t>
            </w:r>
          </w:p>
        </w:tc>
      </w:tr>
      <w:tr>
        <w:trPr>
          <w:trHeight w:val="229"/>
        </w:trPr>
        <w:tc>
          <w:tcPr>
            <w:tcW w:w="62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taxes, net of federal benefit</w:t>
            </w:r>
          </w:p>
        </w:tc>
        <w:tc>
          <w:tcPr>
            <w:tcW w:w="126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91"/>
              </w:rPr>
              <w:t>(6.8)</w:t>
            </w:r>
          </w:p>
        </w:tc>
        <w:tc>
          <w:tcPr>
            <w:tcW w:w="138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(7.2)</w:t>
            </w:r>
          </w:p>
        </w:tc>
      </w:tr>
      <w:tr>
        <w:trPr>
          <w:trHeight w:val="229"/>
        </w:trPr>
        <w:tc>
          <w:tcPr>
            <w:tcW w:w="62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3"/>
          </w:tcPr>
          <w:p>
            <w:pPr>
              <w:jc w:val="right"/>
              <w:ind w:right="128"/>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(1.7)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w w:val="91"/>
              </w:rPr>
              <w:t>(0.7)</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0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Change in deferred tax asset valuation allowance</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FF0FC"/>
            </w:tcBorders>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26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2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4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r>
        <w:trPr>
          <w:trHeight w:val="453"/>
        </w:trPr>
        <w:tc>
          <w:tcPr>
            <w:tcW w:w="6900" w:type="dxa"/>
            <w:vAlign w:val="bottom"/>
            <w:gridSpan w:val="6"/>
          </w:tcPr>
          <w:p>
            <w:pPr>
              <w:jc w:val="right"/>
              <w:ind w:right="668"/>
              <w:spacing w:after="0"/>
              <w:rPr>
                <w:sz w:val="20"/>
                <w:szCs w:val="20"/>
                <w:color w:val="auto"/>
              </w:rPr>
            </w:pPr>
            <w:r>
              <w:rPr>
                <w:rFonts w:ascii="Arial" w:cs="Arial" w:eastAsia="Arial" w:hAnsi="Arial"/>
                <w:sz w:val="18"/>
                <w:szCs w:val="18"/>
                <w:color w:val="auto"/>
                <w:w w:val="89"/>
              </w:rPr>
              <w:t>Net deferred tax assets as of December 31, 2020 and 2019 consisted of the following:</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37"/>
              <w:spacing w:after="0" w:line="15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106,351</w:t>
            </w:r>
          </w:p>
        </w:tc>
        <w:tc>
          <w:tcPr>
            <w:tcW w:w="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72,752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 carryforwards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42,311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36,602</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Capitalized organization costs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11,615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12,783</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Charitable Contributions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29,553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32,713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Section 163(j) limitation</w:t>
            </w:r>
          </w:p>
        </w:tc>
        <w:tc>
          <w:tcPr>
            <w:tcW w:w="9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assets</w:t>
            </w: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196,716</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161,916</w:t>
            </w:r>
          </w:p>
        </w:tc>
        <w:tc>
          <w:tcPr>
            <w:tcW w:w="80" w:type="dxa"/>
            <w:vAlign w:val="bottom"/>
            <w:tcBorders>
              <w:bottom w:val="single" w:sz="8" w:color="CFF0FC"/>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(1,467)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 of use assets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(3,103)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(4,570)</w:t>
            </w:r>
          </w:p>
        </w:tc>
        <w:tc>
          <w:tcPr>
            <w:tcW w:w="80" w:type="dxa"/>
            <w:vAlign w:val="bottom"/>
            <w:tcBorders>
              <w:bottom w:val="single" w:sz="8" w:color="CFF0FC"/>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(193,736)</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(157,346)</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62" w:lineRule="auto"/>
        <w:rPr>
          <w:sz w:val="20"/>
          <w:szCs w:val="20"/>
          <w:color w:val="auto"/>
        </w:rPr>
      </w:pPr>
      <w:r>
        <w:rPr>
          <w:rFonts w:ascii="Arial" w:cs="Arial" w:eastAsia="Arial" w:hAnsi="Arial"/>
          <w:sz w:val="18"/>
          <w:szCs w:val="18"/>
          <w:color w:val="auto"/>
        </w:rPr>
        <w:t>As of December 31, 2020, the Company had net operating loss carryforwards (“NOLs”) for federal and state income tax purposes of $390,000 and $386,900, respectively. Federal NOLs of $119,781, generated before 2018, will begin expiring in varying amounts in 2035 unless utilized. The remaining federal NOLs of $270,219, generated after 2017, will be carried forward indefinitely and could be used to offset up to 100% of taxable income of each future tax year for tax years before January 1, 2021 and up to 80% of taxable income in all other future tax years. Massachusetts does not follow federal time periods for NOLs and as such the Company’s Massachusetts NOLs of $386,900 will expire at various times starting in 2035. As of December 31, 2020, the Company</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also had available research and development tax credit carryforwards for federal and state income tax purposes of $36,400 and $7,500, respectively,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begin to expire in 2031 and 2028, respectively. The federal research and development tax credits include an orphan drug credit carryforward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$20,700. Utilization of the NOLs and research and development tax credit carryforwards may be subject to a substantial annual limitation under Sections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382 and 383 of the Internal Revenue Code of 1986 due to ownership changes that have occurred previously or that could occur in the future.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changes may limit the amount of carryforwards that can be utilized annually to offset future taxable income. In general, an ownership change,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by Section 382, results from transactions increasing the ownership of certain shareholders or public groups in the stock of a corporation by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50% over a three-year period. Since its formation, the Company has raised capital through the issuance of capital stock on several occasions.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financings, combined with the purchasing shareholders' subsequent disposition of those shares, may have resulted in a change of control or could result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in the future upon subsequent disposition. The Company conducted an analysis to determine if historical changes in ownership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31, 2015 would limit or otherwise restrict its ability to utilize these NOLs and research and development credit carryforwards. As a result of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analysis, the Company does not believe there are any significant limitations on its ability to utilize these carryforwards. However, future changes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after August 31, 2015 could affect the limitation in future years. Any limitation may result in expiration of a portion of the NOLs or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credit carryforwards before utilization.</w:t>
      </w:r>
    </w:p>
    <w:p>
      <w:pPr>
        <w:spacing w:after="0" w:line="211"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2020 and 2019. Management reevaluates the positive and negative evidence at each reporting period.</w:t>
      </w:r>
    </w:p>
    <w:p>
      <w:pPr>
        <w:spacing w:after="0" w:line="1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Changes in the valuation allowance for deferred tax assets during the years ended December 31, 2020, 2019 and 2018 related primarily to the increases in NOLs, research and development tax credit carryforwards, stock-based compensation and decrease of the deferred rate due to tax reform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(94,126)</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Decreases recorded as benefit to income tax provision</w:t>
            </w:r>
          </w:p>
        </w:tc>
        <w:tc>
          <w:tcPr>
            <w:tcW w:w="22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Increases recorded to income tax provision</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(36,390)</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(25,337)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(37,883)</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Valuation allowance as of end of year</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(193,736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(157,346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(132,009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had no unrecognized tax benefits or related interest and penalties accrued for the years ended December 31, 2020 and 2019. The Company will recognize interest and penalties related to uncertain tax positions in income tax expense.</w:t>
      </w:r>
    </w:p>
    <w:p>
      <w:pPr>
        <w:spacing w:after="0" w:line="2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 is currently under examination by the Internal Revenue Service ("IRS") for the period ended December 31, 2018 related to its R&amp;D tax credits. The Company's tax years are still open under statute from 2011 to present. All years may be examined to the extent the tax credit or net operating loss carryforwards are used in future periods.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82"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As described in Note 12, in January 2016 the Company entered into the License Agreement and, in November 2018, a letter agreement with Nestlé, successor in interest to Nestec, Ltd., for the development and commercialization of certain product candidates in development for the treatment and management of CDI and IBD, including UC and Crohn’s disease. Nestlé is a related party since Nestlé is one of the Company’s significant stockholders and is related to Nestlé Health Science U.S. Holdings, Inc, another significant stockholder. During the years ended December 31, 2020, 2019, and 2018, the Company recognized $11,897, $27,188, and $26,917, respectively, of related party revenue associated with the License Agreement. As of December 31, 2020 and 2019, there was $108,174 and $110,071, respectively, of deferred revenue related to the License Agreement, which is classified as current or non-current in the consolidated balance sheets. The Company has made no payments to Nestlé during the year ended December 31, 2020. There is no amount due from Nestlé as of December 31, 2020.</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July 2019, the Company entered into a sublease agreement with Flagship Pioneering, one of the Company’s significant stockholders, to sublease a portion of its office and laboratory space in Cambridge, Massachusetts. The term of the sublease agreement commenced in July 2019 and ends on the last day of the 24th calendar month following commencement, with no option to extend (see Note 7). Under this agreement, the Company recorded other income of $1,813 and $890 during the twelve months ended December 31, 2020 and 2019. The Company received cash payments of $1,813 and $890 during the twelve months ended December 31, 2020 and 2019.</w:t>
      </w:r>
    </w:p>
    <w:p>
      <w:pPr>
        <w:spacing w:after="0" w:line="332"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years ended December 31, 2020, 2019, and 2018 the Company recorded expense of $586, $542, and $604, respectively, for 401(k) match contributions.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121"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following description of the capital stock of Seres Therapeutics, Inc. (the “Company,” “we,” “us,” and “our”) and certain provisions of our restated certificate of incorporation and amended and restated bylaws are summaries and are qualified in their entirety by reference to the applicable provisions of our restated certificate of incorporation and amended and restated bylaws, which have been publicly filed with the Securities and Exchange Commission. We encourage you to read our restated certificate of incorporation, our amended and restated bylaws and the applicable provisions of the General Corporation Law of the State of Delaware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w:t>
      </w:r>
    </w:p>
    <w:p>
      <w:pPr>
        <w:spacing w:after="0" w:line="117" w:lineRule="exact"/>
        <w:rPr>
          <w:sz w:val="20"/>
          <w:szCs w:val="20"/>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200,000,000 shares of common stock, par value $0.001 per share;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our common stock are entitled to one vote for each share held on all matters submitted to a vote of stockholders and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Rights Upon Liquidation. </w:t>
      </w:r>
      <w:r>
        <w:rPr>
          <w:rFonts w:ascii="Arial" w:cs="Arial" w:eastAsia="Arial" w:hAnsi="Arial"/>
          <w:sz w:val="16"/>
          <w:szCs w:val="16"/>
          <w:color w:val="auto"/>
        </w:rPr>
        <w:t>In the event of our liquidation or dissolution, the holders of common stock are entitled to receive proportionately our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common stock have no preemptive, subscription, redemption or conversion rights. The rights, preferences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of our board of directors, without action by the stockholders, to issue up to 10,000,000 shares of undesignated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Stockholder Meetings</w:t>
      </w:r>
      <w:r>
        <w:rPr>
          <w:rFonts w:ascii="Arial" w:cs="Arial" w:eastAsia="Arial" w:hAnsi="Arial"/>
          <w:sz w:val="16"/>
          <w:szCs w:val="16"/>
          <w:color w:val="auto"/>
        </w:rPr>
        <w:t>. Our amended and restated bylaws provide that a special meeting of stockholders may be called only by our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or president (in the absence of a chief executive officer), or by a resolution adopted by a majority of our board of directors.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Our amended and restated bylaws establish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restated certificate of incorporation eliminates the right of stockholders to act by written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 meeting.</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Staggered Board</w:t>
      </w:r>
      <w:r>
        <w:rPr>
          <w:rFonts w:ascii="Arial" w:cs="Arial" w:eastAsia="Arial" w:hAnsi="Arial"/>
          <w:sz w:val="17"/>
          <w:szCs w:val="17"/>
          <w:color w:val="auto"/>
        </w:rPr>
        <w:t>. Our board of directors is divided into three classes. The directors in each class will serve for a three-year term, one class being elected</w:t>
      </w:r>
      <w:r>
        <w:rPr>
          <w:rFonts w:ascii="Arial" w:cs="Arial" w:eastAsia="Arial" w:hAnsi="Arial"/>
          <w:sz w:val="17"/>
          <w:szCs w:val="17"/>
          <w:i w:val="1"/>
          <w:iCs w:val="1"/>
          <w:color w:val="auto"/>
        </w:rPr>
        <w:t xml:space="preserve"> </w:t>
      </w:r>
      <w:r>
        <w:rPr>
          <w:rFonts w:ascii="Arial" w:cs="Arial" w:eastAsia="Arial" w:hAnsi="Arial"/>
          <w:sz w:val="17"/>
          <w:szCs w:val="17"/>
          <w:color w:val="auto"/>
        </w:rPr>
        <w:t>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restated certificate of incorporation provides that no member of our board of directors may be removed from office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Stockholders Not Entitled to Cumulative Voting. </w:t>
      </w:r>
      <w:r>
        <w:rPr>
          <w:rFonts w:ascii="Arial" w:cs="Arial" w:eastAsia="Arial" w:hAnsi="Arial"/>
          <w:sz w:val="18"/>
          <w:szCs w:val="18"/>
          <w:color w:val="auto"/>
        </w:rPr>
        <w:t>Our restated certificate of incorporation does not permit stockholders to cumulate their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Accordingly, the holders of a majority of the outstanding shares of our common stock entitled to vote in any election of directors can elect all of the directors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standing for election, if they choose, other than any directors that holders of our preferred stock may be entitled to elect.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are subject to Section 203 of the General Corporation Law of the State of Delaware, which prohibits persons deemed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restated certificate of incorporation provides that, unless we consent in writing to the selection of an alternative form, the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restated certificate of incorporation or bylaws to be inapplicable or unenforceable if challenged in a proceeding or otherwise.</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Amendment of Restated Certificate of Incorporation. </w:t>
      </w:r>
      <w:r>
        <w:rPr>
          <w:rFonts w:ascii="Arial" w:cs="Arial" w:eastAsia="Arial" w:hAnsi="Arial"/>
          <w:sz w:val="17"/>
          <w:szCs w:val="17"/>
          <w:color w:val="auto"/>
        </w:rPr>
        <w:t>The amendment of any of the above provisions in our restated certificate of incorporation, except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557" w:right="3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PLAN</w:t>
      </w:r>
    </w:p>
    <w:p>
      <w:pPr>
        <w:spacing w:after="0" w:line="225" w:lineRule="exact"/>
        <w:rPr>
          <w:sz w:val="20"/>
          <w:szCs w:val="20"/>
          <w:color w:val="auto"/>
        </w:rPr>
      </w:pPr>
    </w:p>
    <w:p>
      <w:pPr>
        <w:ind w:left="580" w:hanging="572"/>
        <w:spacing w:after="0"/>
        <w:tabs>
          <w:tab w:leader="none" w:pos="5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Section XI.</w:t>
      </w:r>
    </w:p>
    <w:p>
      <w:pPr>
        <w:spacing w:after="0" w:line="120"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21"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AND DELEGATION</w:t>
      </w:r>
    </w:p>
    <w:p>
      <w:pPr>
        <w:spacing w:after="0" w:line="121" w:lineRule="exact"/>
        <w:rPr>
          <w:sz w:val="20"/>
          <w:szCs w:val="20"/>
          <w:color w:val="auto"/>
        </w:rPr>
      </w:pPr>
    </w:p>
    <w:p>
      <w:pPr>
        <w:ind w:right="120" w:firstLine="8"/>
        <w:spacing w:after="0" w:line="293" w:lineRule="auto"/>
        <w:tabs>
          <w:tab w:leader="none" w:pos="244"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64" w:lineRule="exact"/>
        <w:rPr>
          <w:rFonts w:ascii="Arial" w:cs="Arial" w:eastAsia="Arial" w:hAnsi="Arial"/>
          <w:sz w:val="16"/>
          <w:szCs w:val="16"/>
          <w:color w:val="auto"/>
        </w:rPr>
      </w:pPr>
    </w:p>
    <w:p>
      <w:pPr>
        <w:ind w:right="440" w:firstLine="8"/>
        <w:spacing w:after="0" w:line="277"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Applicable Laws permit, the Board may delegate any or all of its powers under the Plan to one or more Committees. The Board may abolish any Committee or re-vest in itself any previously delegated authority at any time.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STOCK AVAILABLE FOR AWARDS</w:t>
      </w:r>
    </w:p>
    <w:p>
      <w:pPr>
        <w:spacing w:after="0" w:line="121" w:lineRule="exact"/>
        <w:rPr>
          <w:sz w:val="20"/>
          <w:szCs w:val="20"/>
          <w:color w:val="auto"/>
        </w:rPr>
      </w:pPr>
    </w:p>
    <w:p>
      <w:pPr>
        <w:ind w:right="40" w:firstLine="8"/>
        <w:spacing w:after="0" w:line="259" w:lineRule="auto"/>
        <w:tabs>
          <w:tab w:leader="none" w:pos="24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adjustment under Section VIII and the terms of this Section IV, Awards may be made under the Plan covering up to the Overall Share Limit. As of the Plan’s effective date under Section X(c), the Company will cease 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186" w:lineRule="exact"/>
        <w:rPr>
          <w:rFonts w:ascii="Arial" w:cs="Arial" w:eastAsia="Arial" w:hAnsi="Arial"/>
          <w:sz w:val="18"/>
          <w:szCs w:val="18"/>
          <w:color w:val="auto"/>
        </w:rPr>
      </w:pPr>
    </w:p>
    <w:p>
      <w:pPr>
        <w:ind w:firstLine="8"/>
        <w:spacing w:after="0" w:line="270"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Share Recycling</w:t>
      </w:r>
      <w:r>
        <w:rPr>
          <w:rFonts w:ascii="Arial" w:cs="Arial" w:eastAsia="Arial" w:hAnsi="Arial"/>
          <w:sz w:val="17"/>
          <w:szCs w:val="17"/>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80" w:lineRule="exact"/>
        <w:rPr>
          <w:rFonts w:ascii="Arial" w:cs="Arial" w:eastAsia="Arial" w:hAnsi="Arial"/>
          <w:sz w:val="17"/>
          <w:szCs w:val="17"/>
          <w:color w:val="auto"/>
        </w:rPr>
      </w:pPr>
    </w:p>
    <w:p>
      <w:pPr>
        <w:ind w:right="300" w:firstLine="8"/>
        <w:spacing w:after="0" w:line="277" w:lineRule="auto"/>
        <w:tabs>
          <w:tab w:leader="none" w:pos="24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 17,200,000 Shares may be issued pursuant to the exercise of Incentive Stock Options.</w:t>
      </w:r>
    </w:p>
    <w:p>
      <w:pPr>
        <w:spacing w:after="0" w:line="170" w:lineRule="exact"/>
        <w:rPr>
          <w:rFonts w:ascii="Arial" w:cs="Arial" w:eastAsia="Arial" w:hAnsi="Arial"/>
          <w:sz w:val="18"/>
          <w:szCs w:val="18"/>
          <w:color w:val="auto"/>
        </w:rPr>
      </w:pPr>
    </w:p>
    <w:p>
      <w:pPr>
        <w:ind w:right="20" w:firstLine="8"/>
        <w:spacing w:after="0" w:line="286"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right="220"/>
        <w:spacing w:after="0" w:line="263" w:lineRule="auto"/>
        <w:rPr>
          <w:sz w:val="20"/>
          <w:szCs w:val="20"/>
          <w:color w:val="auto"/>
        </w:rPr>
      </w:pPr>
      <w:r>
        <w:rPr>
          <w:rFonts w:ascii="Arial" w:cs="Arial" w:eastAsia="Arial" w:hAnsi="Arial"/>
          <w:sz w:val="18"/>
          <w:szCs w:val="18"/>
          <w:color w:val="auto"/>
        </w:rPr>
        <w:t>limitations on Awards in the Plan. Substitute Awards will not count against the Overall Share Limit, except that Shares acquired by exercise of substitute Incentive Stock Options will count against the maximum number of Shares that may be issued pursuant to the exercise of Incentive Stock Options under the Plan.</w:t>
      </w:r>
    </w:p>
    <w:p>
      <w:pPr>
        <w:spacing w:after="0" w:line="184" w:lineRule="exact"/>
        <w:rPr>
          <w:sz w:val="20"/>
          <w:szCs w:val="20"/>
          <w:color w:val="auto"/>
        </w:rPr>
      </w:pPr>
    </w:p>
    <w:p>
      <w:pPr>
        <w:ind w:firstLine="8"/>
        <w:spacing w:after="0" w:line="289" w:lineRule="auto"/>
        <w:tabs>
          <w:tab w:leader="none" w:pos="244"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Directors.</w:t>
      </w:r>
    </w:p>
    <w:p>
      <w:pPr>
        <w:spacing w:after="0" w:line="162"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STOCK APPRECIATION RIGHTS</w:t>
      </w:r>
    </w:p>
    <w:p>
      <w:pPr>
        <w:spacing w:after="0" w:line="121" w:lineRule="exact"/>
        <w:rPr>
          <w:sz w:val="20"/>
          <w:szCs w:val="20"/>
          <w:color w:val="auto"/>
        </w:rPr>
      </w:pPr>
    </w:p>
    <w:p>
      <w:pPr>
        <w:ind w:right="180" w:firstLine="8"/>
        <w:spacing w:after="0" w:line="253" w:lineRule="auto"/>
        <w:tabs>
          <w:tab w:leader="none" w:pos="2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grant Options or Stock Appreciation Rights to Service Providers subject to the limitations in the Plan, including Section IX(i) with respect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96" w:lineRule="exact"/>
        <w:rPr>
          <w:rFonts w:ascii="Arial" w:cs="Arial" w:eastAsia="Arial" w:hAnsi="Arial"/>
          <w:sz w:val="18"/>
          <w:szCs w:val="18"/>
          <w:color w:val="auto"/>
        </w:rPr>
      </w:pPr>
    </w:p>
    <w:p>
      <w:pPr>
        <w:ind w:right="340" w:firstLine="8"/>
        <w:spacing w:after="0" w:line="342" w:lineRule="auto"/>
        <w:tabs>
          <w:tab w:leader="none" w:pos="25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i w:val="1"/>
          <w:iCs w:val="1"/>
          <w:color w:val="auto"/>
        </w:rPr>
        <w:t>.</w:t>
      </w:r>
      <w:r>
        <w:rPr>
          <w:rFonts w:ascii="Arial" w:cs="Arial" w:eastAsia="Arial" w:hAnsi="Arial"/>
          <w:sz w:val="16"/>
          <w:szCs w:val="16"/>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23" w:lineRule="exact"/>
        <w:rPr>
          <w:rFonts w:ascii="Arial" w:cs="Arial" w:eastAsia="Arial" w:hAnsi="Arial"/>
          <w:sz w:val="16"/>
          <w:szCs w:val="16"/>
          <w:color w:val="auto"/>
        </w:rPr>
      </w:pPr>
    </w:p>
    <w:p>
      <w:pPr>
        <w:ind w:right="20" w:firstLine="8"/>
        <w:spacing w:after="0" w:line="277" w:lineRule="auto"/>
        <w:tabs>
          <w:tab w:leader="none" w:pos="2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i w:val="1"/>
          <w:iCs w:val="1"/>
          <w:color w:val="auto"/>
        </w:rPr>
        <w:t>.</w:t>
      </w:r>
      <w:r>
        <w:rPr>
          <w:rFonts w:ascii="Arial" w:cs="Arial" w:eastAsia="Arial" w:hAnsi="Arial"/>
          <w:sz w:val="18"/>
          <w:szCs w:val="18"/>
          <w:color w:val="auto"/>
        </w:rPr>
        <w:t xml:space="preserve"> Each Option or Stock Appreciation Right will be exercisable at such times and as specified in the Award Agreement, provided that the term of an Option or Stock Appreciation Right will not exceed ten years.</w:t>
      </w:r>
    </w:p>
    <w:p>
      <w:pPr>
        <w:spacing w:after="0" w:line="170" w:lineRule="exact"/>
        <w:rPr>
          <w:rFonts w:ascii="Arial" w:cs="Arial" w:eastAsia="Arial" w:hAnsi="Arial"/>
          <w:sz w:val="18"/>
          <w:szCs w:val="18"/>
          <w:color w:val="auto"/>
        </w:rPr>
      </w:pPr>
    </w:p>
    <w:p>
      <w:pPr>
        <w:ind w:right="120" w:firstLine="8"/>
        <w:spacing w:after="0" w:line="257"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i w:val="1"/>
          <w:iCs w:val="1"/>
          <w:color w:val="auto"/>
        </w:rPr>
        <w:t>.</w:t>
      </w:r>
      <w:r>
        <w:rPr>
          <w:rFonts w:ascii="Arial" w:cs="Arial" w:eastAsia="Arial" w:hAnsi="Arial"/>
          <w:sz w:val="18"/>
          <w:szCs w:val="18"/>
          <w:color w:val="auto"/>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V(e) for the number of Shares for which the Award is exercised and (ii) as specified in Section IX(e) for any applicable taxes. Unless the Administrator otherwise determines, an Option or Stock Appreciation Right may not be exercised for a fraction of a Share.</w:t>
      </w:r>
    </w:p>
    <w:p>
      <w:pPr>
        <w:spacing w:after="0" w:line="187" w:lineRule="exact"/>
        <w:rPr>
          <w:rFonts w:ascii="Arial" w:cs="Arial" w:eastAsia="Arial" w:hAnsi="Arial"/>
          <w:sz w:val="18"/>
          <w:szCs w:val="18"/>
          <w:color w:val="auto"/>
        </w:rPr>
      </w:pPr>
    </w:p>
    <w:p>
      <w:pPr>
        <w:ind w:right="140" w:firstLine="8"/>
        <w:spacing w:after="0" w:line="308" w:lineRule="auto"/>
        <w:tabs>
          <w:tab w:leader="none" w:pos="24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Payment Upon Exercise</w:t>
      </w:r>
      <w:r>
        <w:rPr>
          <w:rFonts w:ascii="Arial" w:cs="Arial" w:eastAsia="Arial" w:hAnsi="Arial"/>
          <w:sz w:val="17"/>
          <w:szCs w:val="17"/>
          <w:i w:val="1"/>
          <w:iCs w:val="1"/>
          <w:color w:val="auto"/>
        </w:rPr>
        <w:t>.</w:t>
      </w:r>
      <w:r>
        <w:rPr>
          <w:rFonts w:ascii="Arial" w:cs="Arial" w:eastAsia="Arial" w:hAnsi="Arial"/>
          <w:sz w:val="17"/>
          <w:szCs w:val="17"/>
          <w:color w:val="auto"/>
        </w:rPr>
        <w:t xml:space="preserve"> The exercise price of an Option must be paid in cash, wire transfer of immediately available funds or by check payable to the order of the Company or, subject to Section X(h), any Company insider trading policy (including blackout periods) and Applicable Laws, by:</w:t>
      </w:r>
    </w:p>
    <w:p>
      <w:pPr>
        <w:spacing w:after="0" w:line="146" w:lineRule="exact"/>
        <w:rPr>
          <w:sz w:val="20"/>
          <w:szCs w:val="20"/>
          <w:color w:val="auto"/>
        </w:rPr>
      </w:pPr>
    </w:p>
    <w:p>
      <w:pPr>
        <w:ind w:firstLine="8"/>
        <w:spacing w:after="0" w:line="275" w:lineRule="auto"/>
        <w:tabs>
          <w:tab w:leader="none" w:pos="215"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6" w:lineRule="exact"/>
        <w:rPr>
          <w:rFonts w:ascii="Arial" w:cs="Arial" w:eastAsia="Arial" w:hAnsi="Arial"/>
          <w:sz w:val="17"/>
          <w:szCs w:val="17"/>
          <w:color w:val="auto"/>
        </w:rPr>
      </w:pPr>
    </w:p>
    <w:p>
      <w:pPr>
        <w:ind w:right="260" w:firstLine="8"/>
        <w:spacing w:after="0" w:line="277" w:lineRule="auto"/>
        <w:tabs>
          <w:tab w:leader="none" w:pos="2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7" w:name="page138"/>
    <w:bookmarkEnd w:id="137"/>
    <w:p>
      <w:pPr>
        <w:ind w:right="360" w:firstLine="8"/>
        <w:spacing w:after="0" w:line="277" w:lineRule="auto"/>
        <w:tabs>
          <w:tab w:leader="none" w:pos="3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right="640" w:firstLine="8"/>
        <w:spacing w:after="0" w:line="277" w:lineRule="auto"/>
        <w:tabs>
          <w:tab w:leader="none" w:pos="3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combination of the above permitted payment forms (including cash, wire transfer or check).</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RESTRICTED STOCK; RESTRICTED STOCK UNITS</w:t>
      </w:r>
    </w:p>
    <w:p>
      <w:pPr>
        <w:spacing w:after="0" w:line="121" w:lineRule="exact"/>
        <w:rPr>
          <w:sz w:val="20"/>
          <w:szCs w:val="20"/>
          <w:color w:val="auto"/>
        </w:rPr>
      </w:pPr>
    </w:p>
    <w:p>
      <w:pPr>
        <w:ind w:right="100" w:firstLine="8"/>
        <w:spacing w:after="0" w:line="254" w:lineRule="auto"/>
        <w:tabs>
          <w:tab w:leader="none" w:pos="2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94" w:lineRule="exact"/>
        <w:rPr>
          <w:rFonts w:ascii="Arial" w:cs="Arial" w:eastAsia="Arial" w:hAnsi="Arial"/>
          <w:sz w:val="18"/>
          <w:szCs w:val="18"/>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i w:val="1"/>
          <w:iCs w:val="1"/>
          <w:color w:val="auto"/>
        </w:rPr>
        <w:t>.</w:t>
      </w:r>
    </w:p>
    <w:p>
      <w:pPr>
        <w:spacing w:after="0" w:line="225" w:lineRule="exact"/>
        <w:rPr>
          <w:sz w:val="20"/>
          <w:szCs w:val="20"/>
          <w:color w:val="auto"/>
        </w:rPr>
      </w:pPr>
    </w:p>
    <w:p>
      <w:pPr>
        <w:ind w:right="160" w:firstLine="8"/>
        <w:spacing w:after="0" w:line="301" w:lineRule="auto"/>
        <w:tabs>
          <w:tab w:leader="none" w:pos="215"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Participants holding shares of Restricted Stock will be entitled to all ordinary cash dividends paid with respect to such shares,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57" w:lineRule="exact"/>
        <w:rPr>
          <w:rFonts w:ascii="Arial" w:cs="Arial" w:eastAsia="Arial" w:hAnsi="Arial"/>
          <w:sz w:val="16"/>
          <w:szCs w:val="16"/>
          <w:color w:val="auto"/>
        </w:rPr>
      </w:pPr>
    </w:p>
    <w:p>
      <w:pPr>
        <w:ind w:right="140" w:firstLine="8"/>
        <w:spacing w:after="0" w:line="277" w:lineRule="auto"/>
        <w:tabs>
          <w:tab w:leader="none" w:pos="26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Stock Certificates. </w:t>
      </w:r>
      <w:r>
        <w:rPr>
          <w:rFonts w:ascii="Arial" w:cs="Arial" w:eastAsia="Arial" w:hAnsi="Arial"/>
          <w:sz w:val="18"/>
          <w:szCs w:val="18"/>
          <w:color w:val="auto"/>
        </w:rPr>
        <w:t>The Company may require that the Participant deposit in escrow with the Company (or its designee) any stock certificates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shares of Restricted Stock, together with a stock power endorsed in blank.</w:t>
      </w:r>
    </w:p>
    <w:p>
      <w:pPr>
        <w:spacing w:after="0" w:line="170"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i w:val="1"/>
          <w:iCs w:val="1"/>
          <w:color w:val="auto"/>
        </w:rPr>
        <w:t>.</w:t>
      </w:r>
    </w:p>
    <w:p>
      <w:pPr>
        <w:spacing w:after="0" w:line="225" w:lineRule="exact"/>
        <w:rPr>
          <w:sz w:val="20"/>
          <w:szCs w:val="20"/>
          <w:color w:val="auto"/>
        </w:rPr>
      </w:pPr>
    </w:p>
    <w:p>
      <w:pPr>
        <w:ind w:right="500" w:firstLine="8"/>
        <w:spacing w:after="0" w:line="263" w:lineRule="auto"/>
        <w:tabs>
          <w:tab w:leader="none" w:pos="21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The Administrator may provide that settlement of Restricted Stock Units will occur upon or as soon as reasonably practicable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vest or will instead be deferred, on a mandatory basis or at the Participant’s election, in a manner intended to comply with Section 409A.</w:t>
      </w:r>
    </w:p>
    <w:p>
      <w:pPr>
        <w:spacing w:after="0" w:line="183" w:lineRule="exact"/>
        <w:rPr>
          <w:rFonts w:ascii="Arial" w:cs="Arial" w:eastAsia="Arial" w:hAnsi="Arial"/>
          <w:sz w:val="18"/>
          <w:szCs w:val="18"/>
          <w:color w:val="auto"/>
        </w:rPr>
      </w:pPr>
    </w:p>
    <w:p>
      <w:pPr>
        <w:ind w:right="260" w:firstLine="8"/>
        <w:spacing w:after="0" w:line="277" w:lineRule="auto"/>
        <w:tabs>
          <w:tab w:leader="none" w:pos="26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Stockholder Rights. </w:t>
      </w:r>
      <w:r>
        <w:rPr>
          <w:rFonts w:ascii="Arial" w:cs="Arial" w:eastAsia="Arial" w:hAnsi="Arial"/>
          <w:sz w:val="18"/>
          <w:szCs w:val="18"/>
          <w:color w:val="auto"/>
        </w:rPr>
        <w:t>A Participant will have no rights of a stockholder with respect to Shares subject to any Restricted Stock Unit unless and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delivered in settlement of the Restricted Stock Unit.</w:t>
      </w:r>
    </w:p>
    <w:p>
      <w:pPr>
        <w:spacing w:after="0" w:line="170" w:lineRule="exact"/>
        <w:rPr>
          <w:rFonts w:ascii="Arial" w:cs="Arial" w:eastAsia="Arial" w:hAnsi="Arial"/>
          <w:sz w:val="18"/>
          <w:szCs w:val="18"/>
          <w:color w:val="auto"/>
        </w:rPr>
      </w:pPr>
    </w:p>
    <w:p>
      <w:pPr>
        <w:jc w:val="both"/>
        <w:ind w:right="340" w:firstLine="8"/>
        <w:spacing w:after="0" w:line="259" w:lineRule="auto"/>
        <w:tabs>
          <w:tab w:leader="none" w:pos="31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If the Administrator provides, a grant of Restricted Stock Units may provide a Participant with the right to receive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VII.</w:t>
        <w:tab/>
        <w:t>OTHER STOCK OR CASH BASED AWARDS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ind w:right="320"/>
        <w:spacing w:after="0" w:line="263" w:lineRule="auto"/>
        <w:rPr>
          <w:sz w:val="20"/>
          <w:szCs w:val="20"/>
          <w:color w:val="auto"/>
        </w:rPr>
      </w:pPr>
      <w:r>
        <w:rPr>
          <w:rFonts w:ascii="Arial" w:cs="Arial" w:eastAsia="Arial" w:hAnsi="Arial"/>
          <w:sz w:val="18"/>
          <w:szCs w:val="18"/>
          <w:color w:val="auto"/>
        </w:rPr>
        <w:t>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VIII.</w:t>
        <w:tab/>
        <w:t>ADJUSTMENTS FOR CHANGES IN COMMON STOCK AND CERTAIN OTHER EVENTS</w:t>
      </w:r>
    </w:p>
    <w:p>
      <w:pPr>
        <w:spacing w:after="0" w:line="121" w:lineRule="exact"/>
        <w:rPr>
          <w:sz w:val="20"/>
          <w:szCs w:val="20"/>
          <w:color w:val="auto"/>
        </w:rPr>
      </w:pPr>
    </w:p>
    <w:p>
      <w:pPr>
        <w:ind w:right="40" w:firstLine="8"/>
        <w:spacing w:after="0" w:line="275" w:lineRule="auto"/>
        <w:tabs>
          <w:tab w:leader="none" w:pos="244"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Equity Restructuring</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any Equity Restructuring, notwithstanding anything to the contrary in this Section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VIII(a) will be nondiscretionary and final and binding on the affected Participant and the Company; provided that the Administrator will determine whether an adjustment is equitable.</w:t>
      </w:r>
    </w:p>
    <w:p>
      <w:pPr>
        <w:spacing w:after="0" w:line="176" w:lineRule="exact"/>
        <w:rPr>
          <w:rFonts w:ascii="Arial" w:cs="Arial" w:eastAsia="Arial" w:hAnsi="Arial"/>
          <w:sz w:val="17"/>
          <w:szCs w:val="17"/>
          <w:color w:val="auto"/>
        </w:rPr>
      </w:pPr>
    </w:p>
    <w:p>
      <w:pPr>
        <w:ind w:right="100" w:firstLine="8"/>
        <w:spacing w:after="0" w:line="287" w:lineRule="auto"/>
        <w:tabs>
          <w:tab w:leader="none" w:pos="25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of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2" w:lineRule="exact"/>
        <w:rPr>
          <w:sz w:val="20"/>
          <w:szCs w:val="20"/>
          <w:color w:val="auto"/>
        </w:rPr>
      </w:pPr>
    </w:p>
    <w:p>
      <w:pPr>
        <w:ind w:firstLine="8"/>
        <w:spacing w:after="0" w:line="301" w:lineRule="auto"/>
        <w:tabs>
          <w:tab w:leader="none" w:pos="2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57" w:lineRule="exact"/>
        <w:rPr>
          <w:rFonts w:ascii="Arial" w:cs="Arial" w:eastAsia="Arial" w:hAnsi="Arial"/>
          <w:sz w:val="16"/>
          <w:szCs w:val="16"/>
          <w:color w:val="auto"/>
        </w:rPr>
      </w:pPr>
    </w:p>
    <w:p>
      <w:pPr>
        <w:ind w:right="400" w:firstLine="8"/>
        <w:spacing w:after="0" w:line="277" w:lineRule="auto"/>
        <w:tabs>
          <w:tab w:leader="none" w:pos="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firstLine="8"/>
        <w:spacing w:after="0" w:line="286" w:lineRule="auto"/>
        <w:tabs>
          <w:tab w:leader="none" w:pos="31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5" w:lineRule="exact"/>
        <w:rPr>
          <w:rFonts w:ascii="Arial" w:cs="Arial" w:eastAsia="Arial" w:hAnsi="Arial"/>
          <w:sz w:val="17"/>
          <w:szCs w:val="17"/>
          <w:color w:val="auto"/>
        </w:rPr>
      </w:pPr>
    </w:p>
    <w:p>
      <w:pPr>
        <w:ind w:right="100" w:firstLine="8"/>
        <w:spacing w:after="0" w:line="259" w:lineRule="auto"/>
        <w:tabs>
          <w:tab w:leader="none" w:pos="3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Section IV hereof on the maximum number and kind of shares which may be issued) and/or in the terms and conditions of (including the grant or exercise price), and the criteria included in, outstanding Awards;</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9" w:name="page140"/>
    <w:bookmarkEnd w:id="139"/>
    <w:p>
      <w:pPr>
        <w:ind w:right="80" w:firstLine="8"/>
        <w:spacing w:after="0" w:line="279" w:lineRule="auto"/>
        <w:tabs>
          <w:tab w:leader="none" w:pos="244"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Administrative Stand Still</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71" w:lineRule="exact"/>
        <w:rPr>
          <w:rFonts w:ascii="Arial" w:cs="Arial" w:eastAsia="Arial" w:hAnsi="Arial"/>
          <w:sz w:val="17"/>
          <w:szCs w:val="17"/>
          <w:color w:val="auto"/>
        </w:rPr>
      </w:pPr>
    </w:p>
    <w:p>
      <w:pPr>
        <w:ind w:firstLine="8"/>
        <w:spacing w:after="0" w:line="284" w:lineRule="auto"/>
        <w:tabs>
          <w:tab w:leader="none" w:pos="25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VIII(a)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w:t>
      </w:r>
    </w:p>
    <w:p>
      <w:pPr>
        <w:spacing w:after="0" w:line="4" w:lineRule="exact"/>
        <w:rPr>
          <w:rFonts w:ascii="Arial" w:cs="Arial" w:eastAsia="Arial" w:hAnsi="Arial"/>
          <w:sz w:val="16"/>
          <w:szCs w:val="16"/>
          <w:color w:val="auto"/>
        </w:rPr>
      </w:pPr>
    </w:p>
    <w:p>
      <w:pPr>
        <w:ind w:right="260" w:firstLine="8"/>
        <w:spacing w:after="0" w:line="253" w:lineRule="auto"/>
        <w:tabs>
          <w:tab w:leader="none" w:pos="2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Section VIII.</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GENERAL PROVISIONS APPLICABLE TO AWARDS.</w:t>
      </w:r>
    </w:p>
    <w:p>
      <w:pPr>
        <w:spacing w:after="0" w:line="121" w:lineRule="exact"/>
        <w:rPr>
          <w:sz w:val="20"/>
          <w:szCs w:val="20"/>
          <w:color w:val="auto"/>
        </w:rPr>
      </w:pPr>
    </w:p>
    <w:p>
      <w:pPr>
        <w:ind w:right="200" w:firstLine="8"/>
        <w:spacing w:after="0" w:line="257" w:lineRule="auto"/>
        <w:tabs>
          <w:tab w:leader="none" w:pos="24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87"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i w:val="1"/>
          <w:iCs w:val="1"/>
          <w:color w:val="auto"/>
        </w:rPr>
        <w:t>.</w:t>
      </w:r>
      <w:r>
        <w:rPr>
          <w:rFonts w:ascii="Arial" w:cs="Arial" w:eastAsia="Arial" w:hAnsi="Arial"/>
          <w:sz w:val="18"/>
          <w:szCs w:val="18"/>
          <w:color w:val="auto"/>
        </w:rPr>
        <w:t xml:space="preserve"> Each Award will be evidenced in an Award Agreement, which may be written or electronic, as the Administrator determines. Each Award may contain terms and conditions in addition to those set forth in the Plan.</w:t>
      </w:r>
    </w:p>
    <w:p>
      <w:pPr>
        <w:spacing w:after="0" w:line="170" w:lineRule="exact"/>
        <w:rPr>
          <w:rFonts w:ascii="Arial" w:cs="Arial" w:eastAsia="Arial" w:hAnsi="Arial"/>
          <w:sz w:val="18"/>
          <w:szCs w:val="18"/>
          <w:color w:val="auto"/>
        </w:rPr>
      </w:pPr>
    </w:p>
    <w:p>
      <w:pPr>
        <w:ind w:right="240" w:firstLine="8"/>
        <w:spacing w:after="0" w:line="308" w:lineRule="auto"/>
        <w:tabs>
          <w:tab w:leader="none" w:pos="244"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Discretion</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6" w:lineRule="exact"/>
        <w:rPr>
          <w:rFonts w:ascii="Arial" w:cs="Arial" w:eastAsia="Arial" w:hAnsi="Arial"/>
          <w:sz w:val="17"/>
          <w:szCs w:val="17"/>
          <w:color w:val="auto"/>
        </w:rPr>
      </w:pPr>
    </w:p>
    <w:p>
      <w:pPr>
        <w:jc w:val="both"/>
        <w:ind w:right="480" w:firstLine="8"/>
        <w:spacing w:after="0" w:line="311" w:lineRule="auto"/>
        <w:tabs>
          <w:tab w:leader="none" w:pos="25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i w:val="1"/>
          <w:iCs w:val="1"/>
          <w:color w:val="auto"/>
        </w:rPr>
        <w:t>.</w:t>
      </w:r>
      <w:r>
        <w:rPr>
          <w:rFonts w:ascii="Arial" w:cs="Arial" w:eastAsia="Arial" w:hAnsi="Arial"/>
          <w:sz w:val="16"/>
          <w:szCs w:val="16"/>
          <w:color w:val="auto"/>
        </w:rPr>
        <w:t xml:space="preserve">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48" w:lineRule="exact"/>
        <w:rPr>
          <w:rFonts w:ascii="Arial" w:cs="Arial" w:eastAsia="Arial" w:hAnsi="Arial"/>
          <w:sz w:val="16"/>
          <w:szCs w:val="16"/>
          <w:color w:val="auto"/>
        </w:rPr>
      </w:pPr>
    </w:p>
    <w:p>
      <w:pPr>
        <w:ind w:right="100" w:firstLine="8"/>
        <w:spacing w:after="0" w:line="277" w:lineRule="auto"/>
        <w:tabs>
          <w:tab w:leader="none" w:pos="24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i w:val="1"/>
          <w:iCs w:val="1"/>
          <w:color w:val="auto"/>
        </w:rPr>
        <w:t>.</w:t>
      </w:r>
      <w:r>
        <w:rPr>
          <w:rFonts w:ascii="Arial" w:cs="Arial" w:eastAsia="Arial" w:hAnsi="Arial"/>
          <w:sz w:val="18"/>
          <w:szCs w:val="18"/>
          <w:color w:val="auto"/>
        </w:rPr>
        <w:t xml:space="preserve"> Each Participant must pay the Company, or make provision satisfactory to the Administrator for payment of, any taxes required by law to be withheld in connection with such</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Participant’s Awards by the date of the event creating the tax liability. The Company may deduct an amount sufficient to satisfy such tax obligations based on the minimum statutory withholding rates from any payment of any kind otherwise due to a Participant. Participants may satisfy such tax obligations in cash, by wire transfer of immediately available funds, by check made payable to the order of the Company, or subject to Section X(h) and any Company insider trading policy (including blackout periods), (i) to the extent permitted by the Administrator, in whole or in part by delivery of Shares, including Shares retained from the Award creating the tax obligation, valued at their Fair Market Value, (ii) if there is a public market for Shares at the time the tax obligations are satisfied, unless the Administrator otherwise determines, (A) delivery (including telephonically to the extent permitted by the Company) of an irrevocable and unconditional undertaking by a broker acceptable to the Company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right="40"/>
        <w:spacing w:after="0" w:line="270" w:lineRule="auto"/>
        <w:rPr>
          <w:sz w:val="20"/>
          <w:szCs w:val="20"/>
          <w:color w:val="auto"/>
        </w:rPr>
      </w:pPr>
      <w:r>
        <w:rPr>
          <w:rFonts w:ascii="Arial" w:cs="Arial" w:eastAsia="Arial" w:hAnsi="Arial"/>
          <w:sz w:val="17"/>
          <w:szCs w:val="17"/>
          <w:color w:val="auto"/>
        </w:rPr>
        <w:t>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(iii) any combination of the foregoing permitted payment forms (including cash, wire transfer or check). If any tax withholding obligation will be satisfied under clause (i)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1" w:lineRule="exact"/>
        <w:rPr>
          <w:sz w:val="20"/>
          <w:szCs w:val="20"/>
          <w:color w:val="auto"/>
        </w:rPr>
      </w:pPr>
    </w:p>
    <w:p>
      <w:pPr>
        <w:ind w:right="40" w:firstLine="8"/>
        <w:spacing w:after="0" w:line="254" w:lineRule="auto"/>
        <w:tabs>
          <w:tab w:leader="none" w:pos="22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Amendment of Award; Repricing</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Section VIII or pursuant to Section X(f).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91" w:lineRule="exact"/>
        <w:rPr>
          <w:rFonts w:ascii="Arial" w:cs="Arial" w:eastAsia="Arial" w:hAnsi="Arial"/>
          <w:sz w:val="18"/>
          <w:szCs w:val="18"/>
          <w:color w:val="auto"/>
        </w:rPr>
      </w:pPr>
    </w:p>
    <w:p>
      <w:pPr>
        <w:ind w:firstLine="8"/>
        <w:spacing w:after="0" w:line="272" w:lineRule="auto"/>
        <w:tabs>
          <w:tab w:leader="none" w:pos="255"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Conditions on Delivery of Stock</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7" w:lineRule="exact"/>
        <w:rPr>
          <w:rFonts w:ascii="Arial" w:cs="Arial" w:eastAsia="Arial" w:hAnsi="Arial"/>
          <w:sz w:val="17"/>
          <w:szCs w:val="17"/>
          <w:color w:val="auto"/>
        </w:rPr>
      </w:pPr>
    </w:p>
    <w:p>
      <w:pPr>
        <w:ind w:right="380" w:firstLine="8"/>
        <w:spacing w:after="0" w:line="277"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at any time provide that any Award will become immediately vested and fully or partially exercisable, free of some or all restrictions or conditions, or otherwise fully or partially realizable.</w:t>
      </w:r>
    </w:p>
    <w:p>
      <w:pPr>
        <w:spacing w:after="0" w:line="170" w:lineRule="exact"/>
        <w:rPr>
          <w:rFonts w:ascii="Arial" w:cs="Arial" w:eastAsia="Arial" w:hAnsi="Arial"/>
          <w:sz w:val="18"/>
          <w:szCs w:val="18"/>
          <w:color w:val="auto"/>
        </w:rPr>
      </w:pPr>
    </w:p>
    <w:p>
      <w:pPr>
        <w:ind w:firstLine="8"/>
        <w:spacing w:after="0" w:line="287" w:lineRule="auto"/>
        <w:tabs>
          <w:tab w:leader="none" w:pos="21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Additional Terms of Incentive Stock Options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ind w:left="580" w:hanging="572"/>
        <w:spacing w:after="0"/>
        <w:tabs>
          <w:tab w:leader="none" w:pos="5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40" w:firstLine="8"/>
        <w:spacing w:after="0" w:line="259" w:lineRule="auto"/>
        <w:tabs>
          <w:tab w:leader="none" w:pos="24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i w:val="1"/>
          <w:iCs w:val="1"/>
          <w:color w:val="auto"/>
        </w:rPr>
        <w:t>.</w:t>
      </w:r>
      <w:r>
        <w:rPr>
          <w:rFonts w:ascii="Arial" w:cs="Arial" w:eastAsia="Arial" w:hAnsi="Arial"/>
          <w:sz w:val="18"/>
          <w:szCs w:val="18"/>
          <w:color w:val="auto"/>
        </w:rPr>
        <w:t xml:space="preserve">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86"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92" w:lineRule="exact"/>
        <w:rPr>
          <w:rFonts w:ascii="Arial" w:cs="Arial" w:eastAsia="Arial" w:hAnsi="Arial"/>
          <w:sz w:val="18"/>
          <w:szCs w:val="18"/>
          <w:color w:val="auto"/>
        </w:rPr>
      </w:pPr>
    </w:p>
    <w:p>
      <w:pPr>
        <w:ind w:right="60" w:firstLine="8"/>
        <w:spacing w:after="0" w:line="293" w:lineRule="auto"/>
        <w:tabs>
          <w:tab w:leader="none" w:pos="244"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Effective Date and Term of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will become effective on the day prior to the Public Trading Date and will remain in effect until the tenth anniversary of such date, unless earlier terminated by the Board. No Awards may be granted under the Plan during any suspension period or after Plan termination. Notwithstanding anything in the Plan to the contrary, an Incentive Stock Option may not be granted under the Plan after ten years from the earlier of (i) the date the Board adopted the Plan or (ii) the date the Company’s stockholders approved the Plan, but Awards previously granted may extend beyond that date in accordance with the Plan. If the Plan is not approved by the Company’s stockholders, (i) it will not become effective, (ii) no Awards shall be granted thereunder, and (iii) the Prior Plans will continue in full force and effect in accordance with their terms.</w:t>
      </w:r>
    </w:p>
    <w:p>
      <w:pPr>
        <w:spacing w:after="0" w:line="164" w:lineRule="exact"/>
        <w:rPr>
          <w:rFonts w:ascii="Arial" w:cs="Arial" w:eastAsia="Arial" w:hAnsi="Arial"/>
          <w:sz w:val="16"/>
          <w:szCs w:val="16"/>
          <w:color w:val="auto"/>
        </w:rPr>
      </w:pPr>
    </w:p>
    <w:p>
      <w:pPr>
        <w:ind w:right="140" w:firstLine="8"/>
        <w:spacing w:after="0" w:line="257"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7" w:lineRule="exact"/>
        <w:rPr>
          <w:rFonts w:ascii="Arial" w:cs="Arial" w:eastAsia="Arial" w:hAnsi="Arial"/>
          <w:sz w:val="18"/>
          <w:szCs w:val="18"/>
          <w:color w:val="auto"/>
        </w:rPr>
      </w:pPr>
    </w:p>
    <w:p>
      <w:pPr>
        <w:jc w:val="both"/>
        <w:ind w:right="200" w:firstLine="8"/>
        <w:spacing w:after="0" w:line="263" w:lineRule="auto"/>
        <w:tabs>
          <w:tab w:leader="none" w:pos="24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3" w:lineRule="exact"/>
        <w:rPr>
          <w:rFonts w:ascii="Arial" w:cs="Arial" w:eastAsia="Arial" w:hAnsi="Arial"/>
          <w:sz w:val="18"/>
          <w:szCs w:val="18"/>
          <w:color w:val="auto"/>
        </w:rPr>
      </w:pPr>
    </w:p>
    <w:p>
      <w:pPr>
        <w:ind w:left="240" w:hanging="232"/>
        <w:spacing w:after="0"/>
        <w:tabs>
          <w:tab w:leader="none" w:pos="2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i w:val="1"/>
          <w:iCs w:val="1"/>
          <w:color w:val="auto"/>
        </w:rPr>
        <w:t>.</w:t>
      </w:r>
    </w:p>
    <w:p>
      <w:pPr>
        <w:spacing w:after="0" w:line="225" w:lineRule="exact"/>
        <w:rPr>
          <w:sz w:val="20"/>
          <w:szCs w:val="20"/>
          <w:color w:val="auto"/>
        </w:rPr>
      </w:pPr>
    </w:p>
    <w:p>
      <w:pPr>
        <w:ind w:right="40" w:firstLine="8"/>
        <w:spacing w:after="0" w:line="286" w:lineRule="auto"/>
        <w:tabs>
          <w:tab w:leader="none" w:pos="215"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Company intends that all Awards be structured to comply with, or be exempt from, Section 409A, such that no adverse tax consequences,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spacing w:after="0" w:line="1"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X(f)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2" w:lineRule="exact"/>
        <w:rPr>
          <w:rFonts w:ascii="Arial" w:cs="Arial" w:eastAsia="Arial" w:hAnsi="Arial"/>
          <w:sz w:val="16"/>
          <w:szCs w:val="16"/>
          <w:color w:val="auto"/>
        </w:rPr>
      </w:pPr>
    </w:p>
    <w:p>
      <w:pPr>
        <w:jc w:val="both"/>
        <w:ind w:right="80" w:firstLine="8"/>
        <w:spacing w:after="0" w:line="275" w:lineRule="auto"/>
        <w:tabs>
          <w:tab w:leader="none" w:pos="265"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Separation from Service. </w:t>
      </w:r>
      <w:r>
        <w:rPr>
          <w:rFonts w:ascii="Arial" w:cs="Arial" w:eastAsia="Arial" w:hAnsi="Arial"/>
          <w:sz w:val="17"/>
          <w:szCs w:val="17"/>
          <w:color w:val="auto"/>
        </w:rPr>
        <w:t>If an Award constitutes “nonqualified deferred compensation” under Section 409A, any payment or settlement of such Award</w:t>
      </w:r>
      <w:r>
        <w:rPr>
          <w:rFonts w:ascii="Arial" w:cs="Arial" w:eastAsia="Arial" w:hAnsi="Arial"/>
          <w:sz w:val="17"/>
          <w:szCs w:val="17"/>
          <w:i w:val="1"/>
          <w:iCs w:val="1"/>
          <w:color w:val="auto"/>
        </w:rPr>
        <w:t xml:space="preserve"> </w:t>
      </w:r>
      <w:r>
        <w:rPr>
          <w:rFonts w:ascii="Arial" w:cs="Arial" w:eastAsia="Arial" w:hAnsi="Arial"/>
          <w:sz w:val="17"/>
          <w:szCs w:val="17"/>
          <w:color w:val="auto"/>
        </w:rPr>
        <w:t>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2" w:name="page143"/>
    <w:bookmarkEnd w:id="142"/>
    <w:p>
      <w:pPr>
        <w:ind w:left="-8" w:right="60" w:firstLine="8"/>
        <w:spacing w:after="0" w:line="291" w:lineRule="auto"/>
        <w:tabs>
          <w:tab w:leader="none" w:pos="307"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Payments to Specified Employees. </w:t>
      </w:r>
      <w:r>
        <w:rPr>
          <w:rFonts w:ascii="Arial" w:cs="Arial" w:eastAsia="Arial" w:hAnsi="Arial"/>
          <w:sz w:val="16"/>
          <w:szCs w:val="16"/>
          <w:color w:val="auto"/>
        </w:rPr>
        <w:t>Notwithstanding any contrary provision in the Plan or any Award Agreement, any payment(s) of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6" w:lineRule="exact"/>
        <w:rPr>
          <w:sz w:val="20"/>
          <w:szCs w:val="20"/>
          <w:color w:val="auto"/>
        </w:rPr>
      </w:pPr>
    </w:p>
    <w:p>
      <w:pPr>
        <w:ind w:left="-8" w:firstLine="8"/>
        <w:spacing w:after="0" w:line="271" w:lineRule="auto"/>
        <w:tabs>
          <w:tab w:leader="none" w:pos="247"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Limitations on Liability</w:t>
      </w:r>
      <w:r>
        <w:rPr>
          <w:rFonts w:ascii="Arial" w:cs="Arial" w:eastAsia="Arial" w:hAnsi="Arial"/>
          <w:sz w:val="17"/>
          <w:szCs w:val="17"/>
          <w:i w:val="1"/>
          <w:iCs w:val="1"/>
          <w:color w:val="auto"/>
        </w:rPr>
        <w:t>.</w:t>
      </w:r>
      <w:r>
        <w:rPr>
          <w:rFonts w:ascii="Arial" w:cs="Arial" w:eastAsia="Arial" w:hAnsi="Arial"/>
          <w:sz w:val="17"/>
          <w:szCs w:val="17"/>
          <w:color w:val="auto"/>
        </w:rPr>
        <w:t xml:space="preserve">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rFonts w:ascii="Arial" w:cs="Arial" w:eastAsia="Arial" w:hAnsi="Arial"/>
          <w:sz w:val="17"/>
          <w:szCs w:val="17"/>
          <w:color w:val="auto"/>
        </w:rPr>
      </w:pPr>
    </w:p>
    <w:p>
      <w:pPr>
        <w:ind w:left="-8" w:right="280" w:firstLine="8"/>
        <w:spacing w:after="0" w:line="259" w:lineRule="auto"/>
        <w:tabs>
          <w:tab w:leader="none" w:pos="24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Lock-Up Period</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86" w:lineRule="exact"/>
        <w:rPr>
          <w:rFonts w:ascii="Arial" w:cs="Arial" w:eastAsia="Arial" w:hAnsi="Arial"/>
          <w:sz w:val="18"/>
          <w:szCs w:val="18"/>
          <w:color w:val="auto"/>
        </w:rPr>
      </w:pPr>
    </w:p>
    <w:p>
      <w:pPr>
        <w:ind w:left="-8" w:firstLine="8"/>
        <w:spacing w:after="0" w:line="285" w:lineRule="auto"/>
        <w:tabs>
          <w:tab w:leader="none" w:pos="20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paragraph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X(i)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X(i). For more information on the consequences of refusing or withdrawing consent, Participants may contact their local human resources representative.</w:t>
      </w:r>
    </w:p>
    <w:p>
      <w:pPr>
        <w:spacing w:after="0" w:line="171" w:lineRule="exact"/>
        <w:rPr>
          <w:rFonts w:ascii="Arial" w:cs="Arial" w:eastAsia="Arial" w:hAnsi="Arial"/>
          <w:sz w:val="16"/>
          <w:szCs w:val="16"/>
          <w:color w:val="auto"/>
        </w:rPr>
      </w:pPr>
    </w:p>
    <w:p>
      <w:pPr>
        <w:jc w:val="both"/>
        <w:ind w:left="-8" w:right="140" w:firstLine="8"/>
        <w:spacing w:after="0" w:line="263" w:lineRule="auto"/>
        <w:tabs>
          <w:tab w:leader="none" w:pos="20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557" w:right="359" w:bottom="1440" w:gutter="0" w:footer="0" w:header="0"/>
        </w:sectPr>
      </w:pPr>
    </w:p>
    <w:bookmarkStart w:id="143" w:name="page144"/>
    <w:bookmarkEnd w:id="143"/>
    <w:p>
      <w:pPr>
        <w:jc w:val="both"/>
        <w:ind w:right="160" w:firstLine="8"/>
        <w:spacing w:after="0" w:line="263"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Documents</w:t>
      </w:r>
      <w:r>
        <w:rPr>
          <w:rFonts w:ascii="Arial" w:cs="Arial" w:eastAsia="Arial" w:hAnsi="Arial"/>
          <w:sz w:val="18"/>
          <w:szCs w:val="18"/>
          <w:i w:val="1"/>
          <w:iCs w:val="1"/>
          <w:color w:val="auto"/>
        </w:rPr>
        <w:t>.</w:t>
      </w:r>
      <w:r>
        <w:rPr>
          <w:rFonts w:ascii="Arial" w:cs="Arial" w:eastAsia="Arial" w:hAnsi="Arial"/>
          <w:sz w:val="18"/>
          <w:szCs w:val="18"/>
          <w:color w:val="auto"/>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83" w:lineRule="exact"/>
        <w:rPr>
          <w:rFonts w:ascii="Arial" w:cs="Arial" w:eastAsia="Arial" w:hAnsi="Arial"/>
          <w:sz w:val="18"/>
          <w:szCs w:val="18"/>
          <w:color w:val="auto"/>
        </w:rPr>
      </w:pPr>
    </w:p>
    <w:p>
      <w:pPr>
        <w:ind w:right="240" w:firstLine="8"/>
        <w:spacing w:after="0" w:line="277" w:lineRule="auto"/>
        <w:tabs>
          <w:tab w:leader="none" w:pos="21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70" w:lineRule="exact"/>
        <w:rPr>
          <w:rFonts w:ascii="Arial" w:cs="Arial" w:eastAsia="Arial" w:hAnsi="Arial"/>
          <w:sz w:val="18"/>
          <w:szCs w:val="18"/>
          <w:color w:val="auto"/>
        </w:rPr>
      </w:pPr>
    </w:p>
    <w:p>
      <w:pPr>
        <w:ind w:right="20" w:firstLine="8"/>
        <w:spacing w:after="0" w:line="279" w:lineRule="auto"/>
        <w:tabs>
          <w:tab w:leader="none" w:pos="305"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Claw-back Provisions</w:t>
      </w:r>
      <w:r>
        <w:rPr>
          <w:rFonts w:ascii="Arial" w:cs="Arial" w:eastAsia="Arial" w:hAnsi="Arial"/>
          <w:sz w:val="17"/>
          <w:szCs w:val="17"/>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71" w:lineRule="exact"/>
        <w:rPr>
          <w:rFonts w:ascii="Arial" w:cs="Arial" w:eastAsia="Arial" w:hAnsi="Arial"/>
          <w:sz w:val="17"/>
          <w:szCs w:val="17"/>
          <w:color w:val="auto"/>
        </w:rPr>
      </w:pPr>
    </w:p>
    <w:p>
      <w:pPr>
        <w:ind w:right="40" w:firstLine="8"/>
        <w:spacing w:after="0" w:line="277"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rFonts w:ascii="Arial" w:cs="Arial" w:eastAsia="Arial" w:hAnsi="Arial"/>
          <w:sz w:val="18"/>
          <w:szCs w:val="18"/>
          <w:color w:val="auto"/>
        </w:rPr>
      </w:pPr>
    </w:p>
    <w:p>
      <w:pPr>
        <w:ind w:right="220" w:firstLine="8"/>
        <w:spacing w:after="0" w:line="286"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65" w:lineRule="exact"/>
        <w:rPr>
          <w:rFonts w:ascii="Arial" w:cs="Arial" w:eastAsia="Arial" w:hAnsi="Arial"/>
          <w:sz w:val="17"/>
          <w:szCs w:val="17"/>
          <w:color w:val="auto"/>
        </w:rPr>
      </w:pPr>
    </w:p>
    <w:p>
      <w:pPr>
        <w:ind w:left="260" w:hanging="252"/>
        <w:spacing w:after="0"/>
        <w:tabs>
          <w:tab w:leader="none" w:pos="26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Relationship to Other Benefits</w:t>
      </w:r>
      <w:r>
        <w:rPr>
          <w:rFonts w:ascii="Arial" w:cs="Arial" w:eastAsia="Arial" w:hAnsi="Arial"/>
          <w:sz w:val="17"/>
          <w:szCs w:val="17"/>
          <w:color w:val="auto"/>
        </w:rPr>
        <w:t>. No payment under the Plan will be taken into account in determining any benefits under any pension, retirement,</w:t>
      </w:r>
    </w:p>
    <w:p>
      <w:pPr>
        <w:spacing w:after="0" w:line="34" w:lineRule="exact"/>
        <w:rPr>
          <w:rFonts w:ascii="Arial" w:cs="Arial" w:eastAsia="Arial" w:hAnsi="Arial"/>
          <w:sz w:val="17"/>
          <w:szCs w:val="17"/>
          <w:color w:val="auto"/>
        </w:rPr>
      </w:pPr>
    </w:p>
    <w:p>
      <w:pPr>
        <w:ind w:right="240"/>
        <w:spacing w:after="0" w:line="260" w:lineRule="auto"/>
        <w:rPr>
          <w:rFonts w:ascii="Arial" w:cs="Arial" w:eastAsia="Arial" w:hAnsi="Arial"/>
          <w:sz w:val="17"/>
          <w:szCs w:val="17"/>
          <w:color w:val="auto"/>
        </w:rPr>
      </w:pPr>
      <w:r>
        <w:rPr>
          <w:rFonts w:ascii="Arial" w:cs="Arial" w:eastAsia="Arial" w:hAnsi="Arial"/>
          <w:sz w:val="18"/>
          <w:szCs w:val="18"/>
          <w:color w:val="auto"/>
        </w:rPr>
        <w:t>savings, profit sharing, group insurance, welfare or other benefit plan of the Company or any Subsidiary except as expressly provided in writing in such other plan or an agreement thereunder.</w:t>
      </w:r>
    </w:p>
    <w:p>
      <w:pPr>
        <w:spacing w:after="0" w:line="185" w:lineRule="exact"/>
        <w:rPr>
          <w:rFonts w:ascii="Arial" w:cs="Arial" w:eastAsia="Arial" w:hAnsi="Arial"/>
          <w:sz w:val="17"/>
          <w:szCs w:val="17"/>
          <w:color w:val="auto"/>
        </w:rPr>
      </w:pPr>
    </w:p>
    <w:p>
      <w:pPr>
        <w:ind w:firstLine="8"/>
        <w:spacing w:after="0" w:line="269"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Broker-Assisted Sales</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a broker-assisted sale of Shares in connection with the payment of amounts owed by a Participant under or with respect to the Plan or Awards, including amounts to be paid under the final sentence of Section IX(e):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225" w:lineRule="exact"/>
        <w:rPr>
          <w:sz w:val="20"/>
          <w:szCs w:val="20"/>
          <w:color w:val="auto"/>
        </w:rPr>
      </w:pPr>
    </w:p>
    <w:p>
      <w:pPr>
        <w:ind w:right="580" w:firstLine="8"/>
        <w:spacing w:after="0" w:line="277"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70" w:lineRule="exact"/>
        <w:rPr>
          <w:rFonts w:ascii="Arial" w:cs="Arial" w:eastAsia="Arial" w:hAnsi="Arial"/>
          <w:sz w:val="18"/>
          <w:szCs w:val="18"/>
          <w:color w:val="auto"/>
        </w:rPr>
      </w:pPr>
    </w:p>
    <w:p>
      <w:pPr>
        <w:jc w:val="both"/>
        <w:ind w:right="40" w:firstLine="8"/>
        <w:spacing w:after="0" w:line="263"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83"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or Other Stock or Cash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44" w:name="page145"/>
    <w:bookmarkEnd w:id="144"/>
    <w:p>
      <w:pPr>
        <w:ind w:right="620" w:firstLine="8"/>
        <w:spacing w:after="0" w:line="277"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25" w:lineRule="exact"/>
        <w:rPr>
          <w:sz w:val="20"/>
          <w:szCs w:val="20"/>
          <w:color w:val="auto"/>
        </w:rPr>
      </w:pPr>
    </w:p>
    <w:p>
      <w:pPr>
        <w:ind w:firstLine="8"/>
        <w:spacing w:after="0" w:line="272" w:lineRule="auto"/>
        <w:tabs>
          <w:tab w:leader="none" w:pos="2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(A) and (B) of subsection (iii)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7" w:lineRule="exact"/>
        <w:rPr>
          <w:rFonts w:ascii="Arial" w:cs="Arial" w:eastAsia="Arial" w:hAnsi="Arial"/>
          <w:sz w:val="17"/>
          <w:szCs w:val="17"/>
          <w:color w:val="auto"/>
        </w:rPr>
      </w:pPr>
    </w:p>
    <w:p>
      <w:pPr>
        <w:jc w:val="both"/>
        <w:ind w:right="120" w:firstLine="8"/>
        <w:spacing w:after="0" w:line="291" w:lineRule="auto"/>
        <w:tabs>
          <w:tab w:leader="none" w:pos="26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w:t>
      </w:r>
    </w:p>
    <w:p>
      <w:pPr>
        <w:ind w:right="20" w:firstLine="8"/>
        <w:spacing w:after="0" w:line="255" w:lineRule="auto"/>
        <w:tabs>
          <w:tab w:leader="none" w:pos="2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or (iii))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9" w:lineRule="exact"/>
        <w:rPr>
          <w:rFonts w:ascii="Arial" w:cs="Arial" w:eastAsia="Arial" w:hAnsi="Arial"/>
          <w:sz w:val="18"/>
          <w:szCs w:val="18"/>
          <w:color w:val="auto"/>
        </w:rPr>
      </w:pPr>
    </w:p>
    <w:p>
      <w:pPr>
        <w:ind w:right="20" w:firstLine="8"/>
        <w:spacing w:after="0" w:line="259" w:lineRule="auto"/>
        <w:tabs>
          <w:tab w:leader="none" w:pos="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9" w:lineRule="exact"/>
        <w:rPr>
          <w:sz w:val="20"/>
          <w:szCs w:val="20"/>
          <w:color w:val="auto"/>
        </w:rPr>
      </w:pPr>
    </w:p>
    <w:p>
      <w:pPr>
        <w:ind w:firstLine="8"/>
        <w:spacing w:after="0" w:line="257" w:lineRule="auto"/>
        <w:tabs>
          <w:tab w:leader="none" w:pos="2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87" w:lineRule="exact"/>
        <w:rPr>
          <w:rFonts w:ascii="Arial" w:cs="Arial" w:eastAsia="Arial" w:hAnsi="Arial"/>
          <w:sz w:val="18"/>
          <w:szCs w:val="18"/>
          <w:color w:val="auto"/>
        </w:rPr>
      </w:pPr>
    </w:p>
    <w:p>
      <w:pPr>
        <w:ind w:right="200" w:firstLine="8"/>
        <w:spacing w:after="0" w:line="311" w:lineRule="auto"/>
        <w:tabs>
          <w:tab w:leader="none" w:pos="28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after which no person or group beneficially owns voting securities representing 50% or more of the combined voting power of the Successor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person or group shall be treated for purposes of this clause (B) as beneficially owning 50% or more of the combined voting power of the Successor Entity solely as a result of the voting power held in the Company prior to the consummation of the transaction.</w:t>
      </w:r>
    </w:p>
    <w:p>
      <w:pPr>
        <w:spacing w:after="0" w:line="1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(i), (ii) or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45" w:name="page146"/>
    <w:bookmarkEnd w:id="145"/>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225" w:lineRule="exact"/>
        <w:rPr>
          <w:rFonts w:ascii="Arial" w:cs="Arial" w:eastAsia="Arial" w:hAnsi="Arial"/>
          <w:sz w:val="18"/>
          <w:szCs w:val="18"/>
          <w:color w:val="auto"/>
        </w:rPr>
      </w:pPr>
    </w:p>
    <w:p>
      <w:pPr>
        <w:ind w:firstLine="8"/>
        <w:spacing w:after="0" w:line="257"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87" w:lineRule="exact"/>
        <w:rPr>
          <w:rFonts w:ascii="Arial" w:cs="Arial" w:eastAsia="Arial" w:hAnsi="Arial"/>
          <w:sz w:val="18"/>
          <w:szCs w:val="18"/>
          <w:color w:val="auto"/>
        </w:rPr>
      </w:pPr>
    </w:p>
    <w:p>
      <w:pPr>
        <w:ind w:left="220" w:hanging="212"/>
        <w:spacing w:after="0"/>
        <w:tabs>
          <w:tab w:leader="none" w:pos="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Seres Therapeutics, Inc., a Delaware corporation, or any successor.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any adviser, engaged by the Company or its parent or Subsidiary to render services to such entity if the</w:t>
      </w:r>
    </w:p>
    <w:p>
      <w:pPr>
        <w:spacing w:after="0" w:line="46" w:lineRule="exact"/>
        <w:rPr>
          <w:rFonts w:ascii="Arial" w:cs="Arial" w:eastAsia="Arial" w:hAnsi="Arial"/>
          <w:sz w:val="16"/>
          <w:szCs w:val="16"/>
          <w:color w:val="auto"/>
        </w:rPr>
      </w:pP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consultant or adviser: (i) renders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38" w:lineRule="exact"/>
        <w:rPr>
          <w:rFonts w:ascii="Arial" w:cs="Arial" w:eastAsia="Arial" w:hAnsi="Arial"/>
          <w:sz w:val="16"/>
          <w:szCs w:val="16"/>
          <w:color w:val="auto"/>
        </w:rPr>
      </w:pPr>
    </w:p>
    <w:p>
      <w:pPr>
        <w:ind w:right="120" w:firstLine="8"/>
        <w:spacing w:after="0" w:line="263"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3"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under Section 22(e)(3) of the Code, as amended.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its Subsidiaries.</w:t>
      </w:r>
    </w:p>
    <w:p>
      <w:pPr>
        <w:spacing w:after="0" w:line="225" w:lineRule="exact"/>
        <w:rPr>
          <w:rFonts w:ascii="Arial" w:cs="Arial" w:eastAsia="Arial" w:hAnsi="Arial"/>
          <w:sz w:val="18"/>
          <w:szCs w:val="18"/>
          <w:color w:val="auto"/>
        </w:rPr>
      </w:pPr>
    </w:p>
    <w:p>
      <w:pPr>
        <w:ind w:right="120" w:firstLine="8"/>
        <w:spacing w:after="0" w:line="311" w:lineRule="auto"/>
        <w:tabs>
          <w:tab w:leader="none" w:pos="2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Restructuring</w:t>
      </w:r>
      <w:r>
        <w:rPr>
          <w:rFonts w:ascii="Arial" w:cs="Arial" w:eastAsia="Arial" w:hAnsi="Arial"/>
          <w:sz w:val="16"/>
          <w:szCs w:val="16"/>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48" w:lineRule="exact"/>
        <w:rPr>
          <w:rFonts w:ascii="Arial" w:cs="Arial" w:eastAsia="Arial" w:hAnsi="Arial"/>
          <w:sz w:val="16"/>
          <w:szCs w:val="16"/>
          <w:color w:val="auto"/>
        </w:rPr>
      </w:pPr>
    </w:p>
    <w:p>
      <w:pPr>
        <w:ind w:left="240" w:hanging="232"/>
        <w:spacing w:after="0"/>
        <w:tabs>
          <w:tab w:leader="none" w:pos="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20" w:firstLine="8"/>
        <w:spacing w:after="0" w:line="254" w:lineRule="auto"/>
        <w:tabs>
          <w:tab w:leader="none" w:pos="2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or another source the Administrator deems reliable; or (iii) without an established market for the Common Stock,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will determine the Fair Market Value in its discretion.</w:t>
      </w:r>
    </w:p>
    <w:p>
      <w:pPr>
        <w:spacing w:after="0" w:line="194" w:lineRule="exact"/>
        <w:rPr>
          <w:rFonts w:ascii="Arial" w:cs="Arial" w:eastAsia="Arial" w:hAnsi="Arial"/>
          <w:sz w:val="18"/>
          <w:szCs w:val="18"/>
          <w:color w:val="auto"/>
        </w:rPr>
      </w:pPr>
    </w:p>
    <w:p>
      <w:pPr>
        <w:jc w:val="both"/>
        <w:ind w:right="380" w:firstLine="8"/>
        <w:spacing w:after="0" w:line="263"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6" w:name="page147"/>
    <w:bookmarkEnd w:id="146"/>
    <w:p>
      <w:pPr>
        <w:ind w:left="252" w:hanging="252"/>
        <w:spacing w:after="0"/>
        <w:tabs>
          <w:tab w:leader="none" w:pos="2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 Code.</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not intended or not qualifying as an Incentive Stock Option.</w:t>
      </w:r>
    </w:p>
    <w:p>
      <w:pPr>
        <w:spacing w:after="0" w:line="225" w:lineRule="exact"/>
        <w:rPr>
          <w:rFonts w:ascii="Arial" w:cs="Arial" w:eastAsia="Arial" w:hAnsi="Arial"/>
          <w:sz w:val="18"/>
          <w:szCs w:val="18"/>
          <w:color w:val="auto"/>
        </w:rPr>
      </w:pPr>
    </w:p>
    <w:p>
      <w:pPr>
        <w:ind w:left="292" w:hanging="292"/>
        <w:spacing w:after="0"/>
        <w:tabs>
          <w:tab w:leader="none" w:pos="2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w:t>
      </w:r>
    </w:p>
    <w:p>
      <w:pPr>
        <w:spacing w:after="0" w:line="225" w:lineRule="exact"/>
        <w:rPr>
          <w:rFonts w:ascii="Arial" w:cs="Arial" w:eastAsia="Arial" w:hAnsi="Arial"/>
          <w:sz w:val="18"/>
          <w:szCs w:val="18"/>
          <w:color w:val="auto"/>
        </w:rPr>
      </w:pPr>
    </w:p>
    <w:p>
      <w:pPr>
        <w:ind w:left="-8" w:right="640" w:firstLine="8"/>
        <w:spacing w:after="0" w:line="277" w:lineRule="auto"/>
        <w:tabs>
          <w:tab w:leader="none" w:pos="2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w:t>
      </w:r>
    </w:p>
    <w:p>
      <w:pPr>
        <w:spacing w:after="0" w:line="170" w:lineRule="exact"/>
        <w:rPr>
          <w:rFonts w:ascii="Arial" w:cs="Arial" w:eastAsia="Arial" w:hAnsi="Arial"/>
          <w:sz w:val="18"/>
          <w:szCs w:val="18"/>
          <w:color w:val="auto"/>
        </w:rPr>
      </w:pPr>
    </w:p>
    <w:p>
      <w:pPr>
        <w:jc w:val="both"/>
        <w:ind w:left="-8" w:right="40" w:firstLine="8"/>
        <w:spacing w:after="0" w:line="279" w:lineRule="auto"/>
        <w:tabs>
          <w:tab w:leader="none" w:pos="24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Overall Share Limit</w:t>
      </w:r>
      <w:r>
        <w:rPr>
          <w:rFonts w:ascii="Arial" w:cs="Arial" w:eastAsia="Arial" w:hAnsi="Arial"/>
          <w:sz w:val="17"/>
          <w:szCs w:val="17"/>
          <w:color w:val="auto"/>
        </w:rPr>
        <w:t>” means the sum of (i) 2,200,000 Shares; (ii) any shares of Common Stock which are subject to Prior Plan Awards which become available for issuance under the Plan pursuant to Section IV(b) and (iii) an annual increase on the first day of each calendar year beginning January 1, 2016 and ending on and including January 1, 2025, equal to the lesser of (A) 4% of the aggregate number of shares of Common Stock outstanding on the final day of the immediately preceding calendar year and (B) such smaller number of Shares as is determined by the Board.</w:t>
      </w:r>
    </w:p>
    <w:p>
      <w:pPr>
        <w:spacing w:after="0" w:line="171" w:lineRule="exact"/>
        <w:rPr>
          <w:rFonts w:ascii="Arial" w:cs="Arial" w:eastAsia="Arial" w:hAnsi="Arial"/>
          <w:sz w:val="17"/>
          <w:szCs w:val="17"/>
          <w:color w:val="auto"/>
        </w:rPr>
      </w:pPr>
    </w:p>
    <w:p>
      <w:pPr>
        <w:ind w:left="252" w:hanging="252"/>
        <w:spacing w:after="0"/>
        <w:tabs>
          <w:tab w:leader="none" w:pos="2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225" w:lineRule="exact"/>
        <w:rPr>
          <w:sz w:val="20"/>
          <w:szCs w:val="20"/>
          <w:color w:val="auto"/>
        </w:rPr>
      </w:pPr>
    </w:p>
    <w:p>
      <w:pPr>
        <w:ind w:left="-8" w:firstLine="8"/>
        <w:spacing w:after="0" w:line="286" w:lineRule="auto"/>
        <w:tabs>
          <w:tab w:leader="none" w:pos="31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67" w:lineRule="exact"/>
        <w:rPr>
          <w:rFonts w:ascii="Arial" w:cs="Arial" w:eastAsia="Arial" w:hAnsi="Arial"/>
          <w:sz w:val="16"/>
          <w:szCs w:val="16"/>
          <w:color w:val="auto"/>
        </w:rPr>
      </w:pPr>
    </w:p>
    <w:p>
      <w:pPr>
        <w:ind w:left="352" w:hanging="352"/>
        <w:spacing w:after="0"/>
        <w:tabs>
          <w:tab w:leader="none" w:pos="3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2015 Incentive Award Plan.</w:t>
      </w:r>
    </w:p>
    <w:p>
      <w:pPr>
        <w:spacing w:after="0" w:line="225" w:lineRule="exact"/>
        <w:rPr>
          <w:rFonts w:ascii="Arial" w:cs="Arial" w:eastAsia="Arial" w:hAnsi="Arial"/>
          <w:sz w:val="18"/>
          <w:szCs w:val="18"/>
          <w:color w:val="auto"/>
        </w:rPr>
      </w:pPr>
    </w:p>
    <w:p>
      <w:pPr>
        <w:ind w:left="-8" w:right="640" w:firstLine="8"/>
        <w:spacing w:after="0" w:line="277" w:lineRule="auto"/>
        <w:tabs>
          <w:tab w:leader="none" w:pos="3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Plans</w:t>
      </w:r>
      <w:r>
        <w:rPr>
          <w:rFonts w:ascii="Arial" w:cs="Arial" w:eastAsia="Arial" w:hAnsi="Arial"/>
          <w:sz w:val="18"/>
          <w:szCs w:val="18"/>
          <w:color w:val="auto"/>
        </w:rPr>
        <w:t>” means, collectively, the Seres Health, Inc. 2012 Stock Incentive Plan and any prior equity incentive plans of the Company or its predecessor.</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outstanding under the Prior Plans as of the Plan’s effective date in Section X(c).</w:t>
      </w:r>
    </w:p>
    <w:p>
      <w:pPr>
        <w:spacing w:after="0" w:line="225" w:lineRule="exact"/>
        <w:rPr>
          <w:rFonts w:ascii="Arial" w:cs="Arial" w:eastAsia="Arial" w:hAnsi="Arial"/>
          <w:sz w:val="18"/>
          <w:szCs w:val="18"/>
          <w:color w:val="auto"/>
        </w:rPr>
      </w:pPr>
    </w:p>
    <w:p>
      <w:pPr>
        <w:jc w:val="both"/>
        <w:ind w:left="-8" w:right="20" w:firstLine="8"/>
        <w:spacing w:after="0" w:line="311" w:lineRule="auto"/>
        <w:tabs>
          <w:tab w:leader="none" w:pos="31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Trading Date</w:t>
      </w:r>
      <w:r>
        <w:rPr>
          <w:rFonts w:ascii="Arial" w:cs="Arial" w:eastAsia="Arial" w:hAnsi="Arial"/>
          <w:sz w:val="16"/>
          <w:szCs w:val="16"/>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48" w:lineRule="exact"/>
        <w:rPr>
          <w:rFonts w:ascii="Arial" w:cs="Arial" w:eastAsia="Arial" w:hAnsi="Arial"/>
          <w:sz w:val="16"/>
          <w:szCs w:val="16"/>
          <w:color w:val="auto"/>
        </w:rPr>
      </w:pPr>
    </w:p>
    <w:p>
      <w:pPr>
        <w:ind w:left="272" w:hanging="272"/>
        <w:spacing w:after="0"/>
        <w:tabs>
          <w:tab w:leader="none" w:pos="2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awarded to a Participant under Section VI subject to certain vesting conditions and other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557" w:right="359" w:bottom="1440" w:gutter="0" w:footer="0" w:header="0"/>
        </w:sectPr>
      </w:pPr>
    </w:p>
    <w:bookmarkStart w:id="147" w:name="page148"/>
    <w:bookmarkEnd w:id="147"/>
    <w:p>
      <w:pPr>
        <w:ind w:left="-8" w:right="100" w:firstLine="8"/>
        <w:spacing w:after="0" w:line="342" w:lineRule="auto"/>
        <w:tabs>
          <w:tab w:leader="none" w:pos="33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all regulations, guidance, compliance programs and other interpretative authority thereunder.</w:t>
      </w:r>
    </w:p>
    <w:p>
      <w:pPr>
        <w:spacing w:after="0" w:line="248" w:lineRule="exact"/>
        <w:rPr>
          <w:rFonts w:ascii="Arial" w:cs="Arial" w:eastAsia="Arial" w:hAnsi="Arial"/>
          <w:sz w:val="16"/>
          <w:szCs w:val="16"/>
          <w:color w:val="auto"/>
        </w:rPr>
      </w:pPr>
    </w:p>
    <w:p>
      <w:pPr>
        <w:ind w:left="272" w:hanging="272"/>
        <w:spacing w:after="0"/>
        <w:tabs>
          <w:tab w:leader="none" w:pos="2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stock appreciation right granted under Section V.</w:t>
      </w:r>
    </w:p>
    <w:p>
      <w:pPr>
        <w:spacing w:after="0" w:line="225" w:lineRule="exact"/>
        <w:rPr>
          <w:rFonts w:ascii="Arial" w:cs="Arial" w:eastAsia="Arial" w:hAnsi="Arial"/>
          <w:sz w:val="18"/>
          <w:szCs w:val="18"/>
          <w:color w:val="auto"/>
        </w:rPr>
      </w:pPr>
    </w:p>
    <w:p>
      <w:pPr>
        <w:jc w:val="both"/>
        <w:ind w:left="-8" w:firstLine="8"/>
        <w:spacing w:after="0" w:line="311" w:lineRule="auto"/>
        <w:tabs>
          <w:tab w:leader="none" w:pos="33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8" w:lineRule="exact"/>
        <w:rPr>
          <w:rFonts w:ascii="Arial" w:cs="Arial" w:eastAsia="Arial" w:hAnsi="Arial"/>
          <w:sz w:val="16"/>
          <w:szCs w:val="16"/>
          <w:color w:val="auto"/>
        </w:rPr>
      </w:pPr>
    </w:p>
    <w:p>
      <w:pPr>
        <w:ind w:left="352" w:hanging="352"/>
        <w:spacing w:after="0"/>
        <w:tabs>
          <w:tab w:leader="none" w:pos="3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25" w:lineRule="exact"/>
        <w:rPr>
          <w:rFonts w:ascii="Arial" w:cs="Arial" w:eastAsia="Arial" w:hAnsi="Arial"/>
          <w:sz w:val="18"/>
          <w:szCs w:val="18"/>
          <w:color w:val="auto"/>
        </w:rPr>
      </w:pPr>
    </w:p>
    <w:p>
      <w:pPr>
        <w:ind w:left="52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631825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12"/>
          </w:cols>
          <w:pgMar w:left="328" w:top="557" w:right="459" w:bottom="1440" w:gutter="0" w:footer="0" w:header="0"/>
        </w:sectPr>
      </w:pPr>
    </w:p>
    <w:bookmarkStart w:id="148" w:name="page149"/>
    <w:bookmarkEnd w:id="148"/>
    <w:p>
      <w:pPr>
        <w:ind w:left="8100"/>
        <w:spacing w:after="0"/>
        <w:rPr>
          <w:sz w:val="20"/>
          <w:szCs w:val="20"/>
          <w:color w:val="auto"/>
        </w:rPr>
      </w:pPr>
      <w:r>
        <w:rPr>
          <w:rFonts w:ascii="Arial" w:cs="Arial" w:eastAsia="Arial" w:hAnsi="Arial"/>
          <w:sz w:val="16"/>
          <w:szCs w:val="16"/>
          <w:i w:val="1"/>
          <w:iCs w:val="1"/>
          <w:color w:val="auto"/>
        </w:rPr>
        <w:t>Form of Restricted Stock Unit Grant Notice</w:t>
      </w:r>
    </w:p>
    <w:p>
      <w:pPr>
        <w:spacing w:after="0" w:line="24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SERES HEALTH,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2015 INCENTIVE AWARD PLAN</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GRANT NOTICE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Capitalized terms not specifically defined in this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2015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Seres Health,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hereby grants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described in this Grant Notice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xml:space="preserve">”), subject to the terms and conditions of the Plan and the Restricted Stock Unit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225"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[To be specified in individual award agreements]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SERES HEALTH, INC.</w:t>
            </w:r>
          </w:p>
        </w:tc>
        <w:tc>
          <w:tcPr>
            <w:tcW w:w="5480" w:type="dxa"/>
            <w:vAlign w:val="bottom"/>
            <w:gridSpan w:val="3"/>
          </w:tcPr>
          <w:p>
            <w:pPr>
              <w:ind w:left="28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4"/>
                <w:szCs w:val="24"/>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1200" w:type="dxa"/>
            <w:vAlign w:val="bottom"/>
          </w:tcPr>
          <w:p>
            <w:pPr>
              <w:spacing w:after="0"/>
              <w:rPr>
                <w:sz w:val="20"/>
                <w:szCs w:val="20"/>
                <w:color w:val="auto"/>
              </w:rPr>
            </w:pPr>
            <w:r>
              <w:rPr>
                <w:rFonts w:ascii="Arial" w:cs="Arial" w:eastAsia="Arial" w:hAnsi="Arial"/>
                <w:sz w:val="18"/>
                <w:szCs w:val="18"/>
                <w:color w:val="auto"/>
              </w:rPr>
              <w:t>Print Name:</w:t>
            </w:r>
          </w:p>
        </w:tc>
        <w:tc>
          <w:tcPr>
            <w:tcW w:w="4580" w:type="dxa"/>
            <w:vAlign w:val="bottom"/>
            <w:tcBorders>
              <w:bottom w:val="single" w:sz="8" w:color="auto"/>
            </w:tcBorders>
          </w:tcPr>
          <w:p>
            <w:pPr>
              <w:spacing w:after="0"/>
              <w:rPr>
                <w:sz w:val="24"/>
                <w:szCs w:val="24"/>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Print Name:</w:t>
            </w:r>
          </w:p>
        </w:tc>
        <w:tc>
          <w:tcPr>
            <w:tcW w:w="3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57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3"/>
        </w:trPr>
        <w:tc>
          <w:tcPr>
            <w:tcW w:w="1200" w:type="dxa"/>
            <w:vAlign w:val="bottom"/>
            <w:tcBorders>
              <w:bottom w:val="single" w:sz="8" w:color="9A9A9A"/>
            </w:tcBorders>
          </w:tcPr>
          <w:p>
            <w:pPr>
              <w:spacing w:after="0"/>
              <w:rPr>
                <w:sz w:val="24"/>
                <w:szCs w:val="24"/>
                <w:color w:val="auto"/>
              </w:rPr>
            </w:pPr>
          </w:p>
        </w:tc>
        <w:tc>
          <w:tcPr>
            <w:tcW w:w="4580" w:type="dxa"/>
            <w:vAlign w:val="bottom"/>
            <w:tcBorders>
              <w:top w:val="single" w:sz="8" w:color="auto"/>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Capitalized terms not specifically defined in this Agreement have the meanings specified in the Grant Notice or, if not defined in the Grant Notice, in the Plan.</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25" w:lineRule="exact"/>
        <w:rPr>
          <w:sz w:val="20"/>
          <w:szCs w:val="20"/>
          <w:color w:val="auto"/>
        </w:rPr>
      </w:pPr>
    </w:p>
    <w:p>
      <w:pPr>
        <w:ind w:right="160" w:firstLine="8"/>
        <w:spacing w:after="0" w:line="286" w:lineRule="auto"/>
        <w:tabs>
          <w:tab w:leader="none" w:pos="24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has granted the RSUs to Participant effective as of the grant date set forth in the Grant Notice (the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65" w:lineRule="exact"/>
        <w:rPr>
          <w:rFonts w:ascii="Arial" w:cs="Arial" w:eastAsia="Arial" w:hAnsi="Arial"/>
          <w:sz w:val="17"/>
          <w:szCs w:val="17"/>
          <w:color w:val="auto"/>
        </w:rPr>
      </w:pPr>
    </w:p>
    <w:p>
      <w:pPr>
        <w:ind w:firstLine="8"/>
        <w:spacing w:after="0" w:line="275" w:lineRule="auto"/>
        <w:tabs>
          <w:tab w:leader="none" w:pos="25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17"/>
          <w:szCs w:val="17"/>
          <w:b w:val="1"/>
          <w:bCs w:val="1"/>
          <w:i w:val="1"/>
          <w:iCs w:val="1"/>
          <w:color w:val="auto"/>
        </w:rPr>
        <w:t>Dividend Equivalent Account</w:t>
      </w:r>
      <w:r>
        <w:rPr>
          <w:rFonts w:ascii="Arial" w:cs="Arial" w:eastAsia="Arial" w:hAnsi="Arial"/>
          <w:sz w:val="17"/>
          <w:szCs w:val="17"/>
          <w:color w:val="auto"/>
        </w:rPr>
        <w:t>”) for each Dividend Equivalent and credit the Dividend Equivalent Account (without interest) on the applicable dividend payment date with the amount of any such cash paid.</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Unsecured Promise</w:t>
      </w:r>
      <w:r>
        <w:rPr>
          <w:rFonts w:ascii="Arial" w:cs="Arial" w:eastAsia="Arial" w:hAnsi="Arial"/>
          <w:sz w:val="18"/>
          <w:szCs w:val="18"/>
          <w:color w:val="auto"/>
        </w:rPr>
        <w:t>. The RSUs and Dividend Equivalents will at all times prior to settlement represent an unsecured Company obligation payable only from the Company’s general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FORFEITURE AND SETTLEMENT</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Forfeiture</w:t>
      </w:r>
      <w:r>
        <w:rPr>
          <w:rFonts w:ascii="Arial" w:cs="Arial" w:eastAsia="Arial" w:hAnsi="Arial"/>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sz w:val="20"/>
          <w:szCs w:val="20"/>
          <w:color w:val="auto"/>
        </w:rPr>
      </w:pPr>
    </w:p>
    <w:p>
      <w:pPr>
        <w:ind w:right="160" w:firstLine="8"/>
        <w:spacing w:after="0" w:line="255" w:lineRule="auto"/>
        <w:tabs>
          <w:tab w:leader="none" w:pos="2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ind w:right="200" w:firstLine="8"/>
        <w:spacing w:after="0" w:line="259"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 AND TAX WITHHOLDING</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63" w:lineRule="auto"/>
        <w:tabs>
          <w:tab w:leader="none" w:pos="2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83" w:lineRule="exact"/>
        <w:rPr>
          <w:rFonts w:ascii="Arial" w:cs="Arial" w:eastAsia="Arial" w:hAnsi="Arial"/>
          <w:sz w:val="18"/>
          <w:szCs w:val="18"/>
          <w:color w:val="auto"/>
        </w:rPr>
      </w:pPr>
    </w:p>
    <w:p>
      <w:pPr>
        <w:ind w:right="20" w:firstLine="8"/>
        <w:spacing w:after="0" w:line="255"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Adjustments</w:t>
      </w:r>
      <w:r>
        <w:rPr>
          <w:rFonts w:ascii="Arial" w:cs="Arial" w:eastAsia="Arial" w:hAnsi="Arial"/>
          <w:sz w:val="18"/>
          <w:szCs w:val="18"/>
          <w:color w:val="auto"/>
        </w:rPr>
        <w:t>. Participant acknowledges that the RSUs, the Shares subject to the RSUs and the Dividend Equivalents are subject to adjustment, modification and termination in certain events as provided in this Agreement and the Plan.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1" w:name="page152"/>
    <w:bookmarkEnd w:id="151"/>
    <w:p>
      <w:pPr>
        <w:jc w:val="both"/>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2" w:name="page153"/>
    <w:bookmarkEnd w:id="152"/>
    <w:p>
      <w:pPr>
        <w:jc w:val="right"/>
        <w:ind w:right="20"/>
        <w:spacing w:after="0"/>
        <w:rPr>
          <w:sz w:val="20"/>
          <w:szCs w:val="20"/>
          <w:color w:val="auto"/>
        </w:rPr>
      </w:pPr>
      <w:r>
        <w:rPr>
          <w:rFonts w:ascii="Arial" w:cs="Arial" w:eastAsia="Arial" w:hAnsi="Arial"/>
          <w:sz w:val="18"/>
          <w:szCs w:val="18"/>
          <w:i w:val="1"/>
          <w:iCs w:val="1"/>
          <w:color w:val="auto"/>
        </w:rPr>
        <w:t>Form of Restricted Stock Unit Grant Notice</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Sell-to-Cover Form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229" w:lineRule="exact"/>
        <w:rPr>
          <w:sz w:val="20"/>
          <w:szCs w:val="20"/>
          <w:color w:val="auto"/>
        </w:rPr>
      </w:pPr>
    </w:p>
    <w:p>
      <w:pPr>
        <w:ind w:right="180" w:firstLine="864"/>
        <w:spacing w:after="0" w:line="277" w:lineRule="auto"/>
        <w:rPr>
          <w:sz w:val="20"/>
          <w:szCs w:val="20"/>
          <w:color w:val="auto"/>
        </w:rPr>
      </w:pPr>
      <w:r>
        <w:rPr>
          <w:rFonts w:ascii="Arial" w:cs="Arial" w:eastAsia="Arial" w:hAnsi="Arial"/>
          <w:sz w:val="18"/>
          <w:szCs w:val="18"/>
          <w:color w:val="auto"/>
        </w:rPr>
        <w:t>Capitalized terms not specifically defined in this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2015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Seres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hereby grants to the participant listed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Restricted Stock Units described in this Grant Notice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RSUs</w:t>
      </w:r>
      <w:r>
        <w:rPr>
          <w:rFonts w:ascii="Arial" w:cs="Arial" w:eastAsia="Arial" w:hAnsi="Arial"/>
          <w:sz w:val="16"/>
          <w:szCs w:val="16"/>
          <w:color w:val="auto"/>
        </w:rPr>
        <w:t xml:space="preserve">”), subject to the terms and conditions of the Plan and the Restricted Stock Unit Agreement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both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incorporated into this Grant Notice by reference.</w:t>
      </w:r>
    </w:p>
    <w:p>
      <w:pPr>
        <w:sectPr>
          <w:pgSz w:w="11900" w:h="16838" w:orient="portrait"/>
          <w:cols w:equalWidth="0" w:num="1">
            <w:col w:w="11260"/>
          </w:cols>
          <w:pgMar w:left="320" w:top="341" w:right="319" w:bottom="1440" w:gutter="0" w:footer="0" w:header="0"/>
        </w:sectPr>
      </w:pPr>
    </w:p>
    <w:p>
      <w:pPr>
        <w:spacing w:after="0" w:line="20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3200"/>
        <w:spacing w:after="0"/>
        <w:rPr>
          <w:sz w:val="20"/>
          <w:szCs w:val="20"/>
          <w:color w:val="auto"/>
        </w:rPr>
      </w:pPr>
      <w:r>
        <w:rPr>
          <w:rFonts w:ascii="Arial" w:cs="Arial" w:eastAsia="Arial" w:hAnsi="Arial"/>
          <w:sz w:val="17"/>
          <w:szCs w:val="17"/>
          <w:color w:val="auto"/>
        </w:rPr>
        <w:t>%%FIRST_NAME%-% %%LAST_NAME%-%</w:t>
      </w:r>
    </w:p>
    <w:p>
      <w:pPr>
        <w:spacing w:after="0" w:line="125" w:lineRule="exact"/>
        <w:rPr>
          <w:sz w:val="20"/>
          <w:szCs w:val="20"/>
          <w:color w:val="auto"/>
        </w:rPr>
      </w:pPr>
    </w:p>
    <w:p>
      <w:pPr>
        <w:sectPr>
          <w:pgSz w:w="11900" w:h="16838" w:orient="portrait"/>
          <w:cols w:equalWidth="0" w:num="2">
            <w:col w:w="3740" w:space="720"/>
            <w:col w:w="6800"/>
          </w:cols>
          <w:pgMar w:left="320" w:top="341" w:right="319" w:bottom="1440" w:gutter="0" w:footer="0" w:header="0"/>
          <w:type w:val="continuous"/>
        </w:sectPr>
      </w:pPr>
    </w:p>
    <w:p>
      <w:pPr>
        <w:ind w:left="100"/>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7"/>
          <w:szCs w:val="17"/>
          <w:color w:val="auto"/>
        </w:rPr>
        <w:t>%%OPTION_DATE,‘MM/DD/YYYY’%-%</w:t>
      </w:r>
    </w:p>
    <w:p>
      <w:pPr>
        <w:spacing w:after="0" w:line="125" w:lineRule="exact"/>
        <w:rPr>
          <w:sz w:val="20"/>
          <w:szCs w:val="20"/>
          <w:color w:val="auto"/>
        </w:rPr>
      </w:pPr>
    </w:p>
    <w:p>
      <w:pPr>
        <w:sectPr>
          <w:pgSz w:w="11900" w:h="16838" w:orient="portrait"/>
          <w:cols w:equalWidth="0" w:num="2">
            <w:col w:w="3740" w:space="720"/>
            <w:col w:w="6800"/>
          </w:cols>
          <w:pgMar w:left="320" w:top="341" w:right="31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auto"/>
        </w:rPr>
        <w:t>Number of RSUs:</w:t>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7"/>
          <w:szCs w:val="17"/>
          <w:color w:val="auto"/>
        </w:rPr>
        <w:t>%%TOTAL_SHARES_GRANTED,’999,999,999’%-%</w:t>
      </w:r>
    </w:p>
    <w:p>
      <w:pPr>
        <w:spacing w:after="0" w:line="125" w:lineRule="exact"/>
        <w:rPr>
          <w:sz w:val="20"/>
          <w:szCs w:val="20"/>
          <w:color w:val="auto"/>
        </w:rPr>
      </w:pPr>
    </w:p>
    <w:p>
      <w:pPr>
        <w:sectPr>
          <w:pgSz w:w="11900" w:h="16838" w:orient="portrait"/>
          <w:cols w:equalWidth="0" w:num="2">
            <w:col w:w="3740" w:space="720"/>
            <w:col w:w="6800"/>
          </w:cols>
          <w:pgMar w:left="320" w:top="341" w:right="31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%%VEST_BASE_DATE,’MM/DD/YYYY’%-%</w:t>
      </w:r>
    </w:p>
    <w:p>
      <w:pPr>
        <w:spacing w:after="0" w:line="125" w:lineRule="exact"/>
        <w:rPr>
          <w:sz w:val="20"/>
          <w:szCs w:val="20"/>
          <w:color w:val="auto"/>
        </w:rPr>
      </w:pPr>
    </w:p>
    <w:p>
      <w:pPr>
        <w:sectPr>
          <w:pgSz w:w="11900" w:h="16838" w:orient="portrait"/>
          <w:cols w:equalWidth="0" w:num="2">
            <w:col w:w="3740" w:space="720"/>
            <w:col w:w="6800"/>
          </w:cols>
          <w:pgMar w:left="320" w:top="341" w:right="319" w:bottom="1440" w:gutter="0" w:footer="0" w:header="0"/>
          <w:type w:val="continuous"/>
        </w:sectPr>
      </w:pPr>
    </w:p>
    <w:p>
      <w:pPr>
        <w:ind w:left="10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280"/>
        <w:spacing w:after="0" w:line="254" w:lineRule="auto"/>
        <w:rPr>
          <w:sz w:val="20"/>
          <w:szCs w:val="20"/>
          <w:color w:val="auto"/>
        </w:rPr>
      </w:pPr>
      <w:r>
        <w:rPr>
          <w:rFonts w:ascii="Arial" w:cs="Arial" w:eastAsia="Arial" w:hAnsi="Arial"/>
          <w:sz w:val="18"/>
          <w:szCs w:val="18"/>
          <w:color w:val="222222"/>
        </w:rPr>
        <w:t>Subject to the terms of the Agreement, the RSUs will vest as to 25% of the RSUs, on the first 15th day of a calendar month that immediately follows the first anniversary of the Vesting Commencement Date and as to an additional 6.25% of the total number of RSUs, upon completion of each three consecutive months of the Participant’s service as a Service Provider thereafter, such that 100% of the RSUs will be fully vested on the fourth anniversary of the first 15th day of a calendar month that immediately follows the Vesting Commencement Date.</w:t>
      </w:r>
    </w:p>
    <w:p>
      <w:pPr>
        <w:spacing w:after="0" w:line="195" w:lineRule="exact"/>
        <w:rPr>
          <w:sz w:val="20"/>
          <w:szCs w:val="20"/>
          <w:color w:val="auto"/>
        </w:rPr>
      </w:pPr>
    </w:p>
    <w:p>
      <w:pPr>
        <w:sectPr>
          <w:pgSz w:w="11900" w:h="16838" w:orient="portrait"/>
          <w:cols w:equalWidth="0" w:num="2">
            <w:col w:w="3740" w:space="720"/>
            <w:col w:w="6800"/>
          </w:cols>
          <w:pgMar w:left="320" w:top="341" w:right="319" w:bottom="1440" w:gutter="0" w:footer="0" w:header="0"/>
          <w:type w:val="continuous"/>
        </w:sectPr>
      </w:pPr>
    </w:p>
    <w:p>
      <w:pPr>
        <w:ind w:right="80" w:firstLine="864"/>
        <w:spacing w:after="0" w:line="301" w:lineRule="auto"/>
        <w:rPr>
          <w:sz w:val="20"/>
          <w:szCs w:val="20"/>
          <w:color w:val="auto"/>
        </w:rPr>
      </w:pPr>
      <w:r>
        <w:rPr>
          <w:rFonts w:ascii="Arial" w:cs="Arial" w:eastAsia="Arial" w:hAnsi="Arial"/>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SERES THERAPEUTICS, INC.</w:t>
            </w:r>
          </w:p>
        </w:tc>
        <w:tc>
          <w:tcPr>
            <w:tcW w:w="6100" w:type="dxa"/>
            <w:vAlign w:val="bottom"/>
            <w:gridSpan w:val="2"/>
          </w:tcPr>
          <w:p>
            <w:pPr>
              <w:ind w:left="240"/>
              <w:spacing w:after="0"/>
              <w:rPr>
                <w:sz w:val="20"/>
                <w:szCs w:val="20"/>
                <w:color w:val="auto"/>
              </w:rPr>
            </w:pPr>
            <w:r>
              <w:rPr>
                <w:rFonts w:ascii="Arial" w:cs="Arial" w:eastAsia="Arial" w:hAnsi="Arial"/>
                <w:sz w:val="18"/>
                <w:szCs w:val="18"/>
                <w:b w:val="1"/>
                <w:bCs w:val="1"/>
                <w:color w:val="auto"/>
              </w:rPr>
              <w:t>PARTICIPANT</w:t>
            </w:r>
          </w:p>
        </w:tc>
        <w:tc>
          <w:tcPr>
            <w:tcW w:w="20" w:type="dxa"/>
            <w:vAlign w:val="bottom"/>
          </w:tcPr>
          <w:p>
            <w:pPr>
              <w:spacing w:after="0"/>
              <w:rPr>
                <w:sz w:val="20"/>
                <w:szCs w:val="20"/>
                <w:color w:val="auto"/>
              </w:rPr>
            </w:pPr>
          </w:p>
        </w:tc>
      </w:tr>
      <w:tr>
        <w:trPr>
          <w:trHeight w:val="432"/>
        </w:trPr>
        <w:tc>
          <w:tcPr>
            <w:tcW w:w="1280" w:type="dxa"/>
            <w:vAlign w:val="bottom"/>
          </w:tcPr>
          <w:p>
            <w:pPr>
              <w:ind w:left="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1280" w:type="dxa"/>
            <w:vAlign w:val="bottom"/>
          </w:tcPr>
          <w:p>
            <w:pPr>
              <w:ind w:left="20"/>
              <w:spacing w:after="0"/>
              <w:rPr>
                <w:sz w:val="20"/>
                <w:szCs w:val="20"/>
                <w:color w:val="auto"/>
              </w:rPr>
            </w:pPr>
            <w:r>
              <w:rPr>
                <w:rFonts w:ascii="Arial" w:cs="Arial" w:eastAsia="Arial" w:hAnsi="Arial"/>
                <w:sz w:val="18"/>
                <w:szCs w:val="18"/>
                <w:color w:val="auto"/>
              </w:rPr>
              <w:t>Print Name:</w:t>
            </w:r>
          </w:p>
        </w:tc>
        <w:tc>
          <w:tcPr>
            <w:tcW w:w="3860" w:type="dxa"/>
            <w:vAlign w:val="bottom"/>
            <w:gridSpan w:val="2"/>
          </w:tcPr>
          <w:p>
            <w:pPr>
              <w:spacing w:after="0"/>
              <w:rPr>
                <w:sz w:val="20"/>
                <w:szCs w:val="20"/>
                <w:color w:val="auto"/>
              </w:rPr>
            </w:pPr>
            <w:r>
              <w:rPr>
                <w:rFonts w:ascii="Arial" w:cs="Arial" w:eastAsia="Arial" w:hAnsi="Arial"/>
                <w:sz w:val="18"/>
                <w:szCs w:val="18"/>
                <w:color w:val="auto"/>
              </w:rPr>
              <w:t>Eric D. Shaff</w:t>
            </w:r>
          </w:p>
        </w:tc>
        <w:tc>
          <w:tcPr>
            <w:tcW w:w="6100" w:type="dxa"/>
            <w:vAlign w:val="bottom"/>
            <w:gridSpan w:val="2"/>
          </w:tcPr>
          <w:p>
            <w:pPr>
              <w:ind w:left="240"/>
              <w:spacing w:after="0"/>
              <w:rPr>
                <w:sz w:val="20"/>
                <w:szCs w:val="20"/>
                <w:color w:val="auto"/>
              </w:rPr>
            </w:pPr>
            <w:r>
              <w:rPr>
                <w:rFonts w:ascii="Arial" w:cs="Arial" w:eastAsia="Arial" w:hAnsi="Arial"/>
                <w:sz w:val="18"/>
                <w:szCs w:val="18"/>
                <w:color w:val="auto"/>
              </w:rPr>
              <w:t>%%FIRST_NAME%-% %%LAST_NAME%-%</w:t>
            </w:r>
          </w:p>
        </w:tc>
        <w:tc>
          <w:tcPr>
            <w:tcW w:w="2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28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&amp; Chief Executive Officer</w:t>
            </w:r>
          </w:p>
        </w:tc>
        <w:tc>
          <w:tcPr>
            <w:tcW w:w="2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04"/>
        </w:trPr>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9" w:lineRule="exact"/>
        <w:rPr>
          <w:sz w:val="20"/>
          <w:szCs w:val="20"/>
          <w:color w:val="auto"/>
        </w:rPr>
      </w:pPr>
    </w:p>
    <w:p>
      <w:pPr>
        <w:ind w:right="380" w:firstLine="864"/>
        <w:spacing w:after="0" w:line="277" w:lineRule="auto"/>
        <w:rPr>
          <w:sz w:val="20"/>
          <w:szCs w:val="20"/>
          <w:color w:val="auto"/>
        </w:rPr>
      </w:pPr>
      <w:r>
        <w:rPr>
          <w:rFonts w:ascii="Arial" w:cs="Arial" w:eastAsia="Arial" w:hAnsi="Arial"/>
          <w:sz w:val="18"/>
          <w:szCs w:val="18"/>
          <w:color w:val="auto"/>
        </w:rPr>
        <w:t>Capitalized terms not specifically defined in this Agreement have the meanings specified in the Grant Notice or, if not defined in the Grant Notice, in the Plan.</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Award of RSUs and Dividend Equivalents</w:t>
      </w:r>
      <w:r>
        <w:rPr>
          <w:rFonts w:ascii="Arial" w:cs="Arial" w:eastAsia="Arial" w:hAnsi="Arial"/>
          <w:sz w:val="16"/>
          <w:szCs w:val="16"/>
          <w:color w:val="auto"/>
        </w:rPr>
        <w:t>.</w:t>
      </w:r>
    </w:p>
    <w:p>
      <w:pPr>
        <w:spacing w:after="0" w:line="225" w:lineRule="exact"/>
        <w:rPr>
          <w:sz w:val="20"/>
          <w:szCs w:val="20"/>
          <w:color w:val="auto"/>
        </w:rPr>
      </w:pPr>
    </w:p>
    <w:p>
      <w:pPr>
        <w:ind w:left="2580" w:hanging="845"/>
        <w:spacing w:after="0"/>
        <w:tabs>
          <w:tab w:leader="none" w:pos="25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has granted the RSUs to Participant effective as of the grant date set forth in the Grant Notice (the</w:t>
      </w:r>
    </w:p>
    <w:p>
      <w:pPr>
        <w:spacing w:after="0" w:line="35"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38" w:lineRule="exact"/>
        <w:rPr>
          <w:sz w:val="20"/>
          <w:szCs w:val="20"/>
          <w:color w:val="auto"/>
        </w:rPr>
      </w:pPr>
    </w:p>
    <w:p>
      <w:pPr>
        <w:ind w:right="100" w:firstLine="1735"/>
        <w:spacing w:after="0" w:line="296" w:lineRule="auto"/>
        <w:tabs>
          <w:tab w:leader="none" w:pos="258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16"/>
          <w:szCs w:val="16"/>
          <w:b w:val="1"/>
          <w:bCs w:val="1"/>
          <w:i w:val="1"/>
          <w:iCs w:val="1"/>
          <w:color w:val="auto"/>
        </w:rPr>
        <w:t>Dividend Equivalent Account</w:t>
      </w:r>
      <w:r>
        <w:rPr>
          <w:rFonts w:ascii="Arial" w:cs="Arial" w:eastAsia="Arial" w:hAnsi="Arial"/>
          <w:sz w:val="16"/>
          <w:szCs w:val="16"/>
          <w:color w:val="auto"/>
        </w:rPr>
        <w:t>”) for each Dividend Equivalent and credit the Dividend Equivalent Account (without interest) on the applicable dividend payment date with the amount of any such cash paid.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jc w:val="right"/>
              <w:ind w:right="570"/>
              <w:spacing w:after="0"/>
              <w:rPr>
                <w:sz w:val="20"/>
                <w:szCs w:val="20"/>
                <w:color w:val="auto"/>
              </w:rPr>
            </w:pPr>
            <w:r>
              <w:rPr>
                <w:rFonts w:ascii="Arial" w:cs="Arial" w:eastAsia="Arial" w:hAnsi="Arial"/>
                <w:sz w:val="18"/>
                <w:szCs w:val="18"/>
                <w:color w:val="auto"/>
              </w:rPr>
              <w:t>1.2</w:t>
            </w:r>
          </w:p>
        </w:tc>
        <w:tc>
          <w:tcPr>
            <w:tcW w:w="9340" w:type="dxa"/>
            <w:vAlign w:val="bottom"/>
            <w:gridSpan w:val="3"/>
          </w:tcPr>
          <w:p>
            <w:pPr>
              <w:spacing w:after="0"/>
              <w:rPr>
                <w:sz w:val="20"/>
                <w:szCs w:val="20"/>
                <w:color w:val="auto"/>
              </w:rPr>
            </w:pPr>
            <w:r>
              <w:rPr>
                <w:rFonts w:ascii="Arial" w:cs="Arial" w:eastAsia="Arial" w:hAnsi="Arial"/>
                <w:sz w:val="18"/>
                <w:szCs w:val="18"/>
                <w:color w:val="auto"/>
                <w:w w:val="90"/>
              </w:rPr>
              <w:t>Incorporation of Terms of Plan. The RSUs are subject to the terms and conditions set forth in this Agreement and the Plan, which</w:t>
            </w:r>
          </w:p>
        </w:tc>
      </w:tr>
      <w:tr>
        <w:trPr>
          <w:trHeight w:val="20"/>
        </w:trPr>
        <w:tc>
          <w:tcPr>
            <w:tcW w:w="176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11100" w:type="dxa"/>
            <w:vAlign w:val="bottom"/>
            <w:gridSpan w:val="4"/>
          </w:tcPr>
          <w:p>
            <w:pPr>
              <w:spacing w:after="0"/>
              <w:rPr>
                <w:sz w:val="20"/>
                <w:szCs w:val="20"/>
                <w:color w:val="auto"/>
              </w:rPr>
            </w:pPr>
            <w:r>
              <w:rPr>
                <w:rFonts w:ascii="Arial" w:cs="Arial" w:eastAsia="Arial" w:hAnsi="Arial"/>
                <w:sz w:val="18"/>
                <w:szCs w:val="18"/>
                <w:color w:val="auto"/>
                <w:w w:val="98"/>
              </w:rPr>
              <w:t>is incorporated herein by reference. In the event of any inconsistency between the Plan and this Agreement, the terms of the Plan will control.</w:t>
            </w:r>
          </w:p>
        </w:tc>
      </w:tr>
      <w:tr>
        <w:trPr>
          <w:trHeight w:val="391"/>
        </w:trPr>
        <w:tc>
          <w:tcPr>
            <w:tcW w:w="1760" w:type="dxa"/>
            <w:vAlign w:val="bottom"/>
          </w:tcPr>
          <w:p>
            <w:pPr>
              <w:jc w:val="right"/>
              <w:ind w:right="570"/>
              <w:spacing w:after="0"/>
              <w:rPr>
                <w:sz w:val="20"/>
                <w:szCs w:val="20"/>
                <w:color w:val="auto"/>
              </w:rPr>
            </w:pPr>
            <w:r>
              <w:rPr>
                <w:rFonts w:ascii="Arial" w:cs="Arial" w:eastAsia="Arial" w:hAnsi="Arial"/>
                <w:sz w:val="18"/>
                <w:szCs w:val="18"/>
                <w:color w:val="auto"/>
              </w:rPr>
              <w:t>1.3</w:t>
            </w:r>
          </w:p>
        </w:tc>
        <w:tc>
          <w:tcPr>
            <w:tcW w:w="9340" w:type="dxa"/>
            <w:vAlign w:val="bottom"/>
            <w:gridSpan w:val="3"/>
          </w:tcPr>
          <w:p>
            <w:pPr>
              <w:spacing w:after="0"/>
              <w:rPr>
                <w:sz w:val="20"/>
                <w:szCs w:val="20"/>
                <w:color w:val="auto"/>
              </w:rPr>
            </w:pPr>
            <w:r>
              <w:rPr>
                <w:rFonts w:ascii="Arial" w:cs="Arial" w:eastAsia="Arial" w:hAnsi="Arial"/>
                <w:sz w:val="18"/>
                <w:szCs w:val="18"/>
                <w:color w:val="auto"/>
                <w:w w:val="92"/>
              </w:rPr>
              <w:t>Unsecured Promise. The RSUs and Dividend Equivalents will at all times prior to settlement represent an unsecured Company</w:t>
            </w:r>
          </w:p>
        </w:tc>
      </w:tr>
      <w:tr>
        <w:trPr>
          <w:trHeight w:val="20"/>
        </w:trPr>
        <w:tc>
          <w:tcPr>
            <w:tcW w:w="1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0" w:type="dxa"/>
            <w:vAlign w:val="bottom"/>
            <w:tcBorders>
              <w:left w:val="single" w:sz="8" w:color="auto"/>
            </w:tcBorders>
            <w:gridSpan w:val="2"/>
          </w:tcPr>
          <w:p>
            <w:pPr>
              <w:spacing w:after="0" w:line="20" w:lineRule="exact"/>
              <w:rPr>
                <w:sz w:val="1"/>
                <w:szCs w:val="1"/>
                <w:color w:val="auto"/>
              </w:rPr>
            </w:pPr>
          </w:p>
        </w:tc>
      </w:tr>
      <w:tr>
        <w:trPr>
          <w:trHeight w:val="237"/>
        </w:trPr>
        <w:tc>
          <w:tcPr>
            <w:tcW w:w="11100" w:type="dxa"/>
            <w:vAlign w:val="bottom"/>
            <w:gridSpan w:val="4"/>
          </w:tcPr>
          <w:p>
            <w:pPr>
              <w:spacing w:after="0"/>
              <w:rPr>
                <w:sz w:val="20"/>
                <w:szCs w:val="20"/>
                <w:color w:val="auto"/>
              </w:rPr>
            </w:pPr>
            <w:r>
              <w:rPr>
                <w:rFonts w:ascii="Arial" w:cs="Arial" w:eastAsia="Arial" w:hAnsi="Arial"/>
                <w:sz w:val="18"/>
                <w:szCs w:val="18"/>
                <w:color w:val="auto"/>
              </w:rPr>
              <w:t>obligation payable only from the Company’s general assets.</w:t>
            </w:r>
          </w:p>
        </w:tc>
      </w:tr>
      <w:tr>
        <w:trPr>
          <w:trHeight w:val="414"/>
        </w:trPr>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20" w:type="dxa"/>
            <w:vAlign w:val="bottom"/>
          </w:tcPr>
          <w:p>
            <w:pPr>
              <w:jc w:val="center"/>
              <w:ind w:right="3750"/>
              <w:spacing w:after="0"/>
              <w:rPr>
                <w:sz w:val="20"/>
                <w:szCs w:val="20"/>
                <w:color w:val="auto"/>
              </w:rPr>
            </w:pPr>
            <w:r>
              <w:rPr>
                <w:rFonts w:ascii="Arial" w:cs="Arial" w:eastAsia="Arial" w:hAnsi="Arial"/>
                <w:sz w:val="18"/>
                <w:szCs w:val="18"/>
                <w:b w:val="1"/>
                <w:bCs w:val="1"/>
                <w:color w:val="auto"/>
              </w:rPr>
              <w:t>ARTICLE II.</w:t>
            </w:r>
          </w:p>
        </w:tc>
      </w:tr>
      <w:tr>
        <w:trPr>
          <w:trHeight w:val="234"/>
        </w:trPr>
        <w:tc>
          <w:tcPr>
            <w:tcW w:w="1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0" w:type="dxa"/>
            <w:vAlign w:val="bottom"/>
            <w:gridSpan w:val="2"/>
          </w:tcPr>
          <w:p>
            <w:pPr>
              <w:jc w:val="center"/>
              <w:ind w:right="2850"/>
              <w:spacing w:after="0"/>
              <w:rPr>
                <w:sz w:val="20"/>
                <w:szCs w:val="20"/>
                <w:color w:val="auto"/>
              </w:rPr>
            </w:pPr>
            <w:r>
              <w:rPr>
                <w:rFonts w:ascii="Arial" w:cs="Arial" w:eastAsia="Arial" w:hAnsi="Arial"/>
                <w:sz w:val="18"/>
                <w:szCs w:val="18"/>
                <w:b w:val="1"/>
                <w:bCs w:val="1"/>
                <w:color w:val="auto"/>
              </w:rPr>
              <w:t>VESTING; FORFEITURE AND SETTLEMENT</w:t>
            </w:r>
          </w:p>
        </w:tc>
      </w:tr>
      <w:tr>
        <w:trPr>
          <w:trHeight w:val="391"/>
        </w:trPr>
        <w:tc>
          <w:tcPr>
            <w:tcW w:w="1760" w:type="dxa"/>
            <w:vAlign w:val="bottom"/>
          </w:tcPr>
          <w:p>
            <w:pPr>
              <w:jc w:val="right"/>
              <w:ind w:right="570"/>
              <w:spacing w:after="0"/>
              <w:rPr>
                <w:sz w:val="20"/>
                <w:szCs w:val="20"/>
                <w:color w:val="auto"/>
              </w:rPr>
            </w:pPr>
            <w:r>
              <w:rPr>
                <w:rFonts w:ascii="Arial" w:cs="Arial" w:eastAsia="Arial" w:hAnsi="Arial"/>
                <w:sz w:val="18"/>
                <w:szCs w:val="18"/>
                <w:color w:val="auto"/>
              </w:rPr>
              <w:t>2.1</w:t>
            </w:r>
          </w:p>
        </w:tc>
        <w:tc>
          <w:tcPr>
            <w:tcW w:w="9340" w:type="dxa"/>
            <w:vAlign w:val="bottom"/>
            <w:gridSpan w:val="3"/>
          </w:tcPr>
          <w:p>
            <w:pPr>
              <w:spacing w:after="0"/>
              <w:rPr>
                <w:sz w:val="20"/>
                <w:szCs w:val="20"/>
                <w:color w:val="auto"/>
              </w:rPr>
            </w:pPr>
            <w:r>
              <w:rPr>
                <w:rFonts w:ascii="Arial" w:cs="Arial" w:eastAsia="Arial" w:hAnsi="Arial"/>
                <w:sz w:val="18"/>
                <w:szCs w:val="18"/>
                <w:color w:val="auto"/>
                <w:w w:val="91"/>
              </w:rPr>
              <w:t>Vesting; Forfeiture. The RSUs will vest according to the vesting schedule in the Grant Notice except that any fraction of an RSU</w:t>
            </w:r>
          </w:p>
        </w:tc>
      </w:tr>
      <w:tr>
        <w:trPr>
          <w:trHeight w:val="20"/>
        </w:trPr>
        <w:tc>
          <w:tcPr>
            <w:tcW w:w="176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88"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25" w:lineRule="exact"/>
        <w:rPr>
          <w:sz w:val="20"/>
          <w:szCs w:val="20"/>
          <w:color w:val="auto"/>
        </w:rPr>
      </w:pPr>
    </w:p>
    <w:p>
      <w:pPr>
        <w:ind w:right="40" w:firstLine="1735"/>
        <w:spacing w:after="0" w:line="255" w:lineRule="auto"/>
        <w:tabs>
          <w:tab w:leader="none" w:pos="25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92" w:lineRule="exact"/>
        <w:rPr>
          <w:rFonts w:ascii="Arial" w:cs="Arial" w:eastAsia="Arial" w:hAnsi="Arial"/>
          <w:sz w:val="18"/>
          <w:szCs w:val="18"/>
          <w:color w:val="auto"/>
        </w:rPr>
      </w:pPr>
    </w:p>
    <w:p>
      <w:pPr>
        <w:ind w:right="120" w:firstLine="1735"/>
        <w:spacing w:after="0" w:line="277" w:lineRule="auto"/>
        <w:tabs>
          <w:tab w:leader="none" w:pos="25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an RSU is paid in cash, the amount of cash paid with respect to the RSU will equal the Fair Market Value of a Share on the day immediately preceding the payment date. If a Dividend Equivalent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ind w:right="440"/>
        <w:spacing w:after="0" w:line="308" w:lineRule="auto"/>
        <w:rPr>
          <w:sz w:val="20"/>
          <w:szCs w:val="20"/>
          <w:color w:val="auto"/>
        </w:rPr>
      </w:pPr>
      <w:r>
        <w:rPr>
          <w:rFonts w:ascii="Arial" w:cs="Arial" w:eastAsia="Arial" w:hAnsi="Arial"/>
          <w:sz w:val="17"/>
          <w:szCs w:val="17"/>
          <w:color w:val="auto"/>
        </w:rPr>
        <w:t>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520" w:type="dxa"/>
            <w:vAlign w:val="bottom"/>
          </w:tcPr>
          <w:p>
            <w:pPr>
              <w:jc w:val="center"/>
              <w:ind w:right="1030"/>
              <w:spacing w:after="0"/>
              <w:rPr>
                <w:sz w:val="20"/>
                <w:szCs w:val="20"/>
                <w:color w:val="auto"/>
              </w:rPr>
            </w:pPr>
            <w:r>
              <w:rPr>
                <w:rFonts w:ascii="Arial" w:cs="Arial" w:eastAsia="Arial" w:hAnsi="Arial"/>
                <w:sz w:val="18"/>
                <w:szCs w:val="18"/>
                <w:b w:val="1"/>
                <w:bCs w:val="1"/>
                <w:color w:val="auto"/>
              </w:rPr>
              <w:t>Article III.</w:t>
            </w:r>
          </w:p>
        </w:tc>
      </w:tr>
      <w:tr>
        <w:trPr>
          <w:trHeight w:val="234"/>
        </w:trPr>
        <w:tc>
          <w:tcPr>
            <w:tcW w:w="540" w:type="dxa"/>
            <w:vAlign w:val="bottom"/>
          </w:tcPr>
          <w:p>
            <w:pPr>
              <w:spacing w:after="0"/>
              <w:rPr>
                <w:sz w:val="20"/>
                <w:szCs w:val="20"/>
                <w:color w:val="auto"/>
              </w:rPr>
            </w:pPr>
          </w:p>
        </w:tc>
        <w:tc>
          <w:tcPr>
            <w:tcW w:w="9520" w:type="dxa"/>
            <w:vAlign w:val="bottom"/>
          </w:tcPr>
          <w:p>
            <w:pPr>
              <w:jc w:val="center"/>
              <w:ind w:right="1010"/>
              <w:spacing w:after="0"/>
              <w:rPr>
                <w:sz w:val="20"/>
                <w:szCs w:val="20"/>
                <w:color w:val="auto"/>
              </w:rPr>
            </w:pPr>
            <w:r>
              <w:rPr>
                <w:rFonts w:ascii="Arial" w:cs="Arial" w:eastAsia="Arial" w:hAnsi="Arial"/>
                <w:sz w:val="18"/>
                <w:szCs w:val="18"/>
                <w:b w:val="1"/>
                <w:bCs w:val="1"/>
                <w:color w:val="auto"/>
              </w:rPr>
              <w:t>TAXATION AND TAX WITHHOLDING</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3.1</w:t>
            </w:r>
          </w:p>
        </w:tc>
        <w:tc>
          <w:tcPr>
            <w:tcW w:w="9520" w:type="dxa"/>
            <w:vAlign w:val="bottom"/>
          </w:tcPr>
          <w:p>
            <w:pPr>
              <w:ind w:left="320"/>
              <w:spacing w:after="0"/>
              <w:rPr>
                <w:sz w:val="20"/>
                <w:szCs w:val="20"/>
                <w:color w:val="auto"/>
              </w:rPr>
            </w:pPr>
            <w:r>
              <w:rPr>
                <w:rFonts w:ascii="Arial" w:cs="Arial" w:eastAsia="Arial" w:hAnsi="Arial"/>
                <w:sz w:val="18"/>
                <w:szCs w:val="18"/>
                <w:u w:val="single" w:color="auto"/>
                <w:color w:val="auto"/>
                <w:w w:val="90"/>
              </w:rPr>
              <w:t>Representation</w:t>
            </w:r>
            <w:r>
              <w:rPr>
                <w:rFonts w:ascii="Arial" w:cs="Arial" w:eastAsia="Arial" w:hAnsi="Arial"/>
                <w:sz w:val="18"/>
                <w:szCs w:val="18"/>
                <w:color w:val="auto"/>
                <w:w w:val="90"/>
              </w:rPr>
              <w:t>. Participant represents to the Company that Participant has reviewed with Participant’s own tax advisors the tax</w:t>
            </w:r>
          </w:p>
        </w:tc>
      </w:tr>
    </w:tbl>
    <w:p>
      <w:pPr>
        <w:ind w:right="160"/>
        <w:spacing w:after="0" w:line="260" w:lineRule="auto"/>
        <w:rPr>
          <w:sz w:val="20"/>
          <w:szCs w:val="20"/>
          <w:color w:val="auto"/>
        </w:rPr>
      </w:pPr>
      <w:r>
        <w:rPr>
          <w:rFonts w:ascii="Arial" w:cs="Arial" w:eastAsia="Arial" w:hAnsi="Arial"/>
          <w:sz w:val="18"/>
          <w:szCs w:val="18"/>
          <w:color w:val="auto"/>
        </w:rPr>
        <w:t>consequences of this Award and the transactions contemplated by the Grant Notice and this Agreement. Participant is relying solely on such advisors and not on any statements or representations of the Company or any of its agents.</w:t>
      </w:r>
    </w:p>
    <w:p>
      <w:pPr>
        <w:spacing w:after="0" w:line="1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225" w:lineRule="exact"/>
        <w:rPr>
          <w:sz w:val="20"/>
          <w:szCs w:val="20"/>
          <w:color w:val="auto"/>
        </w:rPr>
      </w:pPr>
    </w:p>
    <w:p>
      <w:pPr>
        <w:jc w:val="both"/>
        <w:ind w:right="60" w:firstLine="1735"/>
        <w:spacing w:after="0" w:line="263" w:lineRule="auto"/>
        <w:tabs>
          <w:tab w:leader="none" w:pos="257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83" w:lineRule="exact"/>
        <w:rPr>
          <w:rFonts w:ascii="Arial" w:cs="Arial" w:eastAsia="Arial" w:hAnsi="Arial"/>
          <w:sz w:val="18"/>
          <w:szCs w:val="18"/>
          <w:color w:val="auto"/>
        </w:rPr>
      </w:pPr>
    </w:p>
    <w:p>
      <w:pPr>
        <w:ind w:right="140" w:firstLine="1735"/>
        <w:spacing w:after="0" w:line="255" w:lineRule="auto"/>
        <w:tabs>
          <w:tab w:leader="none" w:pos="258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92" w:lineRule="exact"/>
        <w:rPr>
          <w:rFonts w:ascii="Arial" w:cs="Arial" w:eastAsia="Arial" w:hAnsi="Arial"/>
          <w:sz w:val="18"/>
          <w:szCs w:val="18"/>
          <w:color w:val="auto"/>
        </w:rPr>
      </w:pPr>
    </w:p>
    <w:p>
      <w:pPr>
        <w:ind w:left="2580" w:hanging="845"/>
        <w:spacing w:after="0"/>
        <w:tabs>
          <w:tab w:leader="none" w:pos="258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Mandatory Sell to Cover</w:t>
      </w:r>
    </w:p>
    <w:p>
      <w:pPr>
        <w:spacing w:after="0" w:line="225" w:lineRule="exact"/>
        <w:rPr>
          <w:rFonts w:ascii="Arial" w:cs="Arial" w:eastAsia="Arial" w:hAnsi="Arial"/>
          <w:sz w:val="18"/>
          <w:szCs w:val="18"/>
          <w:color w:val="auto"/>
        </w:rPr>
      </w:pPr>
    </w:p>
    <w:p>
      <w:pPr>
        <w:ind w:left="880" w:right="20" w:firstLine="789"/>
        <w:spacing w:after="0" w:line="253" w:lineRule="auto"/>
        <w:tabs>
          <w:tab w:leader="none" w:pos="24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accepting this Award, Participant understands and agrees that as a condition of the grant of the RSUs hereunder, Participant is required to, and hereby affirmatively elects to (the “Sell to Cover Election”), (1) sell that number of Shares determined in accordance with this Section 3.2(c) as may be necessary to satisfy all applicable withholding obligations with respect to any taxable event arising in connection with the RSUs and similarly sell such number of Shares as may be necessary to satisfy all applicable withholding obligations with respect to any other awards of restricted stock units granted to Participant under the Plan or any other equity incentive plans of the Company or its predecessor, and (2) to allow the transfer agent (together with any other party the Company determines necessary to execute the Sell to Cover Election, the “Agent”) to remit the cash proceeds of such sale(s) to the Company. Furthermore, Participant directs the Company to make a cash payment equal to the required tax withholding from the cash proceeds of such sale(s) directly to the appropriate taxing authorities.</w:t>
      </w:r>
    </w:p>
    <w:p>
      <w:pPr>
        <w:spacing w:after="0" w:line="196" w:lineRule="exact"/>
        <w:rPr>
          <w:rFonts w:ascii="Arial" w:cs="Arial" w:eastAsia="Arial" w:hAnsi="Arial"/>
          <w:sz w:val="18"/>
          <w:szCs w:val="18"/>
          <w:color w:val="auto"/>
        </w:rPr>
      </w:pPr>
    </w:p>
    <w:p>
      <w:pPr>
        <w:ind w:left="880" w:right="60" w:firstLine="789"/>
        <w:spacing w:after="0" w:line="285" w:lineRule="auto"/>
        <w:tabs>
          <w:tab w:leader="none" w:pos="254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Participant hereby appoints the Agent as Participant’s agent and authorizes the Agent to (1) sell on the open market at the then prevailing market price(s), on the Participant’s behalf, as soon as practicable on or after the date the Shares are issued upon the vesting of the RSUs,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any remaining funds to Participant’s tax withholding obligations</w:t>
      </w:r>
    </w:p>
    <w:p>
      <w:pPr>
        <w:spacing w:after="0" w:line="1" w:lineRule="exact"/>
        <w:rPr>
          <w:rFonts w:ascii="Arial" w:cs="Arial" w:eastAsia="Arial" w:hAnsi="Arial"/>
          <w:sz w:val="16"/>
          <w:szCs w:val="16"/>
          <w:color w:val="auto"/>
        </w:rPr>
      </w:pPr>
    </w:p>
    <w:p>
      <w:pPr>
        <w:ind w:left="880"/>
        <w:spacing w:after="0" w:line="252" w:lineRule="auto"/>
        <w:rPr>
          <w:rFonts w:ascii="Arial" w:cs="Arial" w:eastAsia="Arial" w:hAnsi="Arial"/>
          <w:sz w:val="16"/>
          <w:szCs w:val="16"/>
          <w:color w:val="auto"/>
        </w:rPr>
      </w:pPr>
      <w:r>
        <w:rPr>
          <w:rFonts w:ascii="Arial" w:cs="Arial" w:eastAsia="Arial" w:hAnsi="Arial"/>
          <w:sz w:val="18"/>
          <w:szCs w:val="18"/>
          <w:color w:val="auto"/>
        </w:rPr>
        <w:t>hereunder. Participant hereby authorizes the Company and the Agent to cooperate and communicate with one another to determine the number of Shares that must be sold pursuant to this Section 3.2(c)(ii). Participant understands that the Agent may effect sales as provided in this Section 3.2(c)(ii) in one or more sales and that the average price for executions resulting from bunched orders will be assigned to Participant’s account. In addition, Participant acknowledges that it may not be possible to sell Shares as provided by this Section 3.2(c)(ii) due to (1) a legal or contractual restriction applicable to Participant or the Agent, (2) a market disruption, or (3) rules governing order execution priority on the national exchange where the Shares may be traded. Participant further agrees and acknowledges that in the event the sale of Shares would result in material adverse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ind w:left="880"/>
        <w:spacing w:after="0" w:line="269" w:lineRule="auto"/>
        <w:rPr>
          <w:sz w:val="20"/>
          <w:szCs w:val="20"/>
          <w:color w:val="auto"/>
        </w:rPr>
      </w:pPr>
      <w:r>
        <w:rPr>
          <w:rFonts w:ascii="Arial" w:cs="Arial" w:eastAsia="Arial" w:hAnsi="Arial"/>
          <w:sz w:val="17"/>
          <w:szCs w:val="17"/>
          <w:color w:val="auto"/>
        </w:rPr>
        <w:t>to the Company, as determined by the Company in its sole discretion, the Company may instruct the Agent not to sell Shares as provided by this Section 3.2(c)(ii).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this Section 3.2(c)(ii). Participant acknowledges that regardless of any other term or condition of this Section 3.2(c),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 Participant hereby agrees to execute and deliver to the Agent any other agreements or documents as the Agent reasonably deems necessary or appropriate to carry out the purposes and intent of this Section 3.2(c). The Agent is a third-party beneficiary of this Section 3.2(c). This Section 3.2(c) shall terminate not later than the date on which all tax withholding obligations arising in connection with the Award have been satisfied.</w:t>
      </w:r>
    </w:p>
    <w:p>
      <w:pPr>
        <w:spacing w:after="0" w:line="181" w:lineRule="exact"/>
        <w:rPr>
          <w:sz w:val="20"/>
          <w:szCs w:val="20"/>
          <w:color w:val="auto"/>
        </w:rPr>
      </w:pPr>
    </w:p>
    <w:p>
      <w:pPr>
        <w:ind w:left="880" w:firstLine="789"/>
        <w:spacing w:after="0" w:line="285" w:lineRule="auto"/>
        <w:tabs>
          <w:tab w:leader="none" w:pos="2595"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Participant has carefully reviewed this Section 3.2(c) and Participant hereby represents and warrants that on the date hereof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Exchange Act. It is Participant’s intent that this election to “sell to cover” comply with the requirements of Rule 10b5-1(c)</w:t>
      </w:r>
    </w:p>
    <w:p>
      <w:pPr>
        <w:ind w:left="880"/>
        <w:spacing w:after="0"/>
        <w:rPr>
          <w:rFonts w:ascii="Arial" w:cs="Arial" w:eastAsia="Arial" w:hAnsi="Arial"/>
          <w:sz w:val="16"/>
          <w:szCs w:val="16"/>
          <w:b w:val="1"/>
          <w:bCs w:val="1"/>
          <w:color w:val="auto"/>
        </w:rPr>
      </w:pPr>
      <w:r>
        <w:rPr>
          <w:rFonts w:ascii="Arial" w:cs="Arial" w:eastAsia="Arial" w:hAnsi="Arial"/>
          <w:sz w:val="17"/>
          <w:szCs w:val="17"/>
          <w:b w:val="1"/>
          <w:bCs w:val="1"/>
          <w:color w:val="auto"/>
        </w:rPr>
        <w:t>(1)(i)(B) under the Exchange Act and be interpreted to comply with the requirements of Rule 10b5-1(c) under the Exchange Act.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00" w:type="dxa"/>
            <w:vAlign w:val="bottom"/>
          </w:tcPr>
          <w:p>
            <w:pPr>
              <w:jc w:val="center"/>
              <w:ind w:right="2490"/>
              <w:spacing w:after="0"/>
              <w:rPr>
                <w:sz w:val="20"/>
                <w:szCs w:val="20"/>
                <w:color w:val="auto"/>
              </w:rPr>
            </w:pPr>
            <w:r>
              <w:rPr>
                <w:rFonts w:ascii="Arial" w:cs="Arial" w:eastAsia="Arial" w:hAnsi="Arial"/>
                <w:sz w:val="18"/>
                <w:szCs w:val="18"/>
                <w:b w:val="1"/>
                <w:bCs w:val="1"/>
                <w:color w:val="auto"/>
              </w:rPr>
              <w:t>ARTICLE IV.</w:t>
            </w:r>
          </w:p>
        </w:tc>
      </w:tr>
      <w:tr>
        <w:trPr>
          <w:trHeight w:val="234"/>
        </w:trPr>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500" w:type="dxa"/>
            <w:vAlign w:val="bottom"/>
          </w:tcPr>
          <w:p>
            <w:pPr>
              <w:jc w:val="center"/>
              <w:ind w:right="2470"/>
              <w:spacing w:after="0"/>
              <w:rPr>
                <w:sz w:val="20"/>
                <w:szCs w:val="20"/>
                <w:color w:val="auto"/>
              </w:rPr>
            </w:pPr>
            <w:r>
              <w:rPr>
                <w:rFonts w:ascii="Arial" w:cs="Arial" w:eastAsia="Arial" w:hAnsi="Arial"/>
                <w:sz w:val="18"/>
                <w:szCs w:val="18"/>
                <w:b w:val="1"/>
                <w:bCs w:val="1"/>
                <w:color w:val="auto"/>
              </w:rPr>
              <w:t>OTHER PROVISIONS</w:t>
            </w:r>
          </w:p>
        </w:tc>
      </w:tr>
      <w:tr>
        <w:trPr>
          <w:trHeight w:val="392"/>
        </w:trPr>
        <w:tc>
          <w:tcPr>
            <w:tcW w:w="174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9420" w:type="dxa"/>
            <w:vAlign w:val="bottom"/>
            <w:gridSpan w:val="3"/>
          </w:tcPr>
          <w:p>
            <w:pPr>
              <w:spacing w:after="0"/>
              <w:rPr>
                <w:sz w:val="20"/>
                <w:szCs w:val="20"/>
                <w:color w:val="auto"/>
              </w:rPr>
            </w:pPr>
            <w:r>
              <w:rPr>
                <w:rFonts w:ascii="Arial" w:cs="Arial" w:eastAsia="Arial" w:hAnsi="Arial"/>
                <w:sz w:val="18"/>
                <w:szCs w:val="18"/>
                <w:color w:val="auto"/>
                <w:w w:val="90"/>
              </w:rPr>
              <w:t>Adjustments. Participant acknowledges that the RSUs, the Shares subject to the RSUs and the Dividend Equivalents are subject to</w:t>
            </w:r>
          </w:p>
        </w:tc>
      </w:tr>
      <w:tr>
        <w:trPr>
          <w:trHeight w:val="20"/>
        </w:trPr>
        <w:tc>
          <w:tcPr>
            <w:tcW w:w="1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7"/>
        </w:trPr>
        <w:tc>
          <w:tcPr>
            <w:tcW w:w="11160" w:type="dxa"/>
            <w:vAlign w:val="bottom"/>
            <w:gridSpan w:val="4"/>
          </w:tcPr>
          <w:p>
            <w:pPr>
              <w:spacing w:after="0"/>
              <w:rPr>
                <w:sz w:val="20"/>
                <w:szCs w:val="20"/>
                <w:color w:val="auto"/>
              </w:rPr>
            </w:pPr>
            <w:r>
              <w:rPr>
                <w:rFonts w:ascii="Arial" w:cs="Arial" w:eastAsia="Arial" w:hAnsi="Arial"/>
                <w:sz w:val="18"/>
                <w:szCs w:val="18"/>
                <w:color w:val="auto"/>
              </w:rPr>
              <w:t>adjustment, modification and termination in certain events as provided in this Agreement and the Plan.</w:t>
            </w:r>
          </w:p>
        </w:tc>
      </w:tr>
      <w:tr>
        <w:trPr>
          <w:trHeight w:val="391"/>
        </w:trPr>
        <w:tc>
          <w:tcPr>
            <w:tcW w:w="174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9420" w:type="dxa"/>
            <w:vAlign w:val="bottom"/>
            <w:gridSpan w:val="3"/>
          </w:tcPr>
          <w:p>
            <w:pPr>
              <w:spacing w:after="0"/>
              <w:rPr>
                <w:sz w:val="20"/>
                <w:szCs w:val="20"/>
                <w:color w:val="auto"/>
              </w:rPr>
            </w:pPr>
            <w:r>
              <w:rPr>
                <w:rFonts w:ascii="Arial" w:cs="Arial" w:eastAsia="Arial" w:hAnsi="Arial"/>
                <w:sz w:val="18"/>
                <w:szCs w:val="18"/>
                <w:color w:val="auto"/>
                <w:w w:val="96"/>
              </w:rPr>
              <w:t>Notices. Any notice to be given under the terms of this Agreement to the Company must be in writing and addressed to the</w:t>
            </w:r>
          </w:p>
        </w:tc>
      </w:tr>
      <w:tr>
        <w:trPr>
          <w:trHeight w:val="20"/>
        </w:trPr>
        <w:tc>
          <w:tcPr>
            <w:tcW w:w="1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right"/>
              <w:ind w:right="550"/>
              <w:spacing w:after="0"/>
              <w:rPr>
                <w:sz w:val="20"/>
                <w:szCs w:val="20"/>
                <w:color w:val="auto"/>
              </w:rPr>
            </w:pPr>
            <w:r>
              <w:rPr>
                <w:rFonts w:ascii="Arial" w:cs="Arial" w:eastAsia="Arial" w:hAnsi="Arial"/>
                <w:sz w:val="18"/>
                <w:szCs w:val="18"/>
                <w:color w:val="auto"/>
              </w:rPr>
              <w:t>4.3</w:t>
            </w:r>
          </w:p>
        </w:tc>
        <w:tc>
          <w:tcPr>
            <w:tcW w:w="9020" w:type="dxa"/>
            <w:vAlign w:val="bottom"/>
            <w:gridSpan w:val="3"/>
          </w:tcPr>
          <w:p>
            <w:pPr>
              <w:spacing w:after="0"/>
              <w:rPr>
                <w:sz w:val="20"/>
                <w:szCs w:val="20"/>
                <w:color w:val="auto"/>
              </w:rPr>
            </w:pPr>
            <w:r>
              <w:rPr>
                <w:rFonts w:ascii="Arial" w:cs="Arial" w:eastAsia="Arial" w:hAnsi="Arial"/>
                <w:sz w:val="18"/>
                <w:szCs w:val="18"/>
                <w:color w:val="auto"/>
                <w:w w:val="90"/>
              </w:rPr>
              <w:t>Titles. Titles are provided herein for convenience only and are not to serve as a basis for interpretation or construction of this</w:t>
            </w:r>
          </w:p>
        </w:tc>
      </w:tr>
      <w:tr>
        <w:trPr>
          <w:trHeight w:val="237"/>
        </w:trPr>
        <w:tc>
          <w:tcPr>
            <w:tcW w:w="1740" w:type="dxa"/>
            <w:vAlign w:val="bottom"/>
          </w:tcPr>
          <w:p>
            <w:pPr>
              <w:jc w:val="right"/>
              <w:ind w:right="790"/>
              <w:spacing w:after="0"/>
              <w:rPr>
                <w:sz w:val="20"/>
                <w:szCs w:val="20"/>
                <w:color w:val="auto"/>
              </w:rPr>
            </w:pPr>
            <w:r>
              <w:rPr>
                <w:rFonts w:ascii="Arial" w:cs="Arial" w:eastAsia="Arial" w:hAnsi="Arial"/>
                <w:sz w:val="18"/>
                <w:szCs w:val="18"/>
                <w:color w:val="auto"/>
                <w:w w:val="90"/>
              </w:rPr>
              <w:t>Agreement.</w:t>
            </w:r>
          </w:p>
        </w:tc>
        <w:tc>
          <w:tcPr>
            <w:tcW w:w="40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391"/>
        </w:trPr>
        <w:tc>
          <w:tcPr>
            <w:tcW w:w="1740" w:type="dxa"/>
            <w:vAlign w:val="bottom"/>
          </w:tcPr>
          <w:p>
            <w:pPr>
              <w:jc w:val="right"/>
              <w:ind w:right="550"/>
              <w:spacing w:after="0"/>
              <w:rPr>
                <w:sz w:val="20"/>
                <w:szCs w:val="20"/>
                <w:color w:val="auto"/>
              </w:rPr>
            </w:pPr>
            <w:r>
              <w:rPr>
                <w:rFonts w:ascii="Arial" w:cs="Arial" w:eastAsia="Arial" w:hAnsi="Arial"/>
                <w:sz w:val="18"/>
                <w:szCs w:val="18"/>
                <w:color w:val="auto"/>
              </w:rPr>
              <w:t>4.4</w:t>
            </w:r>
          </w:p>
        </w:tc>
        <w:tc>
          <w:tcPr>
            <w:tcW w:w="9020" w:type="dxa"/>
            <w:vAlign w:val="bottom"/>
            <w:gridSpan w:val="3"/>
          </w:tcPr>
          <w:p>
            <w:pPr>
              <w:spacing w:after="0"/>
              <w:rPr>
                <w:sz w:val="20"/>
                <w:szCs w:val="20"/>
                <w:color w:val="auto"/>
              </w:rPr>
            </w:pPr>
            <w:r>
              <w:rPr>
                <w:rFonts w:ascii="Arial" w:cs="Arial" w:eastAsia="Arial" w:hAnsi="Arial"/>
                <w:sz w:val="18"/>
                <w:szCs w:val="18"/>
                <w:color w:val="auto"/>
                <w:w w:val="91"/>
              </w:rPr>
              <w:t>Conformity to Securities Laws. Participant acknowledges that the Plan, the Grant Notice and this Agreement are intended to</w:t>
            </w:r>
          </w:p>
        </w:tc>
      </w:tr>
      <w:tr>
        <w:trPr>
          <w:trHeight w:val="20"/>
        </w:trPr>
        <w:tc>
          <w:tcPr>
            <w:tcW w:w="1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conform to the extent necessary with all Applicable Laws and, to the extent Applicable Laws permit, will be deemed amended as necessary to conform to Applicable Laws.</w:t>
      </w:r>
    </w:p>
    <w:p>
      <w:pPr>
        <w:spacing w:after="0" w:line="170" w:lineRule="exact"/>
        <w:rPr>
          <w:sz w:val="20"/>
          <w:szCs w:val="20"/>
          <w:color w:val="auto"/>
        </w:rPr>
      </w:pPr>
    </w:p>
    <w:p>
      <w:pPr>
        <w:ind w:right="100" w:firstLine="864"/>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6" w:name="page157"/>
    <w:bookmarkEnd w:id="156"/>
    <w:p>
      <w:pPr>
        <w:ind w:right="80" w:firstLine="864"/>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8" w:lineRule="exact"/>
        <w:rPr>
          <w:sz w:val="20"/>
          <w:szCs w:val="20"/>
          <w:color w:val="auto"/>
        </w:rPr>
      </w:pPr>
    </w:p>
    <w:p>
      <w:pPr>
        <w:ind w:right="40" w:firstLine="864"/>
        <w:spacing w:after="0" w:line="34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4"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92"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7" w:lineRule="exact"/>
        <w:rPr>
          <w:sz w:val="20"/>
          <w:szCs w:val="20"/>
          <w:color w:val="auto"/>
        </w:rPr>
      </w:pPr>
    </w:p>
    <w:p>
      <w:pPr>
        <w:ind w:right="440" w:firstLine="864"/>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7" w:name="page158"/>
    <w:bookmarkEnd w:id="157"/>
    <w:p>
      <w:pPr>
        <w:ind w:left="8460"/>
        <w:spacing w:after="0"/>
        <w:rPr>
          <w:sz w:val="20"/>
          <w:szCs w:val="20"/>
          <w:color w:val="auto"/>
        </w:rPr>
      </w:pPr>
      <w:r>
        <w:rPr>
          <w:rFonts w:ascii="Arial" w:cs="Arial" w:eastAsia="Arial" w:hAnsi="Arial"/>
          <w:sz w:val="16"/>
          <w:szCs w:val="16"/>
          <w:i w:val="1"/>
          <w:iCs w:val="1"/>
          <w:color w:val="auto"/>
        </w:rPr>
        <w:t>Form of Restricted Stock Grant Notice</w:t>
      </w:r>
    </w:p>
    <w:p>
      <w:pPr>
        <w:spacing w:after="0" w:line="24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SERES HEALTH,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2015 INCENTIVE AWARD PLAN</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GRANT NOTICE</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Capitalized terms not specifically defined in this Restricted Stock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2015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Seres Health,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shares of Restricted Stock described in this Grant Notice (the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subject to the terms and conditions of the Plan and the Restricted Stock Agreement attached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into this Grant Notice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225"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[To be specified in individual award agreements]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SERES HEALTH, INC.</w:t>
            </w:r>
          </w:p>
        </w:tc>
        <w:tc>
          <w:tcPr>
            <w:tcW w:w="5480" w:type="dxa"/>
            <w:vAlign w:val="bottom"/>
            <w:gridSpan w:val="3"/>
          </w:tcPr>
          <w:p>
            <w:pPr>
              <w:ind w:left="28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4"/>
                <w:szCs w:val="24"/>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1200" w:type="dxa"/>
            <w:vAlign w:val="bottom"/>
          </w:tcPr>
          <w:p>
            <w:pPr>
              <w:spacing w:after="0"/>
              <w:rPr>
                <w:sz w:val="20"/>
                <w:szCs w:val="20"/>
                <w:color w:val="auto"/>
              </w:rPr>
            </w:pPr>
            <w:r>
              <w:rPr>
                <w:rFonts w:ascii="Arial" w:cs="Arial" w:eastAsia="Arial" w:hAnsi="Arial"/>
                <w:sz w:val="18"/>
                <w:szCs w:val="18"/>
                <w:color w:val="auto"/>
              </w:rPr>
              <w:t>Print Name:</w:t>
            </w:r>
          </w:p>
        </w:tc>
        <w:tc>
          <w:tcPr>
            <w:tcW w:w="4580" w:type="dxa"/>
            <w:vAlign w:val="bottom"/>
            <w:tcBorders>
              <w:bottom w:val="single" w:sz="8" w:color="auto"/>
            </w:tcBorders>
          </w:tcPr>
          <w:p>
            <w:pPr>
              <w:spacing w:after="0"/>
              <w:rPr>
                <w:sz w:val="24"/>
                <w:szCs w:val="24"/>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Print Name:</w:t>
            </w:r>
          </w:p>
        </w:tc>
        <w:tc>
          <w:tcPr>
            <w:tcW w:w="3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57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3"/>
        </w:trPr>
        <w:tc>
          <w:tcPr>
            <w:tcW w:w="1200" w:type="dxa"/>
            <w:vAlign w:val="bottom"/>
            <w:tcBorders>
              <w:bottom w:val="single" w:sz="8" w:color="9A9A9A"/>
            </w:tcBorders>
          </w:tcPr>
          <w:p>
            <w:pPr>
              <w:spacing w:after="0"/>
              <w:rPr>
                <w:sz w:val="24"/>
                <w:szCs w:val="24"/>
                <w:color w:val="auto"/>
              </w:rPr>
            </w:pPr>
          </w:p>
        </w:tc>
        <w:tc>
          <w:tcPr>
            <w:tcW w:w="4580" w:type="dxa"/>
            <w:vAlign w:val="bottom"/>
            <w:tcBorders>
              <w:top w:val="single" w:sz="8" w:color="auto"/>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Capitalized terms not specifically defined in this Agreement have the meanings specified in the Grant Notice or, if not defined in the Grant Notice, in the Plan.</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Issuance of Restricted Shares</w:t>
      </w:r>
      <w:r>
        <w:rPr>
          <w:rFonts w:ascii="Arial" w:cs="Arial" w:eastAsia="Arial" w:hAnsi="Arial"/>
          <w:sz w:val="17"/>
          <w:szCs w:val="17"/>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7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FORFEITURE AND ESCROW</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The Restricted Shares will become vested Shares (the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Forfeiture</w:t>
      </w:r>
      <w:r>
        <w:rPr>
          <w:rFonts w:ascii="Arial" w:cs="Arial" w:eastAsia="Arial" w:hAnsi="Arial"/>
          <w:sz w:val="18"/>
          <w:szCs w:val="18"/>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93" w:lineRule="auto"/>
        <w:tabs>
          <w:tab w:leader="none" w:pos="24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164" w:lineRule="exact"/>
        <w:rPr>
          <w:rFonts w:ascii="Arial" w:cs="Arial" w:eastAsia="Arial" w:hAnsi="Arial"/>
          <w:sz w:val="16"/>
          <w:szCs w:val="16"/>
          <w:color w:val="auto"/>
        </w:rPr>
      </w:pPr>
    </w:p>
    <w:p>
      <w:pPr>
        <w:ind w:firstLine="8"/>
        <w:spacing w:after="0" w:line="293"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All cash dividends and other distributions made or declared with respect to Unvested Shares (“</w:t>
      </w:r>
      <w:r>
        <w:rPr>
          <w:rFonts w:ascii="Arial" w:cs="Arial" w:eastAsia="Arial" w:hAnsi="Arial"/>
          <w:sz w:val="16"/>
          <w:szCs w:val="16"/>
          <w:b w:val="1"/>
          <w:bCs w:val="1"/>
          <w:i w:val="1"/>
          <w:iCs w:val="1"/>
          <w:color w:val="auto"/>
        </w:rPr>
        <w:t>Retained Distributions</w:t>
      </w:r>
      <w:r>
        <w:rPr>
          <w:rFonts w:ascii="Arial" w:cs="Arial" w:eastAsia="Arial" w:hAnsi="Arial"/>
          <w:sz w:val="16"/>
          <w:szCs w:val="16"/>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6"/>
          <w:szCs w:val="16"/>
          <w:b w:val="1"/>
          <w:bCs w:val="1"/>
          <w:i w:val="1"/>
          <w:iCs w:val="1"/>
          <w:color w:val="auto"/>
        </w:rPr>
        <w:t>Retained Distribution Account</w:t>
      </w:r>
      <w:r>
        <w:rPr>
          <w:rFonts w:ascii="Arial" w:cs="Arial" w:eastAsia="Arial" w:hAnsi="Arial"/>
          <w:sz w:val="16"/>
          <w:szCs w:val="16"/>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ind w:right="40" w:firstLine="8"/>
        <w:spacing w:after="0" w:line="259"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TAXATION AND TAX WITHHOLDING</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63" w:lineRule="auto"/>
        <w:tabs>
          <w:tab w:leader="none" w:pos="2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83" w:lineRule="exact"/>
        <w:rPr>
          <w:rFonts w:ascii="Arial" w:cs="Arial" w:eastAsia="Arial" w:hAnsi="Arial"/>
          <w:sz w:val="18"/>
          <w:szCs w:val="18"/>
          <w:color w:val="auto"/>
        </w:rPr>
      </w:pPr>
    </w:p>
    <w:p>
      <w:pPr>
        <w:ind w:right="40" w:firstLine="8"/>
        <w:spacing w:after="0" w:line="275" w:lineRule="auto"/>
        <w:tabs>
          <w:tab w:leader="none" w:pos="2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LEGENDS AND TRANSFERABILITY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Legends</w:t>
      </w:r>
      <w:r>
        <w:rPr>
          <w:rFonts w:ascii="Arial" w:cs="Arial" w:eastAsia="Arial" w:hAnsi="Arial"/>
          <w:sz w:val="17"/>
          <w:szCs w:val="17"/>
          <w:color w:val="auto"/>
        </w:rPr>
        <w:t>. Any certificate representing a Restricted Share will bear the following legend until the Restricted Share becomes a Vested Share:</w:t>
      </w:r>
    </w:p>
    <w:p>
      <w:pPr>
        <w:spacing w:after="0" w:line="23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Transferability</w:t>
      </w:r>
      <w:r>
        <w:rPr>
          <w:rFonts w:ascii="Arial" w:cs="Arial" w:eastAsia="Arial" w:hAnsi="Arial"/>
          <w:sz w:val="18"/>
          <w:szCs w:val="18"/>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0" w:name="page161"/>
    <w:bookmarkEnd w:id="160"/>
    <w:p>
      <w:pPr>
        <w:ind w:right="140"/>
        <w:spacing w:after="0" w:line="277" w:lineRule="auto"/>
        <w:rPr>
          <w:sz w:val="20"/>
          <w:szCs w:val="20"/>
          <w:color w:val="auto"/>
        </w:rPr>
      </w:pPr>
      <w:r>
        <w:rPr>
          <w:rFonts w:ascii="Arial" w:cs="Arial" w:eastAsia="Arial" w:hAnsi="Arial"/>
          <w:sz w:val="18"/>
          <w:szCs w:val="18"/>
          <w:color w:val="auto"/>
        </w:rPr>
        <w:t>whom such Restricted Share has been so transferred. The Company may issue appropriate “stop transfer” instructions to its transfer agent, if any, or make appropriate notations to the same effect in its records.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Adjustments</w:t>
      </w:r>
      <w:r>
        <w:rPr>
          <w:rFonts w:ascii="Arial" w:cs="Arial" w:eastAsia="Arial" w:hAnsi="Arial"/>
          <w:sz w:val="18"/>
          <w:szCs w:val="18"/>
          <w:color w:val="auto"/>
        </w:rPr>
        <w:t>. Participant acknowledges that the Restricted Shares are subject to adjustment, modification and termination in certain events as provided in this Agreement and the Plan.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2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5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1" w:name="page162"/>
    <w:bookmarkEnd w:id="161"/>
    <w:p>
      <w:pPr>
        <w:spacing w:after="0" w:line="27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62" w:name="page163"/>
    <w:bookmarkEnd w:id="162"/>
    <w:p>
      <w:pPr>
        <w:ind w:left="8680"/>
        <w:spacing w:after="0"/>
        <w:rPr>
          <w:sz w:val="20"/>
          <w:szCs w:val="20"/>
          <w:color w:val="auto"/>
        </w:rPr>
      </w:pPr>
      <w:r>
        <w:rPr>
          <w:rFonts w:ascii="Arial" w:cs="Arial" w:eastAsia="Arial" w:hAnsi="Arial"/>
          <w:sz w:val="16"/>
          <w:szCs w:val="16"/>
          <w:i w:val="1"/>
          <w:iCs w:val="1"/>
          <w:color w:val="auto"/>
        </w:rPr>
        <w:t>Form of Stock Option Grant Notice</w:t>
      </w:r>
    </w:p>
    <w:p>
      <w:pPr>
        <w:spacing w:after="0" w:line="24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SERES HEALTH,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2015 INCENTIVE AWARD PLAN</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GRANT NOTICE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Capitalized terms not specifically defined in this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2015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Seres Health,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hereby grants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stock option described in this Grant Notice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xml:space="preserve">”), subject to the terms and conditions of the Plan and the Stock Option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Expiration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ectPr>
          <w:pgSz w:w="11900" w:h="16838" w:orient="portrait"/>
          <w:cols w:equalWidth="0" w:num="1">
            <w:col w:w="11260"/>
          </w:cols>
          <w:pgMar w:left="320" w:top="341" w:right="3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be specified in individual award agreements]</w:t>
      </w:r>
    </w:p>
    <w:p>
      <w:pPr>
        <w:spacing w:after="0" w:line="200" w:lineRule="exact"/>
        <w:rPr>
          <w:sz w:val="20"/>
          <w:szCs w:val="20"/>
          <w:color w:val="auto"/>
        </w:rPr>
      </w:pPr>
    </w:p>
    <w:p>
      <w:pPr>
        <w:sectPr>
          <w:pgSz w:w="11900" w:h="16838" w:orient="portrait"/>
          <w:cols w:equalWidth="0" w:num="2">
            <w:col w:w="3320" w:space="720"/>
            <w:col w:w="7220"/>
          </w:cols>
          <w:pgMar w:left="320" w:top="341" w:right="3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w:t>
      </w:r>
    </w:p>
    <w:p>
      <w:pPr>
        <w:spacing w:after="0" w:line="200" w:lineRule="exact"/>
        <w:rPr>
          <w:sz w:val="20"/>
          <w:szCs w:val="20"/>
          <w:color w:val="auto"/>
        </w:rPr>
      </w:pPr>
    </w:p>
    <w:p>
      <w:pPr>
        <w:sectPr>
          <w:pgSz w:w="11900" w:h="16838" w:orient="portrait"/>
          <w:cols w:equalWidth="0" w:num="5">
            <w:col w:w="3320" w:space="720"/>
            <w:col w:w="160" w:space="100"/>
            <w:col w:w="1660" w:space="280"/>
            <w:col w:w="160" w:space="80"/>
            <w:col w:w="4780"/>
          </w:cols>
          <w:pgMar w:left="320" w:top="341" w:right="319" w:bottom="1440" w:gutter="0" w:footer="0" w:header="0"/>
          <w:type w:val="continuous"/>
        </w:sectPr>
      </w:pPr>
    </w:p>
    <w:p>
      <w:pPr>
        <w:spacing w:after="0" w:line="4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SERES HEALTH, INC.</w:t>
            </w:r>
          </w:p>
        </w:tc>
        <w:tc>
          <w:tcPr>
            <w:tcW w:w="5500" w:type="dxa"/>
            <w:vAlign w:val="bottom"/>
            <w:gridSpan w:val="3"/>
          </w:tcPr>
          <w:p>
            <w:pPr>
              <w:ind w:left="28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1200" w:type="dxa"/>
            <w:vAlign w:val="bottom"/>
          </w:tcPr>
          <w:p>
            <w:pPr>
              <w:spacing w:after="0"/>
              <w:rPr>
                <w:sz w:val="20"/>
                <w:szCs w:val="20"/>
                <w:color w:val="auto"/>
              </w:rPr>
            </w:pPr>
            <w:r>
              <w:rPr>
                <w:rFonts w:ascii="Arial" w:cs="Arial" w:eastAsia="Arial" w:hAnsi="Arial"/>
                <w:sz w:val="18"/>
                <w:szCs w:val="18"/>
                <w:color w:val="auto"/>
              </w:rPr>
              <w:t>Print Name:</w:t>
            </w:r>
          </w:p>
        </w:tc>
        <w:tc>
          <w:tcPr>
            <w:tcW w:w="4560" w:type="dxa"/>
            <w:vAlign w:val="bottom"/>
            <w:tcBorders>
              <w:bottom w:val="single" w:sz="8" w:color="auto"/>
            </w:tcBorders>
          </w:tcPr>
          <w:p>
            <w:pPr>
              <w:spacing w:after="0"/>
              <w:rPr>
                <w:sz w:val="24"/>
                <w:szCs w:val="24"/>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Print Name:</w:t>
            </w:r>
          </w:p>
        </w:tc>
        <w:tc>
          <w:tcPr>
            <w:tcW w:w="3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5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3"/>
        </w:trPr>
        <w:tc>
          <w:tcPr>
            <w:tcW w:w="1200" w:type="dxa"/>
            <w:vAlign w:val="bottom"/>
            <w:tcBorders>
              <w:bottom w:val="single" w:sz="8" w:color="9A9A9A"/>
            </w:tcBorders>
          </w:tcPr>
          <w:p>
            <w:pPr>
              <w:spacing w:after="0"/>
              <w:rPr>
                <w:sz w:val="24"/>
                <w:szCs w:val="24"/>
                <w:color w:val="auto"/>
              </w:rPr>
            </w:pPr>
          </w:p>
        </w:tc>
        <w:tc>
          <w:tcPr>
            <w:tcW w:w="4560" w:type="dxa"/>
            <w:vAlign w:val="bottom"/>
            <w:tcBorders>
              <w:top w:val="single" w:sz="8" w:color="auto"/>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Capitalized terms not specifically defined in this Agreement have the meanings specified in the Grant Notice or, if not defined in the Grant Notice, in the Plan.</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Grant of Option</w:t>
      </w:r>
      <w:r>
        <w:rPr>
          <w:rFonts w:ascii="Arial" w:cs="Arial" w:eastAsia="Arial" w:hAnsi="Arial"/>
          <w:sz w:val="18"/>
          <w:szCs w:val="18"/>
          <w:color w:val="auto"/>
        </w:rPr>
        <w:t>. Pursuant to the Grant Notice to which this Agreement is attached, the Company has granted to Participant the Option effective as of the grant date set forth in the Grant Notice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 The Option will vest and become exercisable according to the vesting schedule in the Grant Notice (the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except that any fraction of a Share as to which the Option would be vested or exercisable will be accumulated and will vest and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and will expire on, the first of the following to occur:</w:t>
      </w:r>
    </w:p>
    <w:p>
      <w:pPr>
        <w:spacing w:after="0" w:line="225"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final expiration date in the Grant Notice;</w:t>
      </w:r>
    </w:p>
    <w:p>
      <w:pPr>
        <w:spacing w:after="0" w:line="225"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70" w:lineRule="exact"/>
        <w:rPr>
          <w:rFonts w:ascii="Arial" w:cs="Arial" w:eastAsia="Arial" w:hAnsi="Arial"/>
          <w:sz w:val="18"/>
          <w:szCs w:val="18"/>
          <w:color w:val="auto"/>
        </w:rPr>
      </w:pPr>
    </w:p>
    <w:p>
      <w:pPr>
        <w:ind w:right="280" w:firstLine="8"/>
        <w:spacing w:after="0" w:line="277" w:lineRule="auto"/>
        <w:tabs>
          <w:tab w:leader="none" w:pos="2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one (1) year from the date of Participant’s Termination of Service by reason of Participant’s death or Disability;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Participant’s Termination of Service for Cause.</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(i) if Participant is a party to a written employment or consulting agreement with the Company or its Subsidiary in which the term “cause” is defined (a “</w:t>
      </w:r>
      <w:r>
        <w:rPr>
          <w:rFonts w:ascii="Arial" w:cs="Arial" w:eastAsia="Arial" w:hAnsi="Arial"/>
          <w:sz w:val="16"/>
          <w:szCs w:val="16"/>
          <w:b w:val="1"/>
          <w:bCs w:val="1"/>
          <w:i w:val="1"/>
          <w:iCs w:val="1"/>
          <w:color w:val="auto"/>
        </w:rPr>
        <w:t>Relevant Agreement</w:t>
      </w:r>
      <w:r>
        <w:rPr>
          <w:rFonts w:ascii="Arial" w:cs="Arial" w:eastAsia="Arial" w:hAnsi="Arial"/>
          <w:sz w:val="16"/>
          <w:szCs w:val="16"/>
          <w:color w:val="auto"/>
        </w:rPr>
        <w:t>”), “Cause” as defined in the Relevant Agreement, and (ii) if no Relevant Agreement exists,</w:t>
      </w:r>
    </w:p>
    <w:p>
      <w:pPr>
        <w:ind w:firstLine="8"/>
        <w:spacing w:after="0" w:line="252" w:lineRule="auto"/>
        <w:tabs>
          <w:tab w:leader="none" w:pos="2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Administrator’s determination that Participant failed to substantially perform Participant’s duties (other than a failure resulting from Participant’s Disability); (B) the Administrator’s determination that Participant failed to carry out, or comply with any lawful and reasonable directive of the Board or Participant’s immediate supervisor; (C) Participant’s conviction, plea of no contest, plea of nolo contendere, or imposition of unadjudicated probation for any felony or indictable offense or crime involving moral turpitude; (D) Participant’s unlawful use (including being under the influence) or possession of illegal drugs on the premises of the Company or any of its Subsidiaries or while performing Participant’s duties and responsibilities for the Company or any of its Subsidiaries; or (E) Participant’s commission of an act of fraud, embezzlement, misappropriation, misconduct, or breach of fiduciary duty against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OPTION</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Person Eligible to Exercise</w:t>
      </w:r>
      <w:r>
        <w:rPr>
          <w:rFonts w:ascii="Arial" w:cs="Arial" w:eastAsia="Arial" w:hAnsi="Arial"/>
          <w:sz w:val="17"/>
          <w:szCs w:val="17"/>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63" w:lineRule="auto"/>
        <w:tabs>
          <w:tab w:leader="none" w:pos="2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83" w:lineRule="exact"/>
        <w:rPr>
          <w:rFonts w:ascii="Arial" w:cs="Arial" w:eastAsia="Arial" w:hAnsi="Arial"/>
          <w:sz w:val="18"/>
          <w:szCs w:val="18"/>
          <w:color w:val="auto"/>
        </w:rPr>
      </w:pPr>
    </w:p>
    <w:p>
      <w:pPr>
        <w:ind w:right="100" w:firstLine="8"/>
        <w:spacing w:after="0" w:line="257"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Adjustments</w:t>
      </w:r>
      <w:r>
        <w:rPr>
          <w:rFonts w:ascii="Arial" w:cs="Arial" w:eastAsia="Arial" w:hAnsi="Arial"/>
          <w:sz w:val="18"/>
          <w:szCs w:val="18"/>
          <w:color w:val="auto"/>
        </w:rPr>
        <w:t>. Participant acknowledges that the Option is subject to adjustment, modification and termination in certain events as provided in this Agreement and the Plan.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6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5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6" w:name="page167"/>
    <w:bookmarkEnd w:id="166"/>
    <w:p>
      <w:pPr>
        <w:ind w:right="20"/>
        <w:spacing w:after="0" w:line="27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If the Option is designated as an Incentive Stock Option:</w:t>
      </w:r>
    </w:p>
    <w:p>
      <w:pPr>
        <w:spacing w:after="0" w:line="225" w:lineRule="exact"/>
        <w:rPr>
          <w:sz w:val="20"/>
          <w:szCs w:val="20"/>
          <w:color w:val="auto"/>
        </w:rPr>
      </w:pPr>
    </w:p>
    <w:p>
      <w:pPr>
        <w:ind w:firstLine="8"/>
        <w:spacing w:after="0" w:line="254" w:lineRule="auto"/>
        <w:tabs>
          <w:tab w:leader="none" w:pos="2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(3) months after Participant’s Termination of Service, other than by reason of death or disability, the Option will be taxed as a Non-Qualified Stock Option.</w:t>
      </w:r>
    </w:p>
    <w:p>
      <w:pPr>
        <w:spacing w:after="0" w:line="191" w:lineRule="exact"/>
        <w:rPr>
          <w:rFonts w:ascii="Arial" w:cs="Arial" w:eastAsia="Arial" w:hAnsi="Arial"/>
          <w:sz w:val="18"/>
          <w:szCs w:val="18"/>
          <w:color w:val="auto"/>
        </w:rPr>
      </w:pPr>
    </w:p>
    <w:p>
      <w:pPr>
        <w:ind w:right="40" w:firstLine="8"/>
        <w:spacing w:after="0" w:line="259" w:lineRule="auto"/>
        <w:tabs>
          <w:tab w:leader="none" w:pos="2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86"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160"/>
          </w:cols>
          <w:pgMar w:left="320" w:top="557" w:right="41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10.4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ERES</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ROGRAM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effective June 12, 2020)</w:t>
      </w:r>
    </w:p>
    <w:p>
      <w:pPr>
        <w:spacing w:after="0" w:line="20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Seres Therapeutics,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date of the effectiveness of the Company’s Registration Statement on Form S-1 relating to the initial public offering of common stock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155" w:lineRule="exact"/>
        <w:rPr>
          <w:sz w:val="20"/>
          <w:szCs w:val="20"/>
          <w:color w:val="auto"/>
        </w:rPr>
      </w:pPr>
    </w:p>
    <w:p>
      <w:pPr>
        <w:ind w:left="800" w:hanging="792"/>
        <w:spacing w:after="0"/>
        <w:tabs>
          <w:tab w:leader="none" w:pos="80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ASH</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rFonts w:ascii="Arial" w:cs="Arial" w:eastAsia="Arial" w:hAnsi="Arial"/>
          <w:sz w:val="22"/>
          <w:szCs w:val="22"/>
          <w:b w:val="1"/>
          <w:bCs w:val="1"/>
          <w:color w:val="auto"/>
        </w:rPr>
      </w:pPr>
    </w:p>
    <w:p>
      <w:pPr>
        <w:ind w:left="2600" w:hanging="865"/>
        <w:spacing w:after="0"/>
        <w:tabs>
          <w:tab w:leader="none" w:pos="2600"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$35,000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service on the Board.</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each Non-Employee Director shall receive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retainers:</w:t>
      </w:r>
    </w:p>
    <w:p>
      <w:pPr>
        <w:spacing w:after="0" w:line="188" w:lineRule="exact"/>
        <w:rPr>
          <w:rFonts w:ascii="Arial" w:cs="Arial" w:eastAsia="Arial" w:hAnsi="Arial"/>
          <w:sz w:val="19"/>
          <w:szCs w:val="19"/>
          <w:color w:val="auto"/>
        </w:rPr>
      </w:pPr>
    </w:p>
    <w:p>
      <w:pPr>
        <w:jc w:val="both"/>
        <w:ind w:firstLine="2600"/>
        <w:spacing w:after="0"/>
        <w:tabs>
          <w:tab w:leader="none" w:pos="3510" w:val="left"/>
        </w:tabs>
        <w:numPr>
          <w:ilvl w:val="2"/>
          <w:numId w:val="141"/>
        </w:numPr>
        <w:rPr>
          <w:rFonts w:ascii="Arial" w:cs="Arial" w:eastAsia="Arial" w:hAnsi="Arial"/>
          <w:sz w:val="22"/>
          <w:szCs w:val="22"/>
          <w:color w:val="auto"/>
        </w:rPr>
      </w:pPr>
      <w:r>
        <w:rPr>
          <w:rFonts w:ascii="Arial" w:cs="Arial" w:eastAsia="Arial" w:hAnsi="Arial"/>
          <w:sz w:val="22"/>
          <w:szCs w:val="22"/>
          <w:i w:val="1"/>
          <w:iCs w:val="1"/>
          <w:color w:val="auto"/>
        </w:rPr>
        <w:t>Chairman of the Board or Lead Independent Director</w:t>
      </w:r>
      <w:r>
        <w:rPr>
          <w:rFonts w:ascii="Arial" w:cs="Arial" w:eastAsia="Arial" w:hAnsi="Arial"/>
          <w:sz w:val="22"/>
          <w:szCs w:val="22"/>
          <w:color w:val="auto"/>
        </w:rPr>
        <w:t>. A Non-Employee 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serving as Chairman of the Board or Lead Independent Director shall receive an additional annual retainer of $20,000 for such service.</w:t>
      </w:r>
    </w:p>
    <w:p>
      <w:pPr>
        <w:spacing w:after="0" w:line="186" w:lineRule="exact"/>
        <w:rPr>
          <w:rFonts w:ascii="Arial" w:cs="Arial" w:eastAsia="Arial" w:hAnsi="Arial"/>
          <w:sz w:val="22"/>
          <w:szCs w:val="22"/>
          <w:color w:val="auto"/>
        </w:rPr>
      </w:pPr>
    </w:p>
    <w:p>
      <w:pPr>
        <w:jc w:val="both"/>
        <w:ind w:firstLine="2600"/>
        <w:spacing w:after="0" w:line="297" w:lineRule="auto"/>
        <w:tabs>
          <w:tab w:leader="none" w:pos="3524" w:val="left"/>
        </w:tabs>
        <w:numPr>
          <w:ilvl w:val="2"/>
          <w:numId w:val="141"/>
        </w:numPr>
        <w:rPr>
          <w:rFonts w:ascii="Arial" w:cs="Arial" w:eastAsia="Arial" w:hAnsi="Arial"/>
          <w:sz w:val="19"/>
          <w:szCs w:val="19"/>
          <w:color w:val="auto"/>
        </w:rPr>
      </w:pPr>
      <w:r>
        <w:rPr>
          <w:rFonts w:ascii="Arial" w:cs="Arial" w:eastAsia="Arial" w:hAnsi="Arial"/>
          <w:sz w:val="19"/>
          <w:szCs w:val="19"/>
          <w:i w:val="1"/>
          <w:iCs w:val="1"/>
          <w:color w:val="auto"/>
        </w:rPr>
        <w:t>Audit Committee</w:t>
      </w:r>
      <w:r>
        <w:rPr>
          <w:rFonts w:ascii="Arial" w:cs="Arial" w:eastAsia="Arial" w:hAnsi="Arial"/>
          <w:sz w:val="19"/>
          <w:szCs w:val="19"/>
          <w:color w:val="auto"/>
        </w:rPr>
        <w:t>. A Non-Employee Director serving as Chairperson of the Audit</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shall receive an additional annual retainer of $15,000 for such service. A Non-Employee Director serving as a member other than the Chairperson of the Audit Committee shall receive an additional annual retainer of $7,500 for such service.</w:t>
      </w:r>
    </w:p>
    <w:p>
      <w:pPr>
        <w:spacing w:after="0" w:line="133" w:lineRule="exact"/>
        <w:rPr>
          <w:rFonts w:ascii="Arial" w:cs="Arial" w:eastAsia="Arial" w:hAnsi="Arial"/>
          <w:sz w:val="19"/>
          <w:szCs w:val="19"/>
          <w:color w:val="auto"/>
        </w:rPr>
      </w:pPr>
    </w:p>
    <w:p>
      <w:pPr>
        <w:jc w:val="both"/>
        <w:ind w:firstLine="2600"/>
        <w:spacing w:after="0" w:line="238" w:lineRule="auto"/>
        <w:tabs>
          <w:tab w:leader="none" w:pos="3402" w:val="left"/>
        </w:tabs>
        <w:numPr>
          <w:ilvl w:val="2"/>
          <w:numId w:val="141"/>
        </w:numPr>
        <w:rPr>
          <w:rFonts w:ascii="Arial" w:cs="Arial" w:eastAsia="Arial" w:hAnsi="Arial"/>
          <w:sz w:val="22"/>
          <w:szCs w:val="22"/>
          <w:color w:val="auto"/>
        </w:rPr>
      </w:pPr>
      <w:r>
        <w:rPr>
          <w:rFonts w:ascii="Arial" w:cs="Arial" w:eastAsia="Arial" w:hAnsi="Arial"/>
          <w:sz w:val="22"/>
          <w:szCs w:val="22"/>
          <w:i w:val="1"/>
          <w:iCs w:val="1"/>
          <w:color w:val="auto"/>
        </w:rPr>
        <w:t>Compensation Committee</w:t>
      </w:r>
      <w:r>
        <w:rPr>
          <w:rFonts w:ascii="Arial" w:cs="Arial" w:eastAsia="Arial" w:hAnsi="Arial"/>
          <w:sz w:val="22"/>
          <w:szCs w:val="22"/>
          <w:color w:val="auto"/>
        </w:rPr>
        <w:t>. A Non-Employee Director serving as Chairperson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Committee shall receive an additional annual retainer of $10,000 for such service. A Non-Employee Director serving as a member other than the Chairperson of the Compensation Committee shall receive an additional annual retainer of $5,000 for such service.</w:t>
      </w:r>
    </w:p>
    <w:p>
      <w:pPr>
        <w:spacing w:after="0" w:line="184" w:lineRule="exact"/>
        <w:rPr>
          <w:rFonts w:ascii="Arial" w:cs="Arial" w:eastAsia="Arial" w:hAnsi="Arial"/>
          <w:sz w:val="22"/>
          <w:szCs w:val="22"/>
          <w:color w:val="auto"/>
        </w:rPr>
      </w:pPr>
    </w:p>
    <w:p>
      <w:pPr>
        <w:ind w:firstLine="2600"/>
        <w:spacing w:after="0" w:line="250" w:lineRule="auto"/>
        <w:tabs>
          <w:tab w:leader="none" w:pos="3470" w:val="left"/>
        </w:tabs>
        <w:numPr>
          <w:ilvl w:val="2"/>
          <w:numId w:val="141"/>
        </w:numPr>
        <w:rPr>
          <w:rFonts w:ascii="Arial" w:cs="Arial" w:eastAsia="Arial" w:hAnsi="Arial"/>
          <w:sz w:val="22"/>
          <w:szCs w:val="22"/>
          <w:color w:val="auto"/>
        </w:rPr>
      </w:pPr>
      <w:r>
        <w:rPr>
          <w:rFonts w:ascii="Arial" w:cs="Arial" w:eastAsia="Arial" w:hAnsi="Arial"/>
          <w:sz w:val="22"/>
          <w:szCs w:val="22"/>
          <w:i w:val="1"/>
          <w:iCs w:val="1"/>
          <w:color w:val="auto"/>
        </w:rPr>
        <w:t>Nominating and Corporate Governance Committee</w:t>
      </w:r>
      <w:r>
        <w:rPr>
          <w:rFonts w:ascii="Arial" w:cs="Arial" w:eastAsia="Arial" w:hAnsi="Arial"/>
          <w:sz w:val="22"/>
          <w:szCs w:val="22"/>
          <w:color w:val="auto"/>
        </w:rPr>
        <w:t>. A Non-Employee Director serving</w:t>
      </w:r>
      <w:r>
        <w:rPr>
          <w:rFonts w:ascii="Arial" w:cs="Arial" w:eastAsia="Arial" w:hAnsi="Arial"/>
          <w:sz w:val="22"/>
          <w:szCs w:val="22"/>
          <w:i w:val="1"/>
          <w:iCs w:val="1"/>
          <w:color w:val="auto"/>
        </w:rPr>
        <w:t xml:space="preserve"> </w:t>
      </w:r>
      <w:r>
        <w:rPr>
          <w:rFonts w:ascii="Arial" w:cs="Arial" w:eastAsia="Arial" w:hAnsi="Arial"/>
          <w:sz w:val="22"/>
          <w:szCs w:val="22"/>
          <w:color w:val="auto"/>
        </w:rPr>
        <w:t>as Chairperson of the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jc w:val="both"/>
        <w:spacing w:after="0"/>
        <w:rPr>
          <w:sz w:val="20"/>
          <w:szCs w:val="20"/>
          <w:color w:val="auto"/>
        </w:rPr>
      </w:pPr>
      <w:r>
        <w:rPr>
          <w:rFonts w:ascii="Arial" w:cs="Arial" w:eastAsia="Arial" w:hAnsi="Arial"/>
          <w:sz w:val="22"/>
          <w:szCs w:val="22"/>
          <w:color w:val="auto"/>
        </w:rPr>
        <w:t>Committee shall receive an additional annual retainer of $7,000 for such service. A Non-Employee Director serving as a member other than the Chairperson of the Nominating and Corporate Governance Committee shall receive an additional annual retainer of $3,500 for such service.</w:t>
      </w:r>
    </w:p>
    <w:p>
      <w:pPr>
        <w:spacing w:after="0" w:line="186" w:lineRule="exact"/>
        <w:rPr>
          <w:sz w:val="20"/>
          <w:szCs w:val="20"/>
          <w:color w:val="auto"/>
        </w:rPr>
      </w:pPr>
    </w:p>
    <w:p>
      <w:pPr>
        <w:jc w:val="both"/>
        <w:ind w:firstLine="1735"/>
        <w:spacing w:after="0" w:line="235" w:lineRule="auto"/>
        <w:tabs>
          <w:tab w:leader="none" w:pos="2573"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Payment of Retainers</w:t>
      </w:r>
      <w:r>
        <w:rPr>
          <w:rFonts w:ascii="Arial" w:cs="Arial" w:eastAsia="Arial" w:hAnsi="Arial"/>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81" w:lineRule="exact"/>
        <w:rPr>
          <w:rFonts w:ascii="Arial" w:cs="Arial" w:eastAsia="Arial" w:hAnsi="Arial"/>
          <w:sz w:val="22"/>
          <w:szCs w:val="22"/>
          <w:color w:val="auto"/>
        </w:rPr>
      </w:pPr>
    </w:p>
    <w:p>
      <w:pPr>
        <w:ind w:left="880" w:hanging="872"/>
        <w:spacing w:after="0"/>
        <w:tabs>
          <w:tab w:leader="none" w:pos="88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Non-Employee Directors shall be granted the equity awards described below. The awards described below shall be granted under and shall be subject to the terms and provisions of the Company’s 2015 Incentive Award Plan or any other applicable Company equity incentive plan then-maintained by the Company (the “</w:t>
      </w:r>
      <w:r>
        <w:rPr>
          <w:rFonts w:ascii="Arial" w:cs="Arial" w:eastAsia="Arial" w:hAnsi="Arial"/>
          <w:sz w:val="21"/>
          <w:szCs w:val="21"/>
          <w:b w:val="1"/>
          <w:bCs w:val="1"/>
          <w:i w:val="1"/>
          <w:iCs w:val="1"/>
          <w:color w:val="auto"/>
        </w:rPr>
        <w:t>Equity Plan</w:t>
      </w:r>
      <w:r>
        <w:rPr>
          <w:rFonts w:ascii="Arial" w:cs="Arial" w:eastAsia="Arial" w:hAnsi="Arial"/>
          <w:sz w:val="21"/>
          <w:szCs w:val="21"/>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84" w:lineRule="exact"/>
        <w:rPr>
          <w:sz w:val="20"/>
          <w:szCs w:val="20"/>
          <w:color w:val="auto"/>
        </w:rPr>
      </w:pPr>
    </w:p>
    <w:p>
      <w:pPr>
        <w:jc w:val="both"/>
        <w:ind w:firstLine="1735"/>
        <w:spacing w:after="0" w:line="238" w:lineRule="auto"/>
        <w:tabs>
          <w:tab w:leader="none" w:pos="2585"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Non-Employee Director who is initially elected or appointed to the Board after the Effective Date shall receive an option to purchase 60,000 shares of the Company’s common stock on the date of such initial election or appointment. The awards described in this Section II(A)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color w:val="auto"/>
        </w:rPr>
        <w:t>.” No Non-Employee Director shall be granted more than one Initial Award.</w:t>
      </w:r>
    </w:p>
    <w:p>
      <w:pPr>
        <w:spacing w:after="0" w:line="184" w:lineRule="exact"/>
        <w:rPr>
          <w:rFonts w:ascii="Arial" w:cs="Arial" w:eastAsia="Arial" w:hAnsi="Arial"/>
          <w:sz w:val="22"/>
          <w:szCs w:val="22"/>
          <w:color w:val="auto"/>
        </w:rPr>
      </w:pPr>
    </w:p>
    <w:p>
      <w:pPr>
        <w:jc w:val="both"/>
        <w:ind w:firstLine="1735"/>
        <w:spacing w:after="0" w:line="234" w:lineRule="auto"/>
        <w:tabs>
          <w:tab w:leader="none" w:pos="257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Subsequent Awards</w:t>
      </w:r>
      <w:r>
        <w:rPr>
          <w:rFonts w:ascii="Arial" w:cs="Arial" w:eastAsia="Arial" w:hAnsi="Arial"/>
          <w:sz w:val="22"/>
          <w:szCs w:val="22"/>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30,000 shares of the Company’s common stock on the date of such annual meeting. The awards described in this Section II(B) shall be referred to as “</w:t>
      </w:r>
      <w:r>
        <w:rPr>
          <w:rFonts w:ascii="Arial" w:cs="Arial" w:eastAsia="Arial" w:hAnsi="Arial"/>
          <w:sz w:val="22"/>
          <w:szCs w:val="22"/>
          <w:b w:val="1"/>
          <w:bCs w:val="1"/>
          <w:i w:val="1"/>
          <w:iCs w:val="1"/>
          <w:color w:val="auto"/>
        </w:rPr>
        <w:t>Subsequent Awards</w:t>
      </w:r>
      <w:r>
        <w:rPr>
          <w:rFonts w:ascii="Arial" w:cs="Arial" w:eastAsia="Arial" w:hAnsi="Arial"/>
          <w:sz w:val="22"/>
          <w:szCs w:val="22"/>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57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Termination of Service of Employee Directors</w:t>
      </w:r>
      <w:r>
        <w:rPr>
          <w:rFonts w:ascii="Arial" w:cs="Arial" w:eastAsia="Arial" w:hAnsi="Arial"/>
          <w:sz w:val="22"/>
          <w:szCs w:val="22"/>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II(A) above, but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9" w:name="page170"/>
    <w:bookmarkEnd w:id="169"/>
    <w:p>
      <w:pPr>
        <w:ind w:right="20"/>
        <w:spacing w:after="0" w:line="250" w:lineRule="auto"/>
        <w:rPr>
          <w:sz w:val="20"/>
          <w:szCs w:val="20"/>
          <w:color w:val="auto"/>
        </w:rPr>
      </w:pPr>
      <w:r>
        <w:rPr>
          <w:rFonts w:ascii="Arial" w:cs="Arial" w:eastAsia="Arial" w:hAnsi="Arial"/>
          <w:sz w:val="22"/>
          <w:szCs w:val="22"/>
          <w:color w:val="auto"/>
        </w:rPr>
        <w:t>that they are otherwise entitled, will receive, after termination from service with the Company and any parent or subsidiary of the Company, Subsequent Awards as described in Section II(B) above.</w:t>
      </w:r>
    </w:p>
    <w:p>
      <w:pPr>
        <w:spacing w:after="0" w:line="175" w:lineRule="exact"/>
        <w:rPr>
          <w:sz w:val="20"/>
          <w:szCs w:val="20"/>
          <w:color w:val="auto"/>
        </w:rPr>
      </w:pPr>
    </w:p>
    <w:p>
      <w:pPr>
        <w:ind w:left="2600" w:hanging="865"/>
        <w:spacing w:after="0"/>
        <w:tabs>
          <w:tab w:leader="none" w:pos="26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06" w:lineRule="exact"/>
        <w:rPr>
          <w:rFonts w:ascii="Arial" w:cs="Arial" w:eastAsia="Arial" w:hAnsi="Arial"/>
          <w:sz w:val="22"/>
          <w:szCs w:val="22"/>
          <w:color w:val="auto"/>
        </w:rPr>
      </w:pPr>
    </w:p>
    <w:p>
      <w:pPr>
        <w:jc w:val="both"/>
        <w:ind w:firstLine="2600"/>
        <w:spacing w:after="0"/>
        <w:tabs>
          <w:tab w:leader="none" w:pos="3524" w:val="left"/>
        </w:tabs>
        <w:numPr>
          <w:ilvl w:val="1"/>
          <w:numId w:val="145"/>
        </w:numPr>
        <w:rPr>
          <w:rFonts w:ascii="Arial" w:cs="Arial" w:eastAsia="Arial" w:hAnsi="Arial"/>
          <w:sz w:val="22"/>
          <w:szCs w:val="22"/>
          <w:color w:val="auto"/>
        </w:rPr>
      </w:pPr>
      <w:r>
        <w:rPr>
          <w:rFonts w:ascii="Arial" w:cs="Arial" w:eastAsia="Arial" w:hAnsi="Arial"/>
          <w:sz w:val="22"/>
          <w:szCs w:val="22"/>
          <w:i w:val="1"/>
          <w:iCs w:val="1"/>
          <w:color w:val="auto"/>
        </w:rPr>
        <w:t>Exercise Price</w:t>
      </w:r>
      <w:r>
        <w:rPr>
          <w:rFonts w:ascii="Arial" w:cs="Arial" w:eastAsia="Arial" w:hAnsi="Arial"/>
          <w:sz w:val="22"/>
          <w:szCs w:val="22"/>
          <w:color w:val="auto"/>
        </w:rPr>
        <w:t>. The per share exercise price of each option granted to a Non-Employee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shall equal the Fair Market Value (as defined in the Equity Plan) of a share of common stock on the date the option is granted.</w:t>
      </w:r>
    </w:p>
    <w:p>
      <w:pPr>
        <w:spacing w:after="0" w:line="186" w:lineRule="exact"/>
        <w:rPr>
          <w:rFonts w:ascii="Arial" w:cs="Arial" w:eastAsia="Arial" w:hAnsi="Arial"/>
          <w:sz w:val="22"/>
          <w:szCs w:val="22"/>
          <w:color w:val="auto"/>
        </w:rPr>
      </w:pPr>
    </w:p>
    <w:p>
      <w:pPr>
        <w:jc w:val="both"/>
        <w:ind w:firstLine="2600"/>
        <w:spacing w:after="0" w:line="273" w:lineRule="auto"/>
        <w:tabs>
          <w:tab w:leader="none" w:pos="3402" w:val="left"/>
        </w:tabs>
        <w:numPr>
          <w:ilvl w:val="1"/>
          <w:numId w:val="145"/>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Initial Award shall vest and become exercisable in four substantially equal</w:t>
      </w:r>
      <w:r>
        <w:rPr>
          <w:rFonts w:ascii="Arial" w:cs="Arial" w:eastAsia="Arial" w:hAnsi="Arial"/>
          <w:sz w:val="19"/>
          <w:szCs w:val="19"/>
          <w:i w:val="1"/>
          <w:iCs w:val="1"/>
          <w:color w:val="auto"/>
        </w:rPr>
        <w:t xml:space="preserve"> </w:t>
      </w:r>
      <w:r>
        <w:rPr>
          <w:rFonts w:ascii="Arial" w:cs="Arial" w:eastAsia="Arial" w:hAnsi="Arial"/>
          <w:sz w:val="19"/>
          <w:szCs w:val="19"/>
          <w:color w:val="auto"/>
        </w:rPr>
        <w:t>annual installments following the date of grant, such that the Initial Award shall be fully vested on the fourth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55" w:lineRule="exact"/>
        <w:rPr>
          <w:rFonts w:ascii="Arial" w:cs="Arial" w:eastAsia="Arial" w:hAnsi="Arial"/>
          <w:sz w:val="19"/>
          <w:szCs w:val="19"/>
          <w:color w:val="auto"/>
        </w:rPr>
      </w:pPr>
    </w:p>
    <w:p>
      <w:pPr>
        <w:ind w:firstLine="2600"/>
        <w:spacing w:after="0" w:line="250" w:lineRule="auto"/>
        <w:tabs>
          <w:tab w:leader="none" w:pos="3402" w:val="left"/>
        </w:tabs>
        <w:numPr>
          <w:ilvl w:val="1"/>
          <w:numId w:val="145"/>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stock option granted to a Non-Employee 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hereunder shall be ten (10) years from the date the option is granted.</w:t>
      </w:r>
    </w:p>
    <w:p>
      <w:pPr>
        <w:spacing w:after="0" w:line="174" w:lineRule="exact"/>
        <w:rPr>
          <w:rFonts w:ascii="Arial" w:cs="Arial" w:eastAsia="Arial" w:hAnsi="Arial"/>
          <w:sz w:val="22"/>
          <w:szCs w:val="22"/>
          <w:color w:val="auto"/>
        </w:rPr>
      </w:pPr>
    </w:p>
    <w:p>
      <w:pPr>
        <w:ind w:left="5240"/>
        <w:spacing w:after="0"/>
        <w:rPr>
          <w:rFonts w:ascii="Arial" w:cs="Arial" w:eastAsia="Arial" w:hAnsi="Arial"/>
          <w:sz w:val="22"/>
          <w:szCs w:val="22"/>
          <w:color w:val="auto"/>
        </w:rPr>
      </w:pPr>
      <w:r>
        <w:rPr>
          <w:rFonts w:ascii="Arial" w:cs="Arial" w:eastAsia="Arial" w:hAnsi="Arial"/>
          <w:sz w:val="22"/>
          <w:szCs w:val="22"/>
          <w:color w:val="auto"/>
        </w:rPr>
        <w:t>*****</w:t>
      </w:r>
    </w:p>
    <w:p>
      <w:pPr>
        <w:sectPr>
          <w:pgSz w:w="11900" w:h="16838" w:orient="portrait"/>
          <w:cols w:equalWidth="0" w:num="1">
            <w:col w:w="11240"/>
          </w:cols>
          <w:pgMar w:left="320" w:top="334" w:right="339" w:bottom="1440" w:gutter="0" w:footer="0" w:header="0"/>
        </w:sectPr>
      </w:pPr>
    </w:p>
    <w:bookmarkStart w:id="170" w:name="page171"/>
    <w:bookmarkEnd w:id="170"/>
    <w:p>
      <w:pPr>
        <w:ind w:left="10020"/>
        <w:spacing w:after="0"/>
        <w:rPr>
          <w:sz w:val="20"/>
          <w:szCs w:val="20"/>
          <w:color w:val="auto"/>
        </w:rPr>
      </w:pPr>
      <w:r>
        <w:rPr>
          <w:rFonts w:ascii="Arial" w:cs="Arial" w:eastAsia="Arial" w:hAnsi="Arial"/>
          <w:sz w:val="19"/>
          <w:szCs w:val="19"/>
          <w:b w:val="1"/>
          <w:bCs w:val="1"/>
          <w:color w:val="auto"/>
        </w:rPr>
        <w:t>Exhibit 10.12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Amended and Restated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January 29, 2021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is made by and between Seres Therapeutics, Inc., a Delaware corporation (together with any successor thereto, the “</w:t>
      </w:r>
      <w:r>
        <w:rPr>
          <w:rFonts w:ascii="Arial" w:cs="Arial" w:eastAsia="Arial" w:hAnsi="Arial"/>
          <w:sz w:val="22"/>
          <w:szCs w:val="22"/>
          <w:u w:val="single" w:color="auto"/>
          <w:color w:val="auto"/>
        </w:rPr>
        <w:t>Company</w:t>
      </w:r>
      <w:r>
        <w:rPr>
          <w:rFonts w:ascii="Arial" w:cs="Arial" w:eastAsia="Arial" w:hAnsi="Arial"/>
          <w:sz w:val="22"/>
          <w:szCs w:val="22"/>
          <w:color w:val="auto"/>
        </w:rPr>
        <w:t>”), and David Ege, Ph.D (“</w:t>
      </w:r>
      <w:r>
        <w:rPr>
          <w:rFonts w:ascii="Arial" w:cs="Arial" w:eastAsia="Arial" w:hAnsi="Arial"/>
          <w:sz w:val="22"/>
          <w:szCs w:val="22"/>
          <w:u w:val="single" w:color="auto"/>
          <w:color w:val="auto"/>
        </w:rPr>
        <w:t>Executive</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852"/>
        <w:spacing w:after="0" w:line="238" w:lineRule="auto"/>
        <w:tabs>
          <w:tab w:leader="none" w:pos="8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It is the desire of the Company to assure itself of the services of Executive as of the Effective Date and thereafter by entering into this Agreement, which shall supersede and replace any prior employment arrangement, including, but not limited to, the Employment Agreement, dated as of October 13, 2020, by and between the Company and Executive, as amended (the “</w:t>
      </w:r>
      <w:r>
        <w:rPr>
          <w:rFonts w:ascii="Arial" w:cs="Arial" w:eastAsia="Arial" w:hAnsi="Arial"/>
          <w:sz w:val="22"/>
          <w:szCs w:val="22"/>
          <w:u w:val="single" w:color="auto"/>
          <w:color w:val="auto"/>
        </w:rPr>
        <w:t>Prior Agreement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Executive and the Company mutually desire that Executive provide services to the Company on the terms herein 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set forth below, the Parties hereto agree as follows:</w:t>
      </w:r>
    </w:p>
    <w:p>
      <w:pPr>
        <w:spacing w:after="0" w:line="169" w:lineRule="exact"/>
        <w:rPr>
          <w:sz w:val="20"/>
          <w:szCs w:val="20"/>
          <w:color w:val="auto"/>
        </w:rPr>
      </w:pPr>
    </w:p>
    <w:p>
      <w:pPr>
        <w:ind w:left="820" w:hanging="812"/>
        <w:spacing w:after="0"/>
        <w:tabs>
          <w:tab w:leader="none" w:pos="82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Effective as of the Effective Date, the Company shall continue to employ Executive and Executive shall remain in the employ of the Company, for the period and in the positions set forth in this </w:t>
      </w:r>
      <w:r>
        <w:rPr>
          <w:rFonts w:ascii="Arial" w:cs="Arial" w:eastAsia="Arial" w:hAnsi="Arial"/>
          <w:sz w:val="22"/>
          <w:szCs w:val="22"/>
          <w:u w:val="single" w:color="auto"/>
          <w:color w:val="auto"/>
        </w:rPr>
        <w:t>Section 1</w:t>
      </w:r>
      <w:r>
        <w:rPr>
          <w:rFonts w:ascii="Arial" w:cs="Arial" w:eastAsia="Arial" w:hAnsi="Arial"/>
          <w:sz w:val="22"/>
          <w:szCs w:val="22"/>
          <w:color w:val="auto"/>
        </w:rPr>
        <w:t>, and subject to the other terms and conditions herein provided.</w:t>
      </w:r>
    </w:p>
    <w:p>
      <w:pPr>
        <w:spacing w:after="0" w:line="186" w:lineRule="exact"/>
        <w:rPr>
          <w:rFonts w:ascii="Arial" w:cs="Arial" w:eastAsia="Arial" w:hAnsi="Arial"/>
          <w:sz w:val="22"/>
          <w:szCs w:val="22"/>
          <w:color w:val="auto"/>
        </w:rPr>
      </w:pPr>
    </w:p>
    <w:p>
      <w:pPr>
        <w:jc w:val="both"/>
        <w:ind w:firstLine="872"/>
        <w:spacing w:after="0" w:line="275" w:lineRule="auto"/>
        <w:tabs>
          <w:tab w:leader="none" w:pos="1763"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9"/>
          <w:szCs w:val="19"/>
          <w:u w:val="single" w:color="auto"/>
          <w:color w:val="auto"/>
        </w:rPr>
        <w:t>Section 3(b)</w:t>
      </w:r>
      <w:r>
        <w:rPr>
          <w:rFonts w:ascii="Arial" w:cs="Arial" w:eastAsia="Arial" w:hAnsi="Arial"/>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shall commence on the Effective Date and end on the date this Agreement is terminated under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872"/>
        <w:spacing w:after="0" w:line="235" w:lineRule="auto"/>
        <w:tabs>
          <w:tab w:leader="none" w:pos="1751"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 During the Term, Executive shall serve as Executive Vice President and Chief Technology Officer of the Company, initially reporting directly to the Chief Executive Officer of the Company (the “</w:t>
      </w:r>
      <w:r>
        <w:rPr>
          <w:rFonts w:ascii="Arial" w:cs="Arial" w:eastAsia="Arial" w:hAnsi="Arial"/>
          <w:sz w:val="22"/>
          <w:szCs w:val="22"/>
          <w:u w:val="single" w:color="auto"/>
          <w:color w:val="auto"/>
        </w:rPr>
        <w:t>CEO</w:t>
      </w:r>
      <w:r>
        <w:rPr>
          <w:rFonts w:ascii="Arial" w:cs="Arial" w:eastAsia="Arial" w:hAnsi="Arial"/>
          <w:sz w:val="22"/>
          <w:szCs w:val="22"/>
          <w:color w:val="auto"/>
        </w:rPr>
        <w:t>”) with such responsibilities, duties and authority normally associated with such positions and as may from time to time be assigned to Executive by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US-DOCS\120657199.1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jc w:val="both"/>
        <w:spacing w:after="0" w:line="279" w:lineRule="auto"/>
        <w:rPr>
          <w:sz w:val="20"/>
          <w:szCs w:val="20"/>
          <w:color w:val="auto"/>
        </w:rPr>
      </w:pPr>
      <w:r>
        <w:rPr>
          <w:rFonts w:ascii="Arial" w:cs="Arial" w:eastAsia="Arial" w:hAnsi="Arial"/>
          <w:sz w:val="19"/>
          <w:szCs w:val="19"/>
          <w:color w:val="auto"/>
        </w:rPr>
        <w:t>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pacing w:after="0" w:line="144" w:lineRule="exact"/>
        <w:rPr>
          <w:sz w:val="20"/>
          <w:szCs w:val="20"/>
          <w:color w:val="auto"/>
        </w:rPr>
      </w:pPr>
    </w:p>
    <w:p>
      <w:pPr>
        <w:ind w:left="820" w:hanging="812"/>
        <w:spacing w:after="0"/>
        <w:tabs>
          <w:tab w:leader="none" w:pos="82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Related Matters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Annual Base Salary</w:t>
      </w:r>
      <w:r>
        <w:rPr>
          <w:rFonts w:ascii="Arial" w:cs="Arial" w:eastAsia="Arial" w:hAnsi="Arial"/>
          <w:sz w:val="22"/>
          <w:szCs w:val="22"/>
          <w:color w:val="auto"/>
        </w:rPr>
        <w:t>. During the Term, Executive shall receive a base salary at a rate of $375,000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of the Board (in either case, the “</w:t>
      </w:r>
      <w:r>
        <w:rPr>
          <w:rFonts w:ascii="Arial" w:cs="Arial" w:eastAsia="Arial" w:hAnsi="Arial"/>
          <w:sz w:val="22"/>
          <w:szCs w:val="22"/>
          <w:u w:val="single" w:color="auto"/>
          <w:color w:val="auto"/>
        </w:rPr>
        <w:t>Board,</w:t>
      </w:r>
      <w:r>
        <w:rPr>
          <w:rFonts w:ascii="Arial" w:cs="Arial" w:eastAsia="Arial" w:hAnsi="Arial"/>
          <w:sz w:val="22"/>
          <w:szCs w:val="22"/>
          <w:color w:val="auto"/>
        </w:rPr>
        <w:t>” and (such annual base salary, as it may be adjusted from time to time, the “</w:t>
      </w:r>
      <w:r>
        <w:rPr>
          <w:rFonts w:ascii="Arial" w:cs="Arial" w:eastAsia="Arial" w:hAnsi="Arial"/>
          <w:sz w:val="22"/>
          <w:szCs w:val="22"/>
          <w:u w:val="single" w:color="auto"/>
          <w:color w:val="auto"/>
        </w:rPr>
        <w:t>Annual Base Salary</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9"/>
          <w:szCs w:val="19"/>
          <w:u w:val="single" w:color="auto"/>
          <w:color w:val="auto"/>
        </w:rPr>
        <w:t>Annual Bonus</w:t>
      </w:r>
      <w:r>
        <w:rPr>
          <w:rFonts w:ascii="Arial" w:cs="Arial" w:eastAsia="Arial" w:hAnsi="Arial"/>
          <w:sz w:val="19"/>
          <w:szCs w:val="19"/>
          <w:color w:val="auto"/>
        </w:rPr>
        <w:t>”) shall be targeted at 40% of Executive’s Annual Base Salary (such target, as may be adjusted by the Board from time to time, the “</w:t>
      </w:r>
      <w:r>
        <w:rPr>
          <w:rFonts w:ascii="Arial" w:cs="Arial" w:eastAsia="Arial" w:hAnsi="Arial"/>
          <w:sz w:val="19"/>
          <w:szCs w:val="19"/>
          <w:u w:val="single" w:color="auto"/>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9"/>
          <w:szCs w:val="19"/>
          <w:u w:val="single" w:color="auto"/>
          <w:color w:val="auto"/>
        </w:rPr>
        <w:t>Section 4(b)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872"/>
        <w:spacing w:after="0" w:line="236" w:lineRule="auto"/>
        <w:tabs>
          <w:tab w:leader="none" w:pos="1751"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2"/>
          <w:szCs w:val="22"/>
          <w:color w:val="auto"/>
        </w:rPr>
      </w:pPr>
    </w:p>
    <w:p>
      <w:pPr>
        <w:ind w:firstLine="872"/>
        <w:spacing w:after="0" w:line="328" w:lineRule="auto"/>
        <w:tabs>
          <w:tab w:leader="none" w:pos="1763"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During the Term, Executive shall be entitled to paid personal leave in accordance with the Company’s Policies. Any vacation shall be taken at the reasonable and mutual convenience of the Company and Executive.</w:t>
      </w:r>
    </w:p>
    <w:p>
      <w:pPr>
        <w:spacing w:after="0" w:line="104" w:lineRule="exact"/>
        <w:rPr>
          <w:rFonts w:ascii="Arial" w:cs="Arial" w:eastAsia="Arial" w:hAnsi="Arial"/>
          <w:sz w:val="19"/>
          <w:szCs w:val="19"/>
          <w:color w:val="auto"/>
        </w:rPr>
      </w:pPr>
    </w:p>
    <w:p>
      <w:pPr>
        <w:jc w:val="both"/>
        <w:ind w:firstLine="872"/>
        <w:spacing w:after="0"/>
        <w:tabs>
          <w:tab w:leader="none" w:pos="1751"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27"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Key Person Insurance</w:t>
      </w:r>
      <w:r>
        <w:rPr>
          <w:rFonts w:ascii="Arial" w:cs="Arial" w:eastAsia="Arial" w:hAnsi="Arial"/>
          <w:sz w:val="22"/>
          <w:szCs w:val="22"/>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2" w:name="page173"/>
    <w:bookmarkEnd w:id="172"/>
    <w:p>
      <w:pPr>
        <w:jc w:val="both"/>
        <w:spacing w:after="0" w:line="252" w:lineRule="auto"/>
        <w:rPr>
          <w:sz w:val="20"/>
          <w:szCs w:val="20"/>
          <w:color w:val="auto"/>
        </w:rPr>
      </w:pPr>
      <w:r>
        <w:rPr>
          <w:rFonts w:ascii="Arial" w:cs="Arial" w:eastAsia="Arial" w:hAnsi="Arial"/>
          <w:sz w:val="21"/>
          <w:szCs w:val="21"/>
          <w:color w:val="auto"/>
        </w:rPr>
        <w:t>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68" w:lineRule="exact"/>
        <w:rPr>
          <w:sz w:val="20"/>
          <w:szCs w:val="20"/>
          <w:color w:val="auto"/>
        </w:rPr>
      </w:pPr>
    </w:p>
    <w:p>
      <w:pPr>
        <w:ind w:left="820" w:hanging="812"/>
        <w:spacing w:after="0"/>
        <w:tabs>
          <w:tab w:leader="none" w:pos="82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w:t>
      </w:r>
    </w:p>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05" w:lineRule="exact"/>
        <w:rPr>
          <w:sz w:val="20"/>
          <w:szCs w:val="20"/>
          <w:color w:val="auto"/>
        </w:rPr>
      </w:pPr>
    </w:p>
    <w:p>
      <w:pPr>
        <w:ind w:left="1760" w:hanging="888"/>
        <w:spacing w:after="0"/>
        <w:tabs>
          <w:tab w:leader="none" w:pos="176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Circumstances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20" w:hanging="851"/>
        <w:spacing w:after="0"/>
        <w:tabs>
          <w:tab w:leader="none" w:pos="2520" w:val="left"/>
        </w:tabs>
        <w:numPr>
          <w:ilvl w:val="1"/>
          <w:numId w:val="150"/>
        </w:numPr>
        <w:rPr>
          <w:rFonts w:ascii="Arial" w:cs="Arial" w:eastAsia="Arial" w:hAnsi="Arial"/>
          <w:sz w:val="22"/>
          <w:szCs w:val="22"/>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Executive’s employment hereunder shall terminate upon Executive’s death.</w:t>
      </w:r>
    </w:p>
    <w:p>
      <w:pPr>
        <w:spacing w:after="0" w:line="206" w:lineRule="exact"/>
        <w:rPr>
          <w:rFonts w:ascii="Arial" w:cs="Arial" w:eastAsia="Arial" w:hAnsi="Arial"/>
          <w:sz w:val="22"/>
          <w:szCs w:val="22"/>
          <w:color w:val="auto"/>
        </w:rPr>
      </w:pPr>
    </w:p>
    <w:p>
      <w:pPr>
        <w:ind w:left="880" w:right="20" w:firstLine="789"/>
        <w:spacing w:after="0" w:line="250" w:lineRule="auto"/>
        <w:tabs>
          <w:tab w:leader="none" w:pos="2589" w:val="left"/>
        </w:tabs>
        <w:numPr>
          <w:ilvl w:val="1"/>
          <w:numId w:val="150"/>
        </w:numPr>
        <w:rPr>
          <w:rFonts w:ascii="Arial" w:cs="Arial" w:eastAsia="Arial" w:hAnsi="Arial"/>
          <w:sz w:val="22"/>
          <w:szCs w:val="22"/>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If Executive has incurred a Disability, as defined below, the Company may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w:t>
      </w:r>
    </w:p>
    <w:p>
      <w:pPr>
        <w:spacing w:after="0" w:line="174" w:lineRule="exact"/>
        <w:rPr>
          <w:rFonts w:ascii="Arial" w:cs="Arial" w:eastAsia="Arial" w:hAnsi="Arial"/>
          <w:sz w:val="22"/>
          <w:szCs w:val="22"/>
          <w:color w:val="auto"/>
        </w:rPr>
      </w:pPr>
    </w:p>
    <w:p>
      <w:pPr>
        <w:ind w:left="2640" w:hanging="971"/>
        <w:spacing w:after="0"/>
        <w:tabs>
          <w:tab w:leader="none" w:pos="2640" w:val="left"/>
        </w:tabs>
        <w:numPr>
          <w:ilvl w:val="1"/>
          <w:numId w:val="150"/>
        </w:numPr>
        <w:rPr>
          <w:rFonts w:ascii="Arial" w:cs="Arial" w:eastAsia="Arial" w:hAnsi="Arial"/>
          <w:sz w:val="21"/>
          <w:szCs w:val="21"/>
          <w:color w:val="auto"/>
        </w:rPr>
      </w:pPr>
      <w:r>
        <w:rPr>
          <w:rFonts w:ascii="Arial" w:cs="Arial" w:eastAsia="Arial" w:hAnsi="Arial"/>
          <w:sz w:val="21"/>
          <w:szCs w:val="21"/>
          <w:i w:val="1"/>
          <w:iCs w:val="1"/>
          <w:color w:val="auto"/>
        </w:rPr>
        <w:t>Termination for Cause</w:t>
      </w:r>
      <w:r>
        <w:rPr>
          <w:rFonts w:ascii="Arial" w:cs="Arial" w:eastAsia="Arial" w:hAnsi="Arial"/>
          <w:sz w:val="21"/>
          <w:szCs w:val="21"/>
          <w:color w:val="auto"/>
        </w:rPr>
        <w:t>.  The Company may terminate Executive’s employment for Cause, as</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defined below.</w:t>
      </w:r>
    </w:p>
    <w:p>
      <w:pPr>
        <w:spacing w:after="0" w:line="188" w:lineRule="exact"/>
        <w:rPr>
          <w:rFonts w:ascii="Arial" w:cs="Arial" w:eastAsia="Arial" w:hAnsi="Arial"/>
          <w:sz w:val="21"/>
          <w:szCs w:val="21"/>
          <w:color w:val="auto"/>
        </w:rPr>
      </w:pPr>
    </w:p>
    <w:p>
      <w:pPr>
        <w:ind w:left="2620" w:hanging="951"/>
        <w:spacing w:after="0"/>
        <w:tabs>
          <w:tab w:leader="none" w:pos="2620" w:val="left"/>
        </w:tabs>
        <w:numPr>
          <w:ilvl w:val="1"/>
          <w:numId w:val="150"/>
        </w:numPr>
        <w:rPr>
          <w:rFonts w:ascii="Arial" w:cs="Arial" w:eastAsia="Arial" w:hAnsi="Arial"/>
          <w:sz w:val="19"/>
          <w:szCs w:val="19"/>
          <w:color w:val="auto"/>
        </w:rPr>
      </w:pPr>
      <w:r>
        <w:rPr>
          <w:rFonts w:ascii="Arial" w:cs="Arial" w:eastAsia="Arial" w:hAnsi="Arial"/>
          <w:sz w:val="19"/>
          <w:szCs w:val="19"/>
          <w:i w:val="1"/>
          <w:iCs w:val="1"/>
          <w:color w:val="auto"/>
        </w:rPr>
        <w:t>Termination without Cause</w:t>
      </w:r>
      <w:r>
        <w:rPr>
          <w:rFonts w:ascii="Arial" w:cs="Arial" w:eastAsia="Arial" w:hAnsi="Arial"/>
          <w:sz w:val="19"/>
          <w:szCs w:val="19"/>
          <w:color w:val="auto"/>
        </w:rPr>
        <w:t>. The Company may terminate Executive’s employment without Cause.</w:t>
      </w:r>
    </w:p>
    <w:p>
      <w:pPr>
        <w:spacing w:after="0" w:line="240" w:lineRule="exact"/>
        <w:rPr>
          <w:rFonts w:ascii="Arial" w:cs="Arial" w:eastAsia="Arial" w:hAnsi="Arial"/>
          <w:sz w:val="19"/>
          <w:szCs w:val="19"/>
          <w:color w:val="auto"/>
        </w:rPr>
      </w:pPr>
    </w:p>
    <w:p>
      <w:pPr>
        <w:ind w:left="880" w:right="20" w:firstLine="789"/>
        <w:spacing w:after="0" w:line="250" w:lineRule="auto"/>
        <w:tabs>
          <w:tab w:leader="none" w:pos="2577" w:val="left"/>
        </w:tabs>
        <w:numPr>
          <w:ilvl w:val="1"/>
          <w:numId w:val="150"/>
        </w:numPr>
        <w:rPr>
          <w:rFonts w:ascii="Arial" w:cs="Arial" w:eastAsia="Arial" w:hAnsi="Arial"/>
          <w:sz w:val="22"/>
          <w:szCs w:val="22"/>
          <w:color w:val="auto"/>
        </w:rPr>
      </w:pPr>
      <w:r>
        <w:rPr>
          <w:rFonts w:ascii="Arial" w:cs="Arial" w:eastAsia="Arial" w:hAnsi="Arial"/>
          <w:sz w:val="22"/>
          <w:szCs w:val="22"/>
          <w:i w:val="1"/>
          <w:iCs w:val="1"/>
          <w:color w:val="auto"/>
        </w:rPr>
        <w:t xml:space="preserve">Resignation from the Company for Good Reason. </w:t>
      </w:r>
      <w:r>
        <w:rPr>
          <w:rFonts w:ascii="Arial" w:cs="Arial" w:eastAsia="Arial" w:hAnsi="Arial"/>
          <w:sz w:val="22"/>
          <w:szCs w:val="22"/>
          <w:color w:val="auto"/>
        </w:rPr>
        <w:t>Executive may resign Executive’s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Company for Good Reason, as defined below.</w:t>
      </w:r>
    </w:p>
    <w:p>
      <w:pPr>
        <w:spacing w:after="0" w:line="174" w:lineRule="exact"/>
        <w:rPr>
          <w:rFonts w:ascii="Arial" w:cs="Arial" w:eastAsia="Arial" w:hAnsi="Arial"/>
          <w:sz w:val="22"/>
          <w:szCs w:val="22"/>
          <w:color w:val="auto"/>
        </w:rPr>
      </w:pPr>
    </w:p>
    <w:p>
      <w:pPr>
        <w:ind w:left="880" w:firstLine="789"/>
        <w:spacing w:after="0" w:line="250" w:lineRule="auto"/>
        <w:tabs>
          <w:tab w:leader="none" w:pos="2637" w:val="left"/>
        </w:tabs>
        <w:numPr>
          <w:ilvl w:val="1"/>
          <w:numId w:val="150"/>
        </w:numPr>
        <w:rPr>
          <w:rFonts w:ascii="Arial" w:cs="Arial" w:eastAsia="Arial" w:hAnsi="Arial"/>
          <w:sz w:val="22"/>
          <w:szCs w:val="22"/>
          <w:color w:val="auto"/>
        </w:rPr>
      </w:pPr>
      <w:r>
        <w:rPr>
          <w:rFonts w:ascii="Arial" w:cs="Arial" w:eastAsia="Arial" w:hAnsi="Arial"/>
          <w:sz w:val="22"/>
          <w:szCs w:val="22"/>
          <w:i w:val="1"/>
          <w:iCs w:val="1"/>
          <w:color w:val="auto"/>
        </w:rPr>
        <w:t>Resignation from the Company Without Good Reason</w:t>
      </w:r>
      <w:r>
        <w:rPr>
          <w:rFonts w:ascii="Arial" w:cs="Arial" w:eastAsia="Arial" w:hAnsi="Arial"/>
          <w:sz w:val="22"/>
          <w:szCs w:val="22"/>
          <w:color w:val="auto"/>
        </w:rPr>
        <w:t>. Executive may resign Executive’s</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with the Company for any reason other than Good Reason or for no reason.</w:t>
      </w:r>
    </w:p>
    <w:p>
      <w:pPr>
        <w:spacing w:after="0" w:line="174" w:lineRule="exact"/>
        <w:rPr>
          <w:rFonts w:ascii="Arial" w:cs="Arial" w:eastAsia="Arial" w:hAnsi="Arial"/>
          <w:sz w:val="22"/>
          <w:szCs w:val="22"/>
          <w:color w:val="auto"/>
        </w:rPr>
      </w:pPr>
    </w:p>
    <w:p>
      <w:pPr>
        <w:jc w:val="both"/>
        <w:ind w:firstLine="872"/>
        <w:spacing w:after="0" w:line="272" w:lineRule="auto"/>
        <w:tabs>
          <w:tab w:leader="none" w:pos="1763"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paragraph (a)(i))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forty-five (45)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in its sole discretion. The failure by the Company to set forth in the Notice of Termination any fact or circumstance which contributes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3" w:name="page174"/>
    <w:bookmarkEnd w:id="173"/>
    <w:p>
      <w:pPr>
        <w:ind w:right="20"/>
        <w:spacing w:after="0" w:line="250" w:lineRule="auto"/>
        <w:rPr>
          <w:sz w:val="20"/>
          <w:szCs w:val="20"/>
          <w:color w:val="auto"/>
        </w:rPr>
      </w:pPr>
      <w:r>
        <w:rPr>
          <w:rFonts w:ascii="Arial" w:cs="Arial" w:eastAsia="Arial" w:hAnsi="Arial"/>
          <w:sz w:val="22"/>
          <w:szCs w:val="22"/>
          <w:color w:val="auto"/>
        </w:rPr>
        <w:t>to a showing of Cause shall not waive any right of the Company hereunder or preclude the Company from asserting such fact or circumstance in enforcing the Company’s rights hereunder.</w:t>
      </w:r>
    </w:p>
    <w:p>
      <w:pPr>
        <w:spacing w:after="0" w:line="175" w:lineRule="exact"/>
        <w:rPr>
          <w:sz w:val="20"/>
          <w:szCs w:val="20"/>
          <w:color w:val="auto"/>
        </w:rPr>
      </w:pPr>
    </w:p>
    <w:p>
      <w:pPr>
        <w:jc w:val="both"/>
        <w:ind w:firstLine="872"/>
        <w:spacing w:after="0" w:line="244" w:lineRule="auto"/>
        <w:tabs>
          <w:tab w:leader="none" w:pos="1751" w:val="left"/>
        </w:tabs>
        <w:numPr>
          <w:ilvl w:val="1"/>
          <w:numId w:val="151"/>
        </w:numPr>
        <w:rPr>
          <w:rFonts w:ascii="Arial" w:cs="Arial" w:eastAsia="Arial" w:hAnsi="Arial"/>
          <w:sz w:val="21"/>
          <w:szCs w:val="21"/>
          <w:color w:val="auto"/>
        </w:rPr>
      </w:pPr>
      <w:r>
        <w:rPr>
          <w:rFonts w:ascii="Arial" w:cs="Arial" w:eastAsia="Arial" w:hAnsi="Arial"/>
          <w:sz w:val="21"/>
          <w:szCs w:val="21"/>
          <w:u w:val="single" w:color="auto"/>
          <w:color w:val="auto"/>
        </w:rPr>
        <w:t>Company Obligations upon Termination</w:t>
      </w:r>
      <w:r>
        <w:rPr>
          <w:rFonts w:ascii="Arial" w:cs="Arial" w:eastAsia="Arial" w:hAnsi="Arial"/>
          <w:sz w:val="21"/>
          <w:szCs w:val="21"/>
          <w:color w:val="auto"/>
        </w:rPr>
        <w:t xml:space="preserve">. Upon termination of Executive’s employment pursuant to any of the circumstances listed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21"/>
          <w:szCs w:val="21"/>
          <w:u w:val="single" w:color="auto"/>
          <w:color w:val="auto"/>
        </w:rPr>
        <w:t>Section 2(e)</w:t>
      </w:r>
      <w:r>
        <w:rPr>
          <w:rFonts w:ascii="Arial" w:cs="Arial" w:eastAsia="Arial" w:hAnsi="Arial"/>
          <w:sz w:val="21"/>
          <w:szCs w:val="21"/>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21"/>
          <w:szCs w:val="21"/>
          <w:u w:val="single" w:color="auto"/>
          <w:color w:val="auto"/>
        </w:rPr>
        <w:t>Company Arrangements</w:t>
      </w:r>
      <w:r>
        <w:rPr>
          <w:rFonts w:ascii="Arial" w:cs="Arial" w:eastAsia="Arial" w:hAnsi="Arial"/>
          <w:sz w:val="21"/>
          <w:szCs w:val="21"/>
          <w:color w:val="auto"/>
        </w:rPr>
        <w:t>”). Except as otherwise expressly required by law (</w:t>
      </w:r>
      <w:r>
        <w:rPr>
          <w:rFonts w:ascii="Arial" w:cs="Arial" w:eastAsia="Arial" w:hAnsi="Arial"/>
          <w:sz w:val="21"/>
          <w:szCs w:val="21"/>
          <w:u w:val="single" w:color="auto"/>
          <w:color w:val="auto"/>
        </w:rPr>
        <w:t>e.g.</w:t>
      </w:r>
      <w:r>
        <w:rPr>
          <w:rFonts w:ascii="Arial" w:cs="Arial" w:eastAsia="Arial" w:hAnsi="Arial"/>
          <w:sz w:val="21"/>
          <w:szCs w:val="21"/>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21"/>
          <w:szCs w:val="21"/>
          <w:u w:val="single" w:color="auto"/>
          <w:color w:val="auto"/>
        </w:rPr>
        <w:t>Section 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w:t>
      </w:r>
      <w:r>
        <w:rPr>
          <w:rFonts w:ascii="Arial" w:cs="Arial" w:eastAsia="Arial" w:hAnsi="Arial"/>
          <w:sz w:val="21"/>
          <w:szCs w:val="21"/>
          <w:color w:val="auto"/>
        </w:rPr>
        <w:t>, as applicable.</w:t>
      </w:r>
    </w:p>
    <w:p>
      <w:pPr>
        <w:spacing w:after="0" w:line="188" w:lineRule="exact"/>
        <w:rPr>
          <w:rFonts w:ascii="Arial" w:cs="Arial" w:eastAsia="Arial" w:hAnsi="Arial"/>
          <w:sz w:val="21"/>
          <w:szCs w:val="21"/>
          <w:color w:val="auto"/>
        </w:rPr>
      </w:pPr>
    </w:p>
    <w:p>
      <w:pPr>
        <w:ind w:firstLine="872"/>
        <w:spacing w:after="0" w:line="274" w:lineRule="auto"/>
        <w:tabs>
          <w:tab w:leader="none" w:pos="1763" w:val="left"/>
        </w:tabs>
        <w:numPr>
          <w:ilvl w:val="1"/>
          <w:numId w:val="151"/>
        </w:numPr>
        <w:rPr>
          <w:rFonts w:ascii="Arial" w:cs="Arial" w:eastAsia="Arial" w:hAnsi="Arial"/>
          <w:sz w:val="21"/>
          <w:szCs w:val="21"/>
          <w:color w:val="auto"/>
        </w:rPr>
      </w:pPr>
      <w:r>
        <w:rPr>
          <w:rFonts w:ascii="Arial" w:cs="Arial" w:eastAsia="Arial" w:hAnsi="Arial"/>
          <w:sz w:val="21"/>
          <w:szCs w:val="21"/>
          <w:u w:val="single" w:color="auto"/>
          <w:color w:val="auto"/>
        </w:rPr>
        <w:t>Deemed Resignation</w:t>
      </w:r>
      <w:r>
        <w:rPr>
          <w:rFonts w:ascii="Arial" w:cs="Arial" w:eastAsia="Arial" w:hAnsi="Arial"/>
          <w:sz w:val="21"/>
          <w:szCs w:val="21"/>
          <w:color w:val="auto"/>
        </w:rPr>
        <w:t>. Upon termination of Executive’s employment for any reason, Executive shall be deemed to have resigned from all offices and directorships, if any, then held with the Company or any of its subsidiaries.</w:t>
      </w:r>
    </w:p>
    <w:p>
      <w:pPr>
        <w:spacing w:after="0" w:line="144" w:lineRule="exact"/>
        <w:rPr>
          <w:rFonts w:ascii="Arial" w:cs="Arial" w:eastAsia="Arial" w:hAnsi="Arial"/>
          <w:sz w:val="21"/>
          <w:szCs w:val="21"/>
          <w:color w:val="auto"/>
        </w:rPr>
      </w:pPr>
    </w:p>
    <w:p>
      <w:pPr>
        <w:ind w:left="820" w:hanging="812"/>
        <w:spacing w:after="0"/>
        <w:tabs>
          <w:tab w:leader="none" w:pos="82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Payments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Termination for Cause, or Termination Upon Death, Disability or Resignation from the Company Without Good Reason</w:t>
      </w:r>
      <w:r>
        <w:rPr>
          <w:rFonts w:ascii="Arial" w:cs="Arial" w:eastAsia="Arial" w:hAnsi="Arial"/>
          <w:sz w:val="22"/>
          <w:szCs w:val="22"/>
          <w:color w:val="auto"/>
        </w:rPr>
        <w:t xml:space="preserve">. If Executive’s employment shall terminate as a result of Executive’s death pursuant to </w:t>
      </w:r>
      <w:r>
        <w:rPr>
          <w:rFonts w:ascii="Arial" w:cs="Arial" w:eastAsia="Arial" w:hAnsi="Arial"/>
          <w:sz w:val="22"/>
          <w:szCs w:val="22"/>
          <w:u w:val="single" w:color="auto"/>
          <w:color w:val="auto"/>
        </w:rPr>
        <w:t>Section 3(a)(i)</w:t>
      </w:r>
      <w:r>
        <w:rPr>
          <w:rFonts w:ascii="Arial" w:cs="Arial" w:eastAsia="Arial" w:hAnsi="Arial"/>
          <w:sz w:val="22"/>
          <w:szCs w:val="22"/>
          <w:color w:val="auto"/>
        </w:rPr>
        <w:t xml:space="preserve"> or Disability pursuant to </w:t>
      </w:r>
      <w:r>
        <w:rPr>
          <w:rFonts w:ascii="Arial" w:cs="Arial" w:eastAsia="Arial" w:hAnsi="Arial"/>
          <w:sz w:val="22"/>
          <w:szCs w:val="22"/>
          <w:u w:val="single" w:color="auto"/>
          <w:color w:val="auto"/>
        </w:rPr>
        <w:t>Section 3(a)(ii)</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3(a)(iii)</w:t>
      </w:r>
      <w:r>
        <w:rPr>
          <w:rFonts w:ascii="Arial" w:cs="Arial" w:eastAsia="Arial" w:hAnsi="Arial"/>
          <w:sz w:val="22"/>
          <w:szCs w:val="22"/>
          <w:color w:val="auto"/>
        </w:rPr>
        <w:t xml:space="preserve"> for Cause, or pursuant to </w:t>
      </w:r>
      <w:r>
        <w:rPr>
          <w:rFonts w:ascii="Arial" w:cs="Arial" w:eastAsia="Arial" w:hAnsi="Arial"/>
          <w:sz w:val="22"/>
          <w:szCs w:val="22"/>
          <w:u w:val="single" w:color="auto"/>
          <w:color w:val="auto"/>
        </w:rPr>
        <w:t>Section 3(a)(vi)</w:t>
      </w:r>
      <w:r>
        <w:rPr>
          <w:rFonts w:ascii="Arial" w:cs="Arial" w:eastAsia="Arial" w:hAnsi="Arial"/>
          <w:sz w:val="22"/>
          <w:szCs w:val="22"/>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22"/>
          <w:szCs w:val="22"/>
          <w:u w:val="single" w:color="auto"/>
          <w:color w:val="auto"/>
        </w:rPr>
        <w:t>Section 3(c)</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Resignation from the Company for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for Good Reason, then, except as otherwise provided by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and subject to Executive signing on or before the 21</w:t>
      </w:r>
      <w:r>
        <w:rPr>
          <w:rFonts w:ascii="Arial" w:cs="Arial" w:eastAsia="Arial" w:hAnsi="Arial"/>
          <w:sz w:val="16"/>
          <w:szCs w:val="16"/>
          <w:color w:val="auto"/>
        </w:rPr>
        <w:t>st</w:t>
      </w:r>
      <w:r>
        <w:rPr>
          <w:rFonts w:ascii="Arial" w:cs="Arial" w:eastAsia="Arial" w:hAnsi="Arial"/>
          <w:sz w:val="19"/>
          <w:szCs w:val="19"/>
          <w:color w:val="auto"/>
        </w:rPr>
        <w:t xml:space="preserve"> day following Executive’s Separation from Service (as defined below), and not revoking, a release of claims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50" w:lineRule="exact"/>
        <w:rPr>
          <w:rFonts w:ascii="Arial" w:cs="Arial" w:eastAsia="Arial" w:hAnsi="Arial"/>
          <w:sz w:val="19"/>
          <w:szCs w:val="19"/>
          <w:color w:val="auto"/>
        </w:rPr>
      </w:pPr>
    </w:p>
    <w:p>
      <w:pPr>
        <w:jc w:val="both"/>
        <w:ind w:left="880" w:right="20" w:firstLine="789"/>
        <w:spacing w:after="0" w:line="297" w:lineRule="auto"/>
        <w:tabs>
          <w:tab w:leader="none" w:pos="2529" w:val="left"/>
        </w:tabs>
        <w:numPr>
          <w:ilvl w:val="2"/>
          <w:numId w:val="152"/>
        </w:numPr>
        <w:rPr>
          <w:rFonts w:ascii="Arial" w:cs="Arial" w:eastAsia="Arial" w:hAnsi="Arial"/>
          <w:sz w:val="19"/>
          <w:szCs w:val="19"/>
          <w:color w:val="auto"/>
        </w:rPr>
      </w:pPr>
      <w:r>
        <w:rPr>
          <w:rFonts w:ascii="Arial" w:cs="Arial" w:eastAsia="Arial" w:hAnsi="Arial"/>
          <w:sz w:val="19"/>
          <w:szCs w:val="19"/>
          <w:color w:val="auto"/>
        </w:rPr>
        <w:t xml:space="preserve">an amount in cash equal to the product of (x) 1.0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(y) the Annual Base Salary, payable in the form of salary continuation in regular installments over the 12-month period following the date of Executive’s Separation from Service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in accordance with the Company’s normal payroll practices;</w:t>
      </w:r>
    </w:p>
    <w:p>
      <w:pPr>
        <w:spacing w:after="0" w:line="133" w:lineRule="exact"/>
        <w:rPr>
          <w:rFonts w:ascii="Arial" w:cs="Arial" w:eastAsia="Arial" w:hAnsi="Arial"/>
          <w:sz w:val="19"/>
          <w:szCs w:val="19"/>
          <w:color w:val="auto"/>
        </w:rPr>
      </w:pPr>
    </w:p>
    <w:p>
      <w:pPr>
        <w:ind w:left="880" w:firstLine="789"/>
        <w:spacing w:after="0" w:line="250" w:lineRule="auto"/>
        <w:tabs>
          <w:tab w:leader="none" w:pos="2589" w:val="left"/>
        </w:tabs>
        <w:numPr>
          <w:ilvl w:val="2"/>
          <w:numId w:val="152"/>
        </w:numPr>
        <w:rPr>
          <w:rFonts w:ascii="Arial" w:cs="Arial" w:eastAsia="Arial" w:hAnsi="Arial"/>
          <w:sz w:val="22"/>
          <w:szCs w:val="22"/>
          <w:color w:val="auto"/>
        </w:rPr>
      </w:pPr>
      <w:r>
        <w:rPr>
          <w:rFonts w:ascii="Arial" w:cs="Arial" w:eastAsia="Arial" w:hAnsi="Arial"/>
          <w:sz w:val="22"/>
          <w:szCs w:val="22"/>
          <w:color w:val="auto"/>
        </w:rPr>
        <w:t>to the extent unpaid as of the Date of Termination, an amount of cash equal to any Annual Bonus earned by Executive for the Company’s fiscal year prior to the fiscal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4" w:name="page175"/>
    <w:bookmarkEnd w:id="174"/>
    <w:p>
      <w:pPr>
        <w:jc w:val="both"/>
        <w:ind w:left="880"/>
        <w:spacing w:after="0" w:line="238" w:lineRule="auto"/>
        <w:rPr>
          <w:sz w:val="20"/>
          <w:szCs w:val="20"/>
          <w:color w:val="auto"/>
        </w:rPr>
      </w:pPr>
      <w:r>
        <w:rPr>
          <w:rFonts w:ascii="Arial" w:cs="Arial" w:eastAsia="Arial" w:hAnsi="Arial"/>
          <w:sz w:val="22"/>
          <w:szCs w:val="22"/>
          <w:color w:val="auto"/>
        </w:rPr>
        <w:t>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85" w:lineRule="exact"/>
        <w:rPr>
          <w:sz w:val="20"/>
          <w:szCs w:val="20"/>
          <w:color w:val="auto"/>
        </w:rPr>
      </w:pPr>
    </w:p>
    <w:p>
      <w:pPr>
        <w:jc w:val="both"/>
        <w:ind w:left="880" w:firstLine="789"/>
        <w:spacing w:after="0" w:line="270" w:lineRule="auto"/>
        <w:tabs>
          <w:tab w:leader="none" w:pos="2649" w:val="left"/>
        </w:tabs>
        <w:numPr>
          <w:ilvl w:val="1"/>
          <w:numId w:val="153"/>
        </w:numPr>
        <w:rPr>
          <w:rFonts w:ascii="Arial" w:cs="Arial" w:eastAsia="Arial" w:hAnsi="Arial"/>
          <w:sz w:val="19"/>
          <w:szCs w:val="19"/>
          <w:color w:val="auto"/>
        </w:rPr>
      </w:pPr>
      <w:r>
        <w:rPr>
          <w:rFonts w:ascii="Arial" w:cs="Arial" w:eastAsia="Arial" w:hAnsi="Arial"/>
          <w:sz w:val="19"/>
          <w:szCs w:val="19"/>
          <w:color w:val="auto"/>
        </w:rPr>
        <w:t>if Executive timely elects to receive continued medical, dental 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then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which payments shall be made regardless of whether Executive elects COBRA continuation coverage and shall commence in the month following the month in which the Date of Termination occurs and shall end on the earlier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165" w:lineRule="exact"/>
        <w:rPr>
          <w:rFonts w:ascii="Arial" w:cs="Arial" w:eastAsia="Arial" w:hAnsi="Arial"/>
          <w:sz w:val="19"/>
          <w:szCs w:val="19"/>
          <w:color w:val="auto"/>
        </w:rPr>
      </w:pPr>
    </w:p>
    <w:p>
      <w:pPr>
        <w:jc w:val="both"/>
        <w:ind w:firstLine="872"/>
        <w:spacing w:after="0" w:line="282" w:lineRule="auto"/>
        <w:tabs>
          <w:tab w:leader="none" w:pos="1751"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In lieu of the payments and benefits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in the event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for Good Reason, in either case, within 60 days prior to or 12 months following the date of a Change in Control, subject to Executive signing on or before the 21st day following Executive’s Separation from Service, and not revoking, the Release,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Executive shall receive the following:</w:t>
      </w:r>
    </w:p>
    <w:p>
      <w:pPr>
        <w:spacing w:after="0" w:line="147" w:lineRule="exact"/>
        <w:rPr>
          <w:rFonts w:ascii="Arial" w:cs="Arial" w:eastAsia="Arial" w:hAnsi="Arial"/>
          <w:sz w:val="19"/>
          <w:szCs w:val="19"/>
          <w:color w:val="auto"/>
        </w:rPr>
      </w:pPr>
    </w:p>
    <w:p>
      <w:pPr>
        <w:ind w:left="2520" w:hanging="851"/>
        <w:spacing w:after="0"/>
        <w:tabs>
          <w:tab w:leader="none" w:pos="252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without duplication, the payments and benefits described in </w:t>
      </w:r>
      <w:r>
        <w:rPr>
          <w:rFonts w:ascii="Arial" w:cs="Arial" w:eastAsia="Arial" w:hAnsi="Arial"/>
          <w:sz w:val="22"/>
          <w:szCs w:val="22"/>
          <w:u w:val="single" w:color="auto"/>
          <w:color w:val="auto"/>
        </w:rPr>
        <w:t>Section 4(b)</w:t>
      </w: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8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an amount in cash equal to the product of (x) 1.0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(y) the Target Bonus, payable in a lump sum within thirty (30) days following the later of Executive’s Separation from Service and the date of a Change in Control; and</w:t>
      </w:r>
    </w:p>
    <w:p>
      <w:pPr>
        <w:spacing w:after="0" w:line="186" w:lineRule="exact"/>
        <w:rPr>
          <w:rFonts w:ascii="Arial" w:cs="Arial" w:eastAsia="Arial" w:hAnsi="Arial"/>
          <w:sz w:val="22"/>
          <w:szCs w:val="22"/>
          <w:color w:val="auto"/>
        </w:rPr>
      </w:pPr>
    </w:p>
    <w:p>
      <w:pPr>
        <w:ind w:left="880" w:firstLine="789"/>
        <w:spacing w:after="0" w:line="250" w:lineRule="auto"/>
        <w:tabs>
          <w:tab w:leader="none" w:pos="264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all unvested equity or equity-based awards held by Executive under any Company equity compensation plans that vest solely based on the passage of time shall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5" w:name="page176"/>
    <w:bookmarkEnd w:id="175"/>
    <w:p>
      <w:pPr>
        <w:jc w:val="both"/>
        <w:ind w:left="880"/>
        <w:spacing w:after="0" w:line="279" w:lineRule="auto"/>
        <w:rPr>
          <w:sz w:val="20"/>
          <w:szCs w:val="20"/>
          <w:color w:val="auto"/>
        </w:rPr>
      </w:pPr>
      <w:r>
        <w:rPr>
          <w:rFonts w:ascii="Arial" w:cs="Arial" w:eastAsia="Arial" w:hAnsi="Arial"/>
          <w:sz w:val="19"/>
          <w:szCs w:val="19"/>
          <w:color w:val="auto"/>
        </w:rPr>
        <w:t>immediately become 100% vested (and if the Date of Termination precedes the Change in Control, all such unvested awards shall remain outstanding and eligible to vest in accordance with this Section 4(c)(iii) if a Change Control occurs within 60 days after the Date of Termination, provided that in no event will any such award remain outstanding beyond the final expiration date of the award set forth in the documents governing such award), with any other equity or equity-based awards (including awards that vest in whole or in part based on the attainment of performance-vesting conditions) being governed by the terms of the applicable award agreement.</w:t>
      </w:r>
    </w:p>
    <w:p>
      <w:pPr>
        <w:spacing w:after="0" w:line="150" w:lineRule="exact"/>
        <w:rPr>
          <w:sz w:val="20"/>
          <w:szCs w:val="20"/>
          <w:color w:val="auto"/>
        </w:rPr>
      </w:pPr>
    </w:p>
    <w:p>
      <w:pPr>
        <w:ind w:firstLine="872"/>
        <w:spacing w:after="0" w:line="250" w:lineRule="auto"/>
        <w:tabs>
          <w:tab w:leader="none" w:pos="1763" w:val="left"/>
        </w:tabs>
        <w:numPr>
          <w:ilvl w:val="1"/>
          <w:numId w:val="15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Notwithstanding anything to the contrary in this Agreement, the provisions of </w:t>
      </w:r>
      <w:r>
        <w:rPr>
          <w:rFonts w:ascii="Arial" w:cs="Arial" w:eastAsia="Arial" w:hAnsi="Arial"/>
          <w:sz w:val="22"/>
          <w:szCs w:val="22"/>
          <w:u w:val="single" w:color="auto"/>
          <w:color w:val="auto"/>
        </w:rPr>
        <w:t>Sections 5</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will survive the termination of Executive’s employment and the termination of the Term.</w:t>
      </w:r>
    </w:p>
    <w:p>
      <w:pPr>
        <w:spacing w:after="0" w:line="168" w:lineRule="exact"/>
        <w:rPr>
          <w:rFonts w:ascii="Arial" w:cs="Arial" w:eastAsia="Arial" w:hAnsi="Arial"/>
          <w:sz w:val="22"/>
          <w:szCs w:val="22"/>
          <w:color w:val="auto"/>
        </w:rPr>
      </w:pPr>
    </w:p>
    <w:p>
      <w:pPr>
        <w:jc w:val="both"/>
        <w:ind w:firstLine="8"/>
        <w:spacing w:after="0" w:line="280" w:lineRule="auto"/>
        <w:tabs>
          <w:tab w:leader="none" w:pos="810" w:val="left"/>
        </w:tabs>
        <w:numPr>
          <w:ilvl w:val="0"/>
          <w:numId w:val="1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effectiveness of this Agreement, Executive has executed and delivered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 Employee Non-Competition, Non-Solicitation, Confidentiality and Assignment Agreement (the “</w:t>
      </w:r>
      <w:r>
        <w:rPr>
          <w:rFonts w:ascii="Arial" w:cs="Arial" w:eastAsia="Arial" w:hAnsi="Arial"/>
          <w:sz w:val="19"/>
          <w:szCs w:val="19"/>
          <w:u w:val="single" w:color="auto"/>
          <w:color w:val="auto"/>
        </w:rPr>
        <w:t>Proprietary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 Agreement</w:t>
      </w:r>
      <w:r>
        <w:rPr>
          <w:rFonts w:ascii="Arial" w:cs="Arial" w:eastAsia="Arial" w:hAnsi="Arial"/>
          <w:sz w:val="19"/>
          <w:szCs w:val="19"/>
          <w:color w:val="auto"/>
        </w:rPr>
        <w:t>”). Executive acknowledges and agrees that Executive continues to be bound by the existing terms of the Proprietary Information Agreement, and nothing in this Agreement affects or modifies the terms of the Proprietary Information Agreement. Executive acknowledges that the provisions of the Proprietary Information Agreement will survive the termination of Executive’s employment and the termination of the Term for the periods set forth in the Proprietary Information Agreement.</w:t>
      </w:r>
    </w:p>
    <w:p>
      <w:pPr>
        <w:spacing w:after="0" w:line="144" w:lineRule="exact"/>
        <w:rPr>
          <w:rFonts w:ascii="Arial" w:cs="Arial" w:eastAsia="Arial" w:hAnsi="Arial"/>
          <w:sz w:val="19"/>
          <w:szCs w:val="19"/>
          <w:b w:val="1"/>
          <w:bCs w:val="1"/>
          <w:color w:val="auto"/>
        </w:rPr>
      </w:pPr>
    </w:p>
    <w:p>
      <w:pPr>
        <w:ind w:left="820" w:hanging="812"/>
        <w:spacing w:after="0"/>
        <w:tabs>
          <w:tab w:leader="none" w:pos="82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 and Successors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2" w:lineRule="exact"/>
        <w:rPr>
          <w:sz w:val="20"/>
          <w:szCs w:val="20"/>
          <w:color w:val="auto"/>
        </w:rPr>
      </w:pPr>
    </w:p>
    <w:p>
      <w:pPr>
        <w:ind w:left="820" w:hanging="812"/>
        <w:spacing w:after="0"/>
        <w:tabs>
          <w:tab w:leader="none" w:pos="82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760" w:hanging="888"/>
        <w:spacing w:after="0"/>
        <w:tabs>
          <w:tab w:leader="none" w:pos="1760"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Company shall have “Cause” to terminate Executive’s employment hereunder upon:</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2"/>
          <w:numId w:val="158"/>
        </w:numPr>
        <w:rPr>
          <w:rFonts w:ascii="Arial" w:cs="Arial" w:eastAsia="Arial" w:hAnsi="Arial"/>
          <w:sz w:val="22"/>
          <w:szCs w:val="22"/>
          <w:color w:val="auto"/>
        </w:rPr>
      </w:pPr>
      <w:r>
        <w:rPr>
          <w:rFonts w:ascii="Arial" w:cs="Arial" w:eastAsia="Arial" w:hAnsi="Arial"/>
          <w:sz w:val="22"/>
          <w:szCs w:val="22"/>
          <w:color w:val="auto"/>
        </w:rPr>
        <w:t>Executive’s refusal to (A) substantially perform Executive’s duties with the Company (other than any such failure resulting from Executive’s Disability) or (B) comply with, in any material respect, any of the Company’s Policies;</w:t>
      </w:r>
    </w:p>
    <w:p>
      <w:pPr>
        <w:spacing w:after="0" w:line="186" w:lineRule="exact"/>
        <w:rPr>
          <w:rFonts w:ascii="Arial" w:cs="Arial" w:eastAsia="Arial" w:hAnsi="Arial"/>
          <w:sz w:val="22"/>
          <w:szCs w:val="22"/>
          <w:color w:val="auto"/>
        </w:rPr>
      </w:pPr>
    </w:p>
    <w:p>
      <w:pPr>
        <w:ind w:left="880" w:right="20" w:firstLine="789"/>
        <w:spacing w:after="0" w:line="250" w:lineRule="auto"/>
        <w:tabs>
          <w:tab w:leader="none" w:pos="2589" w:val="left"/>
        </w:tabs>
        <w:numPr>
          <w:ilvl w:val="2"/>
          <w:numId w:val="158"/>
        </w:numPr>
        <w:rPr>
          <w:rFonts w:ascii="Arial" w:cs="Arial" w:eastAsia="Arial" w:hAnsi="Arial"/>
          <w:sz w:val="22"/>
          <w:szCs w:val="22"/>
          <w:color w:val="auto"/>
        </w:rPr>
      </w:pPr>
      <w:r>
        <w:rPr>
          <w:rFonts w:ascii="Arial" w:cs="Arial" w:eastAsia="Arial" w:hAnsi="Arial"/>
          <w:sz w:val="22"/>
          <w:szCs w:val="22"/>
          <w:color w:val="auto"/>
        </w:rPr>
        <w:t>the Board’s determination that Executive refused in any material respect to carry out or comply with any lawful and reasonable directive of the Board;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6" w:name="page177"/>
    <w:bookmarkEnd w:id="176"/>
    <w:p>
      <w:pPr>
        <w:ind w:left="2640" w:hanging="971"/>
        <w:spacing w:after="0"/>
        <w:tabs>
          <w:tab w:leader="none" w:pos="26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Executive’s material breach of a material provision of this Agreement;</w:t>
      </w:r>
    </w:p>
    <w:p>
      <w:pPr>
        <w:spacing w:after="0" w:line="206"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Executive’s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any felony or crime involving moral turpitude;</w:t>
      </w:r>
    </w:p>
    <w:p>
      <w:pPr>
        <w:spacing w:after="0" w:line="174" w:lineRule="exact"/>
        <w:rPr>
          <w:rFonts w:ascii="Arial" w:cs="Arial" w:eastAsia="Arial" w:hAnsi="Arial"/>
          <w:sz w:val="22"/>
          <w:szCs w:val="22"/>
          <w:color w:val="auto"/>
        </w:rPr>
      </w:pPr>
    </w:p>
    <w:p>
      <w:pPr>
        <w:jc w:val="both"/>
        <w:ind w:left="880" w:firstLine="789"/>
        <w:spacing w:after="0"/>
        <w:tabs>
          <w:tab w:leader="none" w:pos="257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86"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Executive’s commission of an act of fraud, embezzlement, misappropriation, willful misconduct, or breach of fiduciary duty against the Company or any of its affiliates;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(ii) or (iii) of the foregoing definition and to the extent the applicable condition or event is reasonably capable of being cured, Executive shall have failed to cure such condition or event within 30 days after the receipt of such notice.</w:t>
      </w:r>
    </w:p>
    <w:p>
      <w:pPr>
        <w:spacing w:after="0" w:line="188" w:lineRule="exact"/>
        <w:rPr>
          <w:sz w:val="20"/>
          <w:szCs w:val="20"/>
          <w:color w:val="auto"/>
        </w:rPr>
      </w:pPr>
    </w:p>
    <w:p>
      <w:pPr>
        <w:ind w:firstLine="872"/>
        <w:spacing w:after="0" w:line="250" w:lineRule="auto"/>
        <w:tabs>
          <w:tab w:leader="none" w:pos="1763"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“Change in Control” shall have the meaning set forth in the version of the Seres Therapeutics, Inc. 2015 Incentive Award Plan in effect on the Effective Date.</w:t>
      </w:r>
    </w:p>
    <w:p>
      <w:pPr>
        <w:spacing w:after="0" w:line="174" w:lineRule="exact"/>
        <w:rPr>
          <w:rFonts w:ascii="Arial" w:cs="Arial" w:eastAsia="Arial" w:hAnsi="Arial"/>
          <w:sz w:val="22"/>
          <w:szCs w:val="22"/>
          <w:color w:val="auto"/>
        </w:rPr>
      </w:pPr>
    </w:p>
    <w:p>
      <w:pPr>
        <w:ind w:firstLine="872"/>
        <w:spacing w:after="0" w:line="250" w:lineRule="auto"/>
        <w:tabs>
          <w:tab w:leader="none" w:pos="1751"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“Code” shall mean the Internal Revenue Code of 1986, as amended, and the regulations and guidance promulgated thereunder.</w:t>
      </w:r>
    </w:p>
    <w:p>
      <w:pPr>
        <w:spacing w:after="0" w:line="174"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2"/>
          <w:szCs w:val="22"/>
          <w:u w:val="single" w:color="auto"/>
          <w:color w:val="auto"/>
        </w:rPr>
        <w:t>Section 3(a)(ii) – (vi)</w:t>
      </w:r>
      <w:r>
        <w:rPr>
          <w:rFonts w:ascii="Arial" w:cs="Arial" w:eastAsia="Arial" w:hAnsi="Arial"/>
          <w:sz w:val="22"/>
          <w:szCs w:val="22"/>
          <w:color w:val="auto"/>
        </w:rPr>
        <w:t xml:space="preserve"> either the date indicated in the Notice of Termination or the date specified by the Company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whichever is earlier.</w:t>
      </w:r>
    </w:p>
    <w:p>
      <w:pPr>
        <w:spacing w:after="0" w:line="184" w:lineRule="exact"/>
        <w:rPr>
          <w:rFonts w:ascii="Arial" w:cs="Arial" w:eastAsia="Arial" w:hAnsi="Arial"/>
          <w:sz w:val="22"/>
          <w:szCs w:val="22"/>
          <w:color w:val="auto"/>
        </w:rPr>
      </w:pPr>
    </w:p>
    <w:p>
      <w:pPr>
        <w:jc w:val="both"/>
        <w:ind w:firstLine="872"/>
        <w:spacing w:after="0" w:line="272" w:lineRule="auto"/>
        <w:tabs>
          <w:tab w:leader="none" w:pos="1751"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7" w:name="page178"/>
    <w:bookmarkEnd w:id="177"/>
    <w:p>
      <w:pPr>
        <w:jc w:val="both"/>
        <w:ind w:firstLine="872"/>
        <w:spacing w:after="0" w:line="273" w:lineRule="auto"/>
        <w:tabs>
          <w:tab w:leader="none" w:pos="1727"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sole purpose of determining Executive’s right to severance payments and benefits as described above, Executive’s resignation will be for “Good Reason” if Executive resigns within ninety days after any of the following events, unless Executive consents to the applicable event: (i) a material decrease in Executive’s Annual Base Salary,</w:t>
      </w:r>
    </w:p>
    <w:p>
      <w:pPr>
        <w:spacing w:after="0" w:line="1" w:lineRule="exact"/>
        <w:rPr>
          <w:rFonts w:ascii="Arial" w:cs="Arial" w:eastAsia="Arial" w:hAnsi="Arial"/>
          <w:sz w:val="19"/>
          <w:szCs w:val="19"/>
          <w:color w:val="auto"/>
        </w:rPr>
      </w:pPr>
    </w:p>
    <w:p>
      <w:pPr>
        <w:jc w:val="both"/>
        <w:ind w:firstLine="8"/>
        <w:spacing w:after="0" w:line="243" w:lineRule="auto"/>
        <w:tabs>
          <w:tab w:leader="none" w:pos="32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 material decrease in Executive’s authority or areas of responsibility as are commensurate with Executive’s title or positions, including Executive ceasing to report directly to the chief executive officer of the Company’s ultimate parent company following a Change in Control (or of the Company if there is no such parent entity), (iii) the Company’s material breach of a material provision of this Agreement or another written agreement with Executive or (iv) the relocation of Executive’s primary office to a location more than 50 miles from the Boston metropolitan area. Notwithstanding the foregoing, no Good Reason will have occurred unless and until Executive has: (a) provided the Company, within 60 days of Executive’s knowledge of the occurrence of the facts and circumstances underlying the Good Reason event, written notice stating with reasonable specificity the applicable facts and circumstances underlying such finding of Good Reason; (b) provided the Company with an opportunity to cure the same within 30 days after the receipt of such notice; and (c) the Company shall have failed to cure such condition within such 30 day period.</w:t>
      </w:r>
    </w:p>
    <w:p>
      <w:pPr>
        <w:spacing w:after="0" w:line="177" w:lineRule="exact"/>
        <w:rPr>
          <w:sz w:val="20"/>
          <w:szCs w:val="20"/>
          <w:color w:val="auto"/>
        </w:rPr>
      </w:pPr>
    </w:p>
    <w:p>
      <w:pPr>
        <w:ind w:left="820" w:hanging="812"/>
        <w:spacing w:after="0"/>
        <w:tabs>
          <w:tab w:leader="none" w:pos="82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Parachute Payments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72" w:lineRule="auto"/>
        <w:tabs>
          <w:tab w:leader="none" w:pos="1751" w:val="left"/>
        </w:tabs>
        <w:numPr>
          <w:ilvl w:val="1"/>
          <w:numId w:val="163"/>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5" w:lineRule="exact"/>
        <w:rPr>
          <w:rFonts w:ascii="Arial" w:cs="Arial" w:eastAsia="Arial" w:hAnsi="Arial"/>
          <w:sz w:val="19"/>
          <w:szCs w:val="19"/>
          <w:color w:val="auto"/>
        </w:rPr>
      </w:pPr>
    </w:p>
    <w:p>
      <w:pPr>
        <w:jc w:val="both"/>
        <w:ind w:firstLine="872"/>
        <w:spacing w:after="0" w:line="246" w:lineRule="auto"/>
        <w:tabs>
          <w:tab w:leader="none" w:pos="1763" w:val="left"/>
        </w:tabs>
        <w:numPr>
          <w:ilvl w:val="1"/>
          <w:numId w:val="163"/>
        </w:numPr>
        <w:rPr>
          <w:rFonts w:ascii="Arial" w:cs="Arial" w:eastAsia="Arial" w:hAnsi="Arial"/>
          <w:sz w:val="21"/>
          <w:szCs w:val="21"/>
          <w:color w:val="auto"/>
        </w:rPr>
      </w:pPr>
      <w:r>
        <w:rPr>
          <w:rFonts w:ascii="Arial" w:cs="Arial" w:eastAsia="Arial" w:hAnsi="Arial"/>
          <w:sz w:val="21"/>
          <w:szCs w:val="21"/>
          <w:color w:val="auto"/>
        </w:rPr>
        <w:t>The Total Payments shall be reduced in the following order: (i) reduction on a pro-rata basis of any cash severance payments that are exempt from Section 409A of the Code (“</w:t>
      </w:r>
      <w:r>
        <w:rPr>
          <w:rFonts w:ascii="Arial" w:cs="Arial" w:eastAsia="Arial" w:hAnsi="Arial"/>
          <w:sz w:val="21"/>
          <w:szCs w:val="21"/>
          <w:u w:val="single" w:color="auto"/>
          <w:color w:val="auto"/>
        </w:rPr>
        <w:t>Section 409A</w:t>
      </w:r>
      <w:r>
        <w:rPr>
          <w:rFonts w:ascii="Arial" w:cs="Arial" w:eastAsia="Arial" w:hAnsi="Arial"/>
          <w:sz w:val="21"/>
          <w:szCs w:val="21"/>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8" w:name="page179"/>
    <w:bookmarkEnd w:id="178"/>
    <w:p>
      <w:pPr>
        <w:jc w:val="both"/>
        <w:ind w:firstLine="872"/>
        <w:spacing w:after="0" w:line="270" w:lineRule="auto"/>
        <w:tabs>
          <w:tab w:leader="none" w:pos="1751"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All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w:t>
      </w:r>
    </w:p>
    <w:p>
      <w:pPr>
        <w:spacing w:after="0" w:line="4" w:lineRule="exact"/>
        <w:rPr>
          <w:rFonts w:ascii="Arial" w:cs="Arial" w:eastAsia="Arial" w:hAnsi="Arial"/>
          <w:sz w:val="19"/>
          <w:szCs w:val="19"/>
          <w:color w:val="auto"/>
        </w:rPr>
      </w:pPr>
    </w:p>
    <w:p>
      <w:pPr>
        <w:jc w:val="both"/>
        <w:ind w:firstLine="8"/>
        <w:spacing w:after="0" w:line="233" w:lineRule="auto"/>
        <w:tabs>
          <w:tab w:leader="none" w:pos="31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7" w:lineRule="exact"/>
        <w:rPr>
          <w:rFonts w:ascii="Arial" w:cs="Arial" w:eastAsia="Arial" w:hAnsi="Arial"/>
          <w:sz w:val="22"/>
          <w:szCs w:val="22"/>
          <w:color w:val="auto"/>
        </w:rPr>
      </w:pPr>
    </w:p>
    <w:p>
      <w:pPr>
        <w:jc w:val="both"/>
        <w:ind w:right="20" w:firstLine="872"/>
        <w:spacing w:after="0" w:line="328" w:lineRule="auto"/>
        <w:tabs>
          <w:tab w:leader="none" w:pos="1763"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a greater reduction in the Total Payments should have been made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excess amount shall be returned promptly by Executive to the Company.</w:t>
      </w:r>
    </w:p>
    <w:p>
      <w:pPr>
        <w:spacing w:after="0" w:line="99" w:lineRule="exact"/>
        <w:rPr>
          <w:sz w:val="20"/>
          <w:szCs w:val="20"/>
          <w:color w:val="auto"/>
        </w:rPr>
      </w:pPr>
    </w:p>
    <w:p>
      <w:pPr>
        <w:ind w:left="820" w:hanging="812"/>
        <w:spacing w:after="0"/>
        <w:tabs>
          <w:tab w:leader="none" w:pos="82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187" w:lineRule="exact"/>
        <w:rPr>
          <w:rFonts w:ascii="Arial" w:cs="Arial" w:eastAsia="Arial" w:hAnsi="Arial"/>
          <w:sz w:val="22"/>
          <w:szCs w:val="22"/>
          <w:color w:val="auto"/>
        </w:rPr>
      </w:pPr>
    </w:p>
    <w:p>
      <w:pPr>
        <w:ind w:firstLine="872"/>
        <w:spacing w:after="0" w:line="274" w:lineRule="auto"/>
        <w:tabs>
          <w:tab w:leader="none" w:pos="1763" w:val="left"/>
        </w:tabs>
        <w:numPr>
          <w:ilvl w:val="1"/>
          <w:numId w:val="166"/>
        </w:numPr>
        <w:rPr>
          <w:rFonts w:ascii="Arial" w:cs="Arial" w:eastAsia="Arial" w:hAnsi="Arial"/>
          <w:sz w:val="21"/>
          <w:szCs w:val="21"/>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0" w:lineRule="exact"/>
        <w:rPr>
          <w:rFonts w:ascii="Arial" w:cs="Arial" w:eastAsia="Arial" w:hAnsi="Arial"/>
          <w:sz w:val="21"/>
          <w:szCs w:val="21"/>
          <w:color w:val="auto"/>
        </w:rPr>
      </w:pPr>
    </w:p>
    <w:p>
      <w:pPr>
        <w:jc w:val="both"/>
        <w:ind w:firstLine="872"/>
        <w:spacing w:after="0"/>
        <w:tabs>
          <w:tab w:leader="none" w:pos="1751"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22"/>
          <w:szCs w:val="22"/>
          <w:color w:val="auto"/>
        </w:rPr>
      </w:pPr>
    </w:p>
    <w:p>
      <w:pPr>
        <w:ind w:left="2520" w:hanging="851"/>
        <w:spacing w:after="0"/>
        <w:tabs>
          <w:tab w:leader="none" w:pos="252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If to the Company, the Chief Financial Officer at its headquarters,</w:t>
      </w:r>
    </w:p>
    <w:p>
      <w:pPr>
        <w:spacing w:after="0" w:line="206" w:lineRule="exact"/>
        <w:rPr>
          <w:rFonts w:ascii="Arial" w:cs="Arial" w:eastAsia="Arial" w:hAnsi="Arial"/>
          <w:sz w:val="22"/>
          <w:szCs w:val="22"/>
          <w:color w:val="auto"/>
        </w:rPr>
      </w:pPr>
    </w:p>
    <w:p>
      <w:pPr>
        <w:ind w:left="2580" w:hanging="911"/>
        <w:spacing w:after="0"/>
        <w:tabs>
          <w:tab w:leader="none" w:pos="2580" w:val="left"/>
        </w:tabs>
        <w:numPr>
          <w:ilvl w:val="2"/>
          <w:numId w:val="166"/>
        </w:numPr>
        <w:rPr>
          <w:rFonts w:ascii="Arial" w:cs="Arial" w:eastAsia="Arial" w:hAnsi="Arial"/>
          <w:sz w:val="19"/>
          <w:szCs w:val="19"/>
          <w:color w:val="auto"/>
        </w:rPr>
      </w:pPr>
      <w:r>
        <w:rPr>
          <w:rFonts w:ascii="Arial" w:cs="Arial" w:eastAsia="Arial" w:hAnsi="Arial"/>
          <w:sz w:val="19"/>
          <w:szCs w:val="19"/>
          <w:color w:val="auto"/>
        </w:rPr>
        <w:t>If to Executive, at the last address that the Company has in its personnel records for Executive, or</w:t>
      </w:r>
    </w:p>
    <w:p>
      <w:pPr>
        <w:spacing w:after="0" w:line="240" w:lineRule="exact"/>
        <w:rPr>
          <w:rFonts w:ascii="Arial" w:cs="Arial" w:eastAsia="Arial" w:hAnsi="Arial"/>
          <w:sz w:val="19"/>
          <w:szCs w:val="19"/>
          <w:color w:val="auto"/>
        </w:rPr>
      </w:pPr>
    </w:p>
    <w:p>
      <w:pPr>
        <w:ind w:left="2640" w:hanging="971"/>
        <w:spacing w:after="0"/>
        <w:tabs>
          <w:tab w:leader="none" w:pos="2640" w:val="left"/>
        </w:tabs>
        <w:numPr>
          <w:ilvl w:val="2"/>
          <w:numId w:val="166"/>
        </w:numPr>
        <w:rPr>
          <w:rFonts w:ascii="Arial" w:cs="Arial" w:eastAsia="Arial" w:hAnsi="Arial"/>
          <w:sz w:val="21"/>
          <w:szCs w:val="21"/>
          <w:color w:val="auto"/>
        </w:rPr>
      </w:pPr>
      <w:r>
        <w:rPr>
          <w:rFonts w:ascii="Arial" w:cs="Arial" w:eastAsia="Arial" w:hAnsi="Arial"/>
          <w:sz w:val="21"/>
          <w:szCs w:val="21"/>
          <w:color w:val="auto"/>
        </w:rPr>
        <w:t>at any other address as any Party shall have specified by notice in writing to the other Party.</w:t>
      </w:r>
    </w:p>
    <w:p>
      <w:pPr>
        <w:spacing w:after="0" w:line="217" w:lineRule="exact"/>
        <w:rPr>
          <w:rFonts w:ascii="Arial" w:cs="Arial" w:eastAsia="Arial" w:hAnsi="Arial"/>
          <w:sz w:val="21"/>
          <w:szCs w:val="21"/>
          <w:color w:val="auto"/>
        </w:rPr>
      </w:pPr>
    </w:p>
    <w:p>
      <w:pPr>
        <w:jc w:val="both"/>
        <w:ind w:firstLine="872"/>
        <w:spacing w:after="0"/>
        <w:tabs>
          <w:tab w:leader="none" w:pos="1763"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2"/>
          <w:szCs w:val="22"/>
          <w:color w:val="auto"/>
        </w:rPr>
      </w:pPr>
    </w:p>
    <w:p>
      <w:pPr>
        <w:ind w:firstLine="872"/>
        <w:spacing w:after="0" w:line="250" w:lineRule="auto"/>
        <w:tabs>
          <w:tab w:leader="none" w:pos="1751"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The terms of this Agreement, and the Proprietary Information Agreement incorporated herein by reference as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are intended by the Parties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9" w:name="page180"/>
    <w:bookmarkEnd w:id="179"/>
    <w:p>
      <w:pPr>
        <w:jc w:val="both"/>
        <w:spacing w:after="0" w:line="287" w:lineRule="auto"/>
        <w:rPr>
          <w:sz w:val="20"/>
          <w:szCs w:val="20"/>
          <w:color w:val="auto"/>
        </w:rPr>
      </w:pPr>
      <w:r>
        <w:rPr>
          <w:rFonts w:ascii="Arial" w:cs="Arial" w:eastAsia="Arial" w:hAnsi="Arial"/>
          <w:sz w:val="19"/>
          <w:szCs w:val="19"/>
          <w:color w:val="auto"/>
        </w:rPr>
        <w:t>to be the final expression of their agreement with respect to the subject matter hereof and supersede all prior understandings and agreements, whether written or oral, including the Prior Agreement.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43" w:lineRule="exact"/>
        <w:rPr>
          <w:sz w:val="20"/>
          <w:szCs w:val="20"/>
          <w:color w:val="auto"/>
        </w:rPr>
      </w:pPr>
    </w:p>
    <w:p>
      <w:pPr>
        <w:jc w:val="both"/>
        <w:ind w:firstLine="872"/>
        <w:spacing w:after="0" w:line="246" w:lineRule="auto"/>
        <w:tabs>
          <w:tab w:leader="none" w:pos="1727"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No Inconsistent Actions</w:t>
      </w:r>
      <w:r>
        <w:rPr>
          <w:rFonts w:ascii="Arial" w:cs="Arial" w:eastAsia="Arial" w:hAnsi="Arial"/>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4" w:lineRule="exact"/>
        <w:rPr>
          <w:rFonts w:ascii="Arial" w:cs="Arial" w:eastAsia="Arial" w:hAnsi="Arial"/>
          <w:sz w:val="22"/>
          <w:szCs w:val="22"/>
          <w:color w:val="auto"/>
        </w:rPr>
      </w:pPr>
    </w:p>
    <w:p>
      <w:pPr>
        <w:jc w:val="both"/>
        <w:ind w:firstLine="872"/>
        <w:spacing w:after="0" w:line="244" w:lineRule="auto"/>
        <w:tabs>
          <w:tab w:leader="none" w:pos="1763"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8" w:lineRule="exact"/>
        <w:rPr>
          <w:rFonts w:ascii="Arial" w:cs="Arial" w:eastAsia="Arial" w:hAnsi="Arial"/>
          <w:sz w:val="21"/>
          <w:szCs w:val="21"/>
          <w:color w:val="auto"/>
        </w:rPr>
      </w:pPr>
    </w:p>
    <w:p>
      <w:pPr>
        <w:jc w:val="both"/>
        <w:ind w:firstLine="872"/>
        <w:spacing w:after="0" w:line="245" w:lineRule="auto"/>
        <w:tabs>
          <w:tab w:leader="none" w:pos="1715"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0" w:name="page181"/>
    <w:bookmarkEnd w:id="180"/>
    <w:p>
      <w:pPr>
        <w:jc w:val="both"/>
        <w:spacing w:after="0" w:line="244" w:lineRule="auto"/>
        <w:rPr>
          <w:sz w:val="20"/>
          <w:szCs w:val="20"/>
          <w:color w:val="auto"/>
        </w:rPr>
      </w:pPr>
      <w:r>
        <w:rPr>
          <w:rFonts w:ascii="Arial" w:cs="Arial" w:eastAsia="Arial" w:hAnsi="Arial"/>
          <w:sz w:val="21"/>
          <w:szCs w:val="21"/>
          <w:color w:val="auto"/>
        </w:rPr>
        <w:t xml:space="preserve">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nothing in this subsection shall be construed as precluding the bringing of an action for injunctive relief or specific performance as provided in this Agreement or Proprietary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86" w:lineRule="exact"/>
        <w:rPr>
          <w:sz w:val="20"/>
          <w:szCs w:val="20"/>
          <w:color w:val="auto"/>
        </w:rPr>
      </w:pPr>
    </w:p>
    <w:p>
      <w:pPr>
        <w:jc w:val="both"/>
        <w:ind w:firstLine="872"/>
        <w:spacing w:after="0" w:line="246" w:lineRule="auto"/>
        <w:tabs>
          <w:tab w:leader="none" w:pos="1715"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84" w:lineRule="exact"/>
        <w:rPr>
          <w:rFonts w:ascii="Arial" w:cs="Arial" w:eastAsia="Arial" w:hAnsi="Arial"/>
          <w:sz w:val="22"/>
          <w:szCs w:val="22"/>
          <w:color w:val="auto"/>
        </w:rPr>
      </w:pPr>
    </w:p>
    <w:p>
      <w:pPr>
        <w:ind w:left="1720" w:hanging="848"/>
        <w:spacing w:after="0"/>
        <w:tabs>
          <w:tab w:leader="none" w:pos="172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1"/>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intent of the Parties is that the payments and benefits under this Agreement comply</w:t>
      </w:r>
      <w:r>
        <w:rPr>
          <w:rFonts w:ascii="Arial" w:cs="Arial" w:eastAsia="Arial" w:hAnsi="Arial"/>
          <w:sz w:val="22"/>
          <w:szCs w:val="22"/>
          <w:i w:val="1"/>
          <w:iCs w:val="1"/>
          <w:color w:val="auto"/>
        </w:rPr>
        <w:t xml:space="preserve"> </w:t>
      </w:r>
      <w:r>
        <w:rPr>
          <w:rFonts w:ascii="Arial" w:cs="Arial" w:eastAsia="Arial" w:hAnsi="Arial"/>
          <w:sz w:val="22"/>
          <w:szCs w:val="22"/>
          <w:color w:val="auto"/>
        </w:rPr>
        <w:t>with or be exempt from Section 409A and, accordingly, to the maximum extent permitted, this Agreement shall be interpreted to be in compliance therewith.</w:t>
      </w:r>
    </w:p>
    <w:p>
      <w:pPr>
        <w:spacing w:after="0" w:line="186" w:lineRule="exact"/>
        <w:rPr>
          <w:rFonts w:ascii="Arial" w:cs="Arial" w:eastAsia="Arial" w:hAnsi="Arial"/>
          <w:sz w:val="22"/>
          <w:szCs w:val="22"/>
          <w:color w:val="auto"/>
        </w:rPr>
      </w:pPr>
    </w:p>
    <w:p>
      <w:pPr>
        <w:jc w:val="both"/>
        <w:ind w:left="880" w:firstLine="789"/>
        <w:spacing w:after="0" w:line="277" w:lineRule="auto"/>
        <w:tabs>
          <w:tab w:leader="none" w:pos="2589" w:val="left"/>
        </w:tabs>
        <w:numPr>
          <w:ilvl w:val="1"/>
          <w:numId w:val="168"/>
        </w:numPr>
        <w:rPr>
          <w:rFonts w:ascii="Arial" w:cs="Arial" w:eastAsia="Arial" w:hAnsi="Arial"/>
          <w:sz w:val="19"/>
          <w:szCs w:val="19"/>
          <w:color w:val="auto"/>
        </w:rPr>
      </w:pPr>
      <w:r>
        <w:rPr>
          <w:rFonts w:ascii="Arial" w:cs="Arial" w:eastAsia="Arial" w:hAnsi="Arial"/>
          <w:sz w:val="19"/>
          <w:szCs w:val="19"/>
          <w:i w:val="1"/>
          <w:iCs w:val="1"/>
          <w:color w:val="auto"/>
        </w:rPr>
        <w:t xml:space="preserve">Separation from Service. </w:t>
      </w:r>
      <w:r>
        <w:rPr>
          <w:rFonts w:ascii="Arial" w:cs="Arial" w:eastAsia="Arial" w:hAnsi="Arial"/>
          <w:sz w:val="19"/>
          <w:szCs w:val="19"/>
          <w:color w:val="auto"/>
        </w:rPr>
        <w:t>Notwithstanding anything in this Agreement to the contrary, any</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xml:space="preserve">”) and, except as provided below, any such compensation or benefits described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not be paid, or, in the case of installments, shall not commence payment, until the thirtieth (30th) day following Executive’s Separation from Service (the “</w:t>
      </w:r>
      <w:r>
        <w:rPr>
          <w:rFonts w:ascii="Arial" w:cs="Arial" w:eastAsia="Arial" w:hAnsi="Arial"/>
          <w:sz w:val="19"/>
          <w:szCs w:val="19"/>
          <w:u w:val="single" w:color="auto"/>
          <w:color w:val="auto"/>
        </w:rPr>
        <w:t>First Payment Date</w:t>
      </w:r>
      <w:r>
        <w:rPr>
          <w:rFonts w:ascii="Arial" w:cs="Arial" w:eastAsia="Arial" w:hAnsi="Arial"/>
          <w:sz w:val="19"/>
          <w:szCs w:val="19"/>
          <w:color w:val="auto"/>
        </w:rPr>
        <w:t>”). Any installment payments that would have been made to Executive during the thirty (30) day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1" w:name="page182"/>
    <w:bookmarkEnd w:id="181"/>
    <w:p>
      <w:pPr>
        <w:ind w:left="880"/>
        <w:spacing w:after="0" w:line="328" w:lineRule="auto"/>
        <w:rPr>
          <w:sz w:val="20"/>
          <w:szCs w:val="20"/>
          <w:color w:val="auto"/>
        </w:rPr>
      </w:pPr>
      <w:r>
        <w:rPr>
          <w:rFonts w:ascii="Arial" w:cs="Arial" w:eastAsia="Arial" w:hAnsi="Arial"/>
          <w:sz w:val="19"/>
          <w:szCs w:val="19"/>
          <w:color w:val="auto"/>
        </w:rPr>
        <w:t>immediately following Executive’s Separation from Service but for the preceding sentence shall be paid to Executive on the First Payment Date and the remaining payments shall be made as provided in this Agreement.</w:t>
      </w:r>
    </w:p>
    <w:p>
      <w:pPr>
        <w:spacing w:after="0" w:line="105" w:lineRule="exact"/>
        <w:rPr>
          <w:sz w:val="20"/>
          <w:szCs w:val="20"/>
          <w:color w:val="auto"/>
        </w:rPr>
      </w:pPr>
    </w:p>
    <w:p>
      <w:pPr>
        <w:jc w:val="both"/>
        <w:ind w:left="880" w:firstLine="789"/>
        <w:spacing w:after="0" w:line="245" w:lineRule="auto"/>
        <w:tabs>
          <w:tab w:leader="none" w:pos="2649" w:val="left"/>
        </w:tabs>
        <w:numPr>
          <w:ilvl w:val="1"/>
          <w:numId w:val="169"/>
        </w:numPr>
        <w:rPr>
          <w:rFonts w:ascii="Arial" w:cs="Arial" w:eastAsia="Arial" w:hAnsi="Arial"/>
          <w:sz w:val="21"/>
          <w:szCs w:val="21"/>
          <w:color w:val="auto"/>
        </w:rPr>
      </w:pPr>
      <w:r>
        <w:rPr>
          <w:rFonts w:ascii="Arial" w:cs="Arial" w:eastAsia="Arial" w:hAnsi="Arial"/>
          <w:sz w:val="21"/>
          <w:szCs w:val="21"/>
          <w:i w:val="1"/>
          <w:iCs w:val="1"/>
          <w:color w:val="auto"/>
        </w:rPr>
        <w:t xml:space="preserve">Specified Employee. </w:t>
      </w:r>
      <w:r>
        <w:rPr>
          <w:rFonts w:ascii="Arial" w:cs="Arial" w:eastAsia="Arial" w:hAnsi="Arial"/>
          <w:sz w:val="21"/>
          <w:szCs w:val="21"/>
          <w:color w:val="auto"/>
        </w:rPr>
        <w:t>Notwithstanding anything in this Agreement to the contrary, if Executive is</w:t>
      </w:r>
      <w:r>
        <w:rPr>
          <w:rFonts w:ascii="Arial" w:cs="Arial" w:eastAsia="Arial" w:hAnsi="Arial"/>
          <w:sz w:val="21"/>
          <w:szCs w:val="21"/>
          <w:i w:val="1"/>
          <w:iCs w:val="1"/>
          <w:color w:val="auto"/>
        </w:rPr>
        <w:t xml:space="preserve"> </w:t>
      </w:r>
      <w:r>
        <w:rPr>
          <w:rFonts w:ascii="Arial" w:cs="Arial" w:eastAsia="Arial" w:hAnsi="Arial"/>
          <w:sz w:val="21"/>
          <w:szCs w:val="21"/>
          <w:color w:val="auto"/>
        </w:rPr>
        <w:t>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0" w:lineRule="exact"/>
        <w:rPr>
          <w:rFonts w:ascii="Arial" w:cs="Arial" w:eastAsia="Arial" w:hAnsi="Arial"/>
          <w:sz w:val="21"/>
          <w:szCs w:val="21"/>
          <w:color w:val="auto"/>
        </w:rPr>
      </w:pPr>
    </w:p>
    <w:p>
      <w:pPr>
        <w:jc w:val="both"/>
        <w:ind w:left="880" w:firstLine="789"/>
        <w:spacing w:after="0" w:line="246" w:lineRule="auto"/>
        <w:tabs>
          <w:tab w:leader="none" w:pos="2637" w:val="left"/>
        </w:tabs>
        <w:numPr>
          <w:ilvl w:val="1"/>
          <w:numId w:val="169"/>
        </w:numPr>
        <w:rPr>
          <w:rFonts w:ascii="Arial" w:cs="Arial" w:eastAsia="Arial" w:hAnsi="Arial"/>
          <w:sz w:val="21"/>
          <w:szCs w:val="21"/>
          <w:color w:val="auto"/>
        </w:rPr>
      </w:pPr>
      <w:r>
        <w:rPr>
          <w:rFonts w:ascii="Arial" w:cs="Arial" w:eastAsia="Arial" w:hAnsi="Arial"/>
          <w:sz w:val="21"/>
          <w:szCs w:val="21"/>
          <w:i w:val="1"/>
          <w:iCs w:val="1"/>
          <w:color w:val="auto"/>
        </w:rPr>
        <w:t xml:space="preserve">Expense Reimbursements. </w:t>
      </w:r>
      <w:r>
        <w:rPr>
          <w:rFonts w:ascii="Arial" w:cs="Arial" w:eastAsia="Arial" w:hAnsi="Arial"/>
          <w:sz w:val="21"/>
          <w:szCs w:val="21"/>
          <w:color w:val="auto"/>
        </w:rPr>
        <w:t>To the extent that any reimbursements under this Agreement are subject</w:t>
      </w:r>
      <w:r>
        <w:rPr>
          <w:rFonts w:ascii="Arial" w:cs="Arial" w:eastAsia="Arial" w:hAnsi="Arial"/>
          <w:sz w:val="21"/>
          <w:szCs w:val="21"/>
          <w:i w:val="1"/>
          <w:iCs w:val="1"/>
          <w:color w:val="auto"/>
        </w:rPr>
        <w:t xml:space="preserve"> </w:t>
      </w:r>
      <w:r>
        <w:rPr>
          <w:rFonts w:ascii="Arial" w:cs="Arial" w:eastAsia="Arial" w:hAnsi="Arial"/>
          <w:sz w:val="21"/>
          <w:szCs w:val="21"/>
          <w:color w:val="auto"/>
        </w:rPr>
        <w:t>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spacing w:after="0" w:line="184" w:lineRule="exact"/>
        <w:rPr>
          <w:rFonts w:ascii="Arial" w:cs="Arial" w:eastAsia="Arial" w:hAnsi="Arial"/>
          <w:sz w:val="21"/>
          <w:szCs w:val="21"/>
          <w:color w:val="auto"/>
        </w:rPr>
      </w:pPr>
    </w:p>
    <w:p>
      <w:pPr>
        <w:jc w:val="both"/>
        <w:ind w:left="880" w:firstLine="789"/>
        <w:spacing w:after="0" w:line="248" w:lineRule="auto"/>
        <w:tabs>
          <w:tab w:leader="none" w:pos="2577" w:val="left"/>
        </w:tabs>
        <w:numPr>
          <w:ilvl w:val="1"/>
          <w:numId w:val="169"/>
        </w:numPr>
        <w:rPr>
          <w:rFonts w:ascii="Arial" w:cs="Arial" w:eastAsia="Arial" w:hAnsi="Arial"/>
          <w:sz w:val="21"/>
          <w:szCs w:val="21"/>
          <w:color w:val="auto"/>
        </w:rPr>
      </w:pPr>
      <w:r>
        <w:rPr>
          <w:rFonts w:ascii="Arial" w:cs="Arial" w:eastAsia="Arial" w:hAnsi="Arial"/>
          <w:sz w:val="21"/>
          <w:szCs w:val="21"/>
          <w:i w:val="1"/>
          <w:iCs w:val="1"/>
          <w:color w:val="auto"/>
        </w:rPr>
        <w:t xml:space="preserve">Installments. </w:t>
      </w:r>
      <w:r>
        <w:rPr>
          <w:rFonts w:ascii="Arial" w:cs="Arial" w:eastAsia="Arial" w:hAnsi="Arial"/>
          <w:sz w:val="21"/>
          <w:szCs w:val="21"/>
          <w:color w:val="auto"/>
        </w:rPr>
        <w:t>Executive’s right to receive any installment payments under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70" w:lineRule="exact"/>
        <w:rPr>
          <w:rFonts w:ascii="Arial" w:cs="Arial" w:eastAsia="Arial" w:hAnsi="Arial"/>
          <w:sz w:val="21"/>
          <w:szCs w:val="21"/>
          <w:color w:val="auto"/>
        </w:rPr>
      </w:pPr>
    </w:p>
    <w:p>
      <w:pPr>
        <w:ind w:left="920" w:hanging="912"/>
        <w:spacing w:after="0"/>
        <w:tabs>
          <w:tab w:leader="none" w:pos="92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Executive Acknowledgement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color w:val="auto"/>
        </w:rPr>
        <w:t>IN WITNESS WHEREOF, the Parties have executed this Agreement on the date and year first above written.</w:t>
      </w:r>
    </w:p>
    <w:p>
      <w:pPr>
        <w:spacing w:after="0" w:line="200" w:lineRule="exact"/>
        <w:rPr>
          <w:sz w:val="20"/>
          <w:szCs w:val="20"/>
          <w:color w:val="auto"/>
        </w:rPr>
      </w:pPr>
    </w:p>
    <w:p>
      <w:pPr>
        <w:spacing w:after="0" w:line="305"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SERES THERAPEUTICS, INC.</w:t>
      </w:r>
    </w:p>
    <w:p>
      <w:pPr>
        <w:spacing w:after="0" w:line="200" w:lineRule="exact"/>
        <w:rPr>
          <w:sz w:val="20"/>
          <w:szCs w:val="20"/>
          <w:color w:val="auto"/>
        </w:rPr>
      </w:pPr>
    </w:p>
    <w:p>
      <w:pPr>
        <w:spacing w:after="0" w:line="287" w:lineRule="exact"/>
        <w:rPr>
          <w:sz w:val="20"/>
          <w:szCs w:val="20"/>
          <w:color w:val="auto"/>
        </w:rPr>
      </w:pPr>
    </w:p>
    <w:p>
      <w:pPr>
        <w:ind w:left="4740"/>
        <w:spacing w:after="0"/>
        <w:tabs>
          <w:tab w:leader="none" w:pos="5300" w:val="left"/>
        </w:tabs>
        <w:rPr>
          <w:sz w:val="20"/>
          <w:szCs w:val="20"/>
          <w:color w:val="auto"/>
        </w:rPr>
      </w:pPr>
      <w:r>
        <w:rPr>
          <w:rFonts w:ascii="Arial" w:cs="Arial" w:eastAsia="Arial" w:hAnsi="Arial"/>
          <w:sz w:val="20"/>
          <w:szCs w:val="20"/>
          <w:color w:val="auto"/>
        </w:rPr>
        <w:t>By:</w:t>
        <w:tab/>
        <w:t>/s/ Eric D. Shaff</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-143510</wp:posOffset>
            </wp:positionV>
            <wp:extent cx="3206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320"/>
        <w:spacing w:after="0"/>
        <w:rPr>
          <w:sz w:val="20"/>
          <w:szCs w:val="20"/>
          <w:color w:val="auto"/>
        </w:rPr>
      </w:pPr>
      <w:r>
        <w:rPr>
          <w:rFonts w:ascii="Arial" w:cs="Arial" w:eastAsia="Arial" w:hAnsi="Arial"/>
          <w:sz w:val="20"/>
          <w:szCs w:val="20"/>
          <w:color w:val="auto"/>
        </w:rPr>
        <w:t>Title: President, CEO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 David S. Ege</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David Ege,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-143510</wp:posOffset>
            </wp:positionV>
            <wp:extent cx="32061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00" w:top="334" w:right="1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Separation Agreement and Release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David Ege, Ph.D. (“</w:t>
      </w:r>
      <w:r>
        <w:rPr>
          <w:rFonts w:ascii="Arial" w:cs="Arial" w:eastAsia="Arial" w:hAnsi="Arial"/>
          <w:sz w:val="22"/>
          <w:szCs w:val="22"/>
          <w:u w:val="single" w:color="auto"/>
          <w:color w:val="auto"/>
        </w:rPr>
        <w:t>Executive</w:t>
      </w:r>
      <w:r>
        <w:rPr>
          <w:rFonts w:ascii="Arial" w:cs="Arial" w:eastAsia="Arial" w:hAnsi="Arial"/>
          <w:sz w:val="22"/>
          <w:szCs w:val="22"/>
          <w:color w:val="auto"/>
        </w:rPr>
        <w:t>”) and Seres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 Capitalized terms used but not defined in this Agreement shall have the meanings set forth in the Employment Agreement (as defined below).</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Parties have previously entered into that certain Amended and Restated Employment Agreement, dated as of _____________, 2021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w:t>
      </w:r>
    </w:p>
    <w:p>
      <w:pPr>
        <w:spacing w:after="0" w:line="17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WHEREAS, in connection with Executive’s termination of employment with the Company or a subsidiary or affiliate of the Company effective ________, 20__, the Parties wish to resolve any and all disputes, claims, complaints, grievances,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or Executive’s right to indemnification by the Company or any of its affiliates pursuant to contract or applicable law (collectively, the “</w:t>
      </w:r>
      <w:r>
        <w:rPr>
          <w:rFonts w:ascii="Arial" w:cs="Arial" w:eastAsia="Arial" w:hAnsi="Arial"/>
          <w:sz w:val="22"/>
          <w:szCs w:val="22"/>
          <w:u w:val="single" w:color="auto"/>
          <w:color w:val="auto"/>
        </w:rPr>
        <w:t>Retained Claims</w:t>
      </w:r>
      <w:r>
        <w:rPr>
          <w:rFonts w:ascii="Arial" w:cs="Arial" w:eastAsia="Arial" w:hAnsi="Arial"/>
          <w:sz w:val="22"/>
          <w:szCs w:val="22"/>
          <w:color w:val="auto"/>
        </w:rPr>
        <w:t>”).</w:t>
      </w:r>
    </w:p>
    <w:p>
      <w:pPr>
        <w:spacing w:after="0" w:line="18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5" w:lineRule="exact"/>
        <w:rPr>
          <w:sz w:val="20"/>
          <w:szCs w:val="20"/>
          <w:color w:val="auto"/>
        </w:rPr>
      </w:pPr>
    </w:p>
    <w:p>
      <w:pPr>
        <w:jc w:val="both"/>
        <w:ind w:firstLine="872"/>
        <w:spacing w:after="0" w:line="235" w:lineRule="auto"/>
        <w:tabs>
          <w:tab w:leader="none" w:pos="1674"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Severance Payments and Benefits; Salary and Benefits</w:t>
      </w:r>
      <w:r>
        <w:rPr>
          <w:rFonts w:ascii="Arial" w:cs="Arial" w:eastAsia="Arial" w:hAnsi="Arial"/>
          <w:sz w:val="22"/>
          <w:szCs w:val="22"/>
          <w:color w:val="auto"/>
        </w:rPr>
        <w:t>. The Company agrees to provide Executive with the severance payments and benefits described in Section 4(b) and/or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7" w:lineRule="exact"/>
        <w:rPr>
          <w:rFonts w:ascii="Arial" w:cs="Arial" w:eastAsia="Arial" w:hAnsi="Arial"/>
          <w:sz w:val="22"/>
          <w:szCs w:val="22"/>
          <w:color w:val="auto"/>
        </w:rPr>
      </w:pPr>
    </w:p>
    <w:p>
      <w:pPr>
        <w:jc w:val="both"/>
        <w:ind w:firstLine="872"/>
        <w:spacing w:after="0" w:line="275" w:lineRule="auto"/>
        <w:tabs>
          <w:tab w:leader="none" w:pos="1674"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Executive, on Executive’s own behalf and on behalf of any of Executive’s affiliated companies or entities and any of Executive’s or their respective heirs, family members, executors, agents, and assigns, other than with respect to the Retained Claims, hereby and forever releases the Releasees from, and agrees not to sue concerning,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4" w:name="page185"/>
    <w:bookmarkEnd w:id="184"/>
    <w:p>
      <w:pPr>
        <w:jc w:val="both"/>
        <w:spacing w:after="0" w:line="238" w:lineRule="auto"/>
        <w:rPr>
          <w:sz w:val="20"/>
          <w:szCs w:val="20"/>
          <w:color w:val="auto"/>
        </w:rPr>
      </w:pPr>
      <w:r>
        <w:rPr>
          <w:rFonts w:ascii="Arial" w:cs="Arial" w:eastAsia="Arial" w:hAnsi="Arial"/>
          <w:sz w:val="22"/>
          <w:szCs w:val="22"/>
          <w:color w:val="auto"/>
        </w:rPr>
        <w:t>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85" w:lineRule="exact"/>
        <w:rPr>
          <w:sz w:val="20"/>
          <w:szCs w:val="20"/>
          <w:color w:val="auto"/>
        </w:rPr>
      </w:pPr>
    </w:p>
    <w:p>
      <w:pPr>
        <w:ind w:right="20" w:firstLine="1735"/>
        <w:spacing w:after="0" w:line="274" w:lineRule="auto"/>
        <w:tabs>
          <w:tab w:leader="none" w:pos="261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any and all claims relating to or arising from Executive’s employment or service relationship with the Company or any of its direct or indirect subsidiaries or affiliates and the termination of that relationship;</w:t>
      </w:r>
    </w:p>
    <w:p>
      <w:pPr>
        <w:spacing w:after="0" w:line="150"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84" w:lineRule="exact"/>
        <w:rPr>
          <w:rFonts w:ascii="Arial" w:cs="Arial" w:eastAsia="Arial" w:hAnsi="Arial"/>
          <w:sz w:val="22"/>
          <w:szCs w:val="22"/>
          <w:color w:val="auto"/>
        </w:rPr>
      </w:pPr>
    </w:p>
    <w:p>
      <w:pPr>
        <w:jc w:val="both"/>
        <w:ind w:firstLine="1735"/>
        <w:spacing w:after="0" w:line="235" w:lineRule="auto"/>
        <w:tabs>
          <w:tab w:leader="none" w:pos="261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7" w:lineRule="exact"/>
        <w:rPr>
          <w:rFonts w:ascii="Arial" w:cs="Arial" w:eastAsia="Arial" w:hAnsi="Arial"/>
          <w:sz w:val="22"/>
          <w:szCs w:val="22"/>
          <w:color w:val="auto"/>
        </w:rPr>
      </w:pPr>
    </w:p>
    <w:p>
      <w:pPr>
        <w:jc w:val="both"/>
        <w:ind w:firstLine="1735"/>
        <w:spacing w:after="0" w:line="235" w:lineRule="auto"/>
        <w:tabs>
          <w:tab w:leader="none" w:pos="262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06" w:lineRule="exact"/>
        <w:rPr>
          <w:rFonts w:ascii="Arial" w:cs="Arial" w:eastAsia="Arial" w:hAnsi="Arial"/>
          <w:sz w:val="22"/>
          <w:szCs w:val="22"/>
          <w:color w:val="auto"/>
        </w:rPr>
      </w:pPr>
    </w:p>
    <w:p>
      <w:pPr>
        <w:ind w:left="2600" w:hanging="865"/>
        <w:spacing w:after="0"/>
        <w:tabs>
          <w:tab w:leader="none" w:pos="260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any and all claims arising out of any other laws and regulations relating to employment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employment discrimination;</w:t>
      </w:r>
    </w:p>
    <w:p>
      <w:pPr>
        <w:spacing w:after="0" w:line="188" w:lineRule="exact"/>
        <w:rPr>
          <w:rFonts w:ascii="Arial" w:cs="Arial" w:eastAsia="Arial" w:hAnsi="Arial"/>
          <w:sz w:val="21"/>
          <w:szCs w:val="21"/>
          <w:color w:val="auto"/>
        </w:rPr>
      </w:pPr>
    </w:p>
    <w:p>
      <w:pPr>
        <w:ind w:right="20" w:firstLine="1735"/>
        <w:spacing w:after="0" w:line="250" w:lineRule="auto"/>
        <w:tabs>
          <w:tab w:leader="none" w:pos="262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2"/>
          <w:szCs w:val="22"/>
          <w:color w:val="auto"/>
        </w:rPr>
      </w:pPr>
    </w:p>
    <w:p>
      <w:pPr>
        <w:ind w:left="2580" w:hanging="845"/>
        <w:spacing w:after="0"/>
        <w:tabs>
          <w:tab w:leader="none" w:pos="25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5" w:name="page186"/>
    <w:bookmarkEnd w:id="185"/>
    <w:p>
      <w:pPr>
        <w:jc w:val="both"/>
        <w:spacing w:after="0" w:line="270"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Executive’s right to receive an award for information provided to any such government agencies),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w:t>
      </w:r>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271" w:lineRule="auto"/>
        <w:tabs>
          <w:tab w:leader="none" w:pos="167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Executive is waiving and releasing any rights Executive may have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expressly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872"/>
        <w:spacing w:after="0" w:line="250" w:lineRule="auto"/>
        <w:tabs>
          <w:tab w:leader="none" w:pos="1674"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Post-Termination Obligations</w:t>
      </w:r>
      <w:r>
        <w:rPr>
          <w:rFonts w:ascii="Arial" w:cs="Arial" w:eastAsia="Arial" w:hAnsi="Arial"/>
          <w:sz w:val="22"/>
          <w:szCs w:val="22"/>
          <w:color w:val="auto"/>
        </w:rPr>
        <w:t>. Executive reaffirms Executive’s continuing obligations under the Proprietary Information Agreement between Executive and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color w:val="auto"/>
        </w:rPr>
        <w:t>dated as of [_________], and, without limiting the foregoing, Executive remakes the non-competition covenants set forth in the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Proprietary Information Agreement as if set forth herein. In addition, Executive agrees to refrain from Disparaging (as defined below) the Company and its affiliates, including their respective services, technologies, practices, directors and officers. The Company agrees to instruct its officers and directors to refrain from Disparaging Executive. Nothing in this Section shall preclude any Party from making truthful statements that are reasonably necessary to comply with applicable law, regulation or legal process, or to defend or enforce a Party’s rights under this Agreement or the Employment Agreement. For purposes of this Agreement, “Disparaging” means making remarks, comments or statements, whether written or oral, that impugn the character, integrity, reputation or abilities of the individual or entity being disparaged.</w:t>
      </w:r>
    </w:p>
    <w:p>
      <w:pPr>
        <w:spacing w:after="0" w:line="159" w:lineRule="exact"/>
        <w:rPr>
          <w:sz w:val="20"/>
          <w:szCs w:val="20"/>
          <w:color w:val="auto"/>
        </w:rPr>
      </w:pPr>
    </w:p>
    <w:p>
      <w:pPr>
        <w:jc w:val="both"/>
        <w:ind w:firstLine="872"/>
        <w:spacing w:after="0" w:line="257" w:lineRule="auto"/>
        <w:tabs>
          <w:tab w:leader="none" w:pos="1674"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9" w:lineRule="exact"/>
        <w:rPr>
          <w:sz w:val="20"/>
          <w:szCs w:val="20"/>
          <w:color w:val="auto"/>
        </w:rPr>
      </w:pPr>
    </w:p>
    <w:p>
      <w:pPr>
        <w:ind w:firstLine="872"/>
        <w:spacing w:after="0" w:line="250" w:lineRule="auto"/>
        <w:tabs>
          <w:tab w:leader="none" w:pos="1687"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Executive and a duly authorized officer of the Company.</w:t>
      </w:r>
    </w:p>
    <w:p>
      <w:pPr>
        <w:spacing w:after="0" w:line="175" w:lineRule="exact"/>
        <w:rPr>
          <w:sz w:val="20"/>
          <w:szCs w:val="20"/>
          <w:color w:val="auto"/>
        </w:rPr>
      </w:pPr>
    </w:p>
    <w:p>
      <w:pPr>
        <w:ind w:firstLine="872"/>
        <w:spacing w:after="0" w:line="250" w:lineRule="auto"/>
        <w:tabs>
          <w:tab w:leader="none" w:pos="1674"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 This Agreement shall be subject to the provisions of Sections 9(a), 9(c) and 9(i) of the Employment Agreement.</w:t>
      </w:r>
    </w:p>
    <w:p>
      <w:pPr>
        <w:spacing w:after="0" w:line="174" w:lineRule="exact"/>
        <w:rPr>
          <w:rFonts w:ascii="Arial" w:cs="Arial" w:eastAsia="Arial" w:hAnsi="Arial"/>
          <w:sz w:val="22"/>
          <w:szCs w:val="22"/>
          <w:color w:val="auto"/>
        </w:rPr>
      </w:pPr>
    </w:p>
    <w:p>
      <w:pPr>
        <w:jc w:val="both"/>
        <w:ind w:firstLine="872"/>
        <w:spacing w:after="0"/>
        <w:tabs>
          <w:tab w:leader="none" w:pos="1674"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has seven business days after Executive signs this Agreement to revoke it and this Agreement will become effective upon the expiration of such seven business day period, so long as it has been signed by the Parties and has not been revoked by Executive before that date.</w:t>
      </w:r>
    </w:p>
    <w:p>
      <w:pPr>
        <w:spacing w:after="0" w:line="186" w:lineRule="exact"/>
        <w:rPr>
          <w:rFonts w:ascii="Arial" w:cs="Arial" w:eastAsia="Arial" w:hAnsi="Arial"/>
          <w:sz w:val="22"/>
          <w:szCs w:val="22"/>
          <w:color w:val="auto"/>
        </w:rPr>
      </w:pPr>
    </w:p>
    <w:p>
      <w:pPr>
        <w:jc w:val="both"/>
        <w:ind w:firstLine="872"/>
        <w:spacing w:after="0" w:line="271" w:lineRule="auto"/>
        <w:tabs>
          <w:tab w:leader="none" w:pos="1674"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Trade Secrets; Whistleblower Protections</w:t>
      </w:r>
      <w:r>
        <w:rPr>
          <w:rFonts w:ascii="Arial" w:cs="Arial" w:eastAsia="Arial" w:hAnsi="Arial"/>
          <w:sz w:val="19"/>
          <w:szCs w:val="19"/>
          <w:color w:val="auto"/>
        </w:rPr>
        <w:t>. In accordance with 18 U.S.C. §1833, notwithstanding anything to the contrary in this Agreement, the Employment Agreement, the Proprietary Information Agreement or any other agreement between Executive and the Company or any of its subsidiaries in effect as of the date Executive receives this Agreement (together, the “</w:t>
      </w:r>
      <w:r>
        <w:rPr>
          <w:rFonts w:ascii="Arial" w:cs="Arial" w:eastAsia="Arial" w:hAnsi="Arial"/>
          <w:sz w:val="19"/>
          <w:szCs w:val="19"/>
          <w:u w:val="single" w:color="auto"/>
          <w:color w:val="auto"/>
        </w:rPr>
        <w:t>Subject Documents</w:t>
      </w:r>
      <w:r>
        <w:rPr>
          <w:rFonts w:ascii="Arial" w:cs="Arial" w:eastAsia="Arial" w:hAnsi="Arial"/>
          <w:sz w:val="19"/>
          <w:szCs w:val="19"/>
          <w:color w:val="auto"/>
        </w:rPr>
        <w:t>”): (a) Executive will not be in breach of the Subject Documents,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7" w:name="page188"/>
    <w:bookmarkEnd w:id="187"/>
    <w:p>
      <w:pPr>
        <w:spacing w:after="0" w:line="250" w:lineRule="auto"/>
        <w:rPr>
          <w:sz w:val="20"/>
          <w:szCs w:val="20"/>
          <w:color w:val="auto"/>
        </w:rPr>
      </w:pPr>
      <w:r>
        <w:rPr>
          <w:rFonts w:ascii="Arial" w:cs="Arial" w:eastAsia="Arial" w:hAnsi="Arial"/>
          <w:sz w:val="22"/>
          <w:szCs w:val="22"/>
          <w:color w:val="auto"/>
        </w:rPr>
        <w:t>law or regulation or releases or restrains Executive’s right to receive an award for information provided to any such government agencies.</w:t>
      </w:r>
    </w:p>
    <w:p>
      <w:pPr>
        <w:spacing w:after="0" w:line="175" w:lineRule="exact"/>
        <w:rPr>
          <w:sz w:val="20"/>
          <w:szCs w:val="20"/>
          <w:color w:val="auto"/>
        </w:rPr>
      </w:pPr>
    </w:p>
    <w:p>
      <w:pPr>
        <w:jc w:val="both"/>
        <w:ind w:firstLine="872"/>
        <w:spacing w:after="0" w:line="246" w:lineRule="auto"/>
        <w:tabs>
          <w:tab w:leader="none" w:pos="1782"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Voluntary Execution of Agreement</w:t>
      </w:r>
      <w:r>
        <w:rPr>
          <w:rFonts w:ascii="Arial" w:cs="Arial" w:eastAsia="Arial" w:hAnsi="Arial"/>
          <w:sz w:val="21"/>
          <w:szCs w:val="21"/>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8" w:name="page189"/>
    <w:bookmarkEnd w:id="188"/>
    <w:p>
      <w:pPr>
        <w:ind w:left="88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324" w:lineRule="exact"/>
        <w:rPr>
          <w:sz w:val="20"/>
          <w:szCs w:val="20"/>
          <w:color w:val="auto"/>
        </w:rPr>
      </w:pPr>
    </w:p>
    <w:p>
      <w:pPr>
        <w:spacing w:after="0"/>
        <w:tabs>
          <w:tab w:leader="none" w:pos="6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David Ege,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6985</wp:posOffset>
            </wp:positionV>
            <wp:extent cx="17741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-154940</wp:posOffset>
            </wp:positionV>
            <wp:extent cx="3206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SERES THERAPEUTICS, INC.</w:t>
      </w:r>
    </w:p>
    <w:p>
      <w:pPr>
        <w:spacing w:after="0" w:line="200" w:lineRule="exact"/>
        <w:rPr>
          <w:sz w:val="20"/>
          <w:szCs w:val="20"/>
          <w:color w:val="auto"/>
        </w:rPr>
      </w:pPr>
    </w:p>
    <w:p>
      <w:pPr>
        <w:spacing w:after="0" w:line="282" w:lineRule="exact"/>
        <w:rPr>
          <w:sz w:val="20"/>
          <w:szCs w:val="20"/>
          <w:color w:val="auto"/>
        </w:rPr>
      </w:pPr>
    </w:p>
    <w:p>
      <w:pPr>
        <w:spacing w:after="0"/>
        <w:tabs>
          <w:tab w:leader="none" w:pos="6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6985</wp:posOffset>
            </wp:positionV>
            <wp:extent cx="29229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6985</wp:posOffset>
            </wp:positionV>
            <wp:extent cx="17741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2"/>
          <w:szCs w:val="22"/>
          <w:color w:val="auto"/>
        </w:rPr>
        <w:t>Name:</w:t>
      </w:r>
    </w:p>
    <w:p>
      <w:pPr>
        <w:ind w:left="66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60"/>
          </w:cols>
          <w:pgMar w:left="320" w:top="334" w:right="1319" w:bottom="1440" w:gutter="0" w:footer="0" w:header="0"/>
        </w:sectPr>
      </w:pPr>
    </w:p>
    <w:bookmarkStart w:id="189" w:name="page190"/>
    <w:bookmarkEnd w:id="189"/>
    <w:p>
      <w:pPr>
        <w:ind w:left="10020"/>
        <w:spacing w:after="0"/>
        <w:rPr>
          <w:sz w:val="20"/>
          <w:szCs w:val="20"/>
          <w:color w:val="auto"/>
        </w:rPr>
      </w:pPr>
      <w:r>
        <w:rPr>
          <w:rFonts w:ascii="Arial" w:cs="Arial" w:eastAsia="Arial" w:hAnsi="Arial"/>
          <w:sz w:val="19"/>
          <w:szCs w:val="19"/>
          <w:b w:val="1"/>
          <w:bCs w:val="1"/>
          <w:color w:val="auto"/>
        </w:rPr>
        <w:t>Exhibit 10.13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Amended and Restated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January 29, 2021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is made by and between Seres Therapeutics, Inc., a Delaware corporation (together with any successor thereto, the “</w:t>
      </w:r>
      <w:r>
        <w:rPr>
          <w:rFonts w:ascii="Arial" w:cs="Arial" w:eastAsia="Arial" w:hAnsi="Arial"/>
          <w:sz w:val="22"/>
          <w:szCs w:val="22"/>
          <w:u w:val="single" w:color="auto"/>
          <w:color w:val="auto"/>
        </w:rPr>
        <w:t>Company</w:t>
      </w:r>
      <w:r>
        <w:rPr>
          <w:rFonts w:ascii="Arial" w:cs="Arial" w:eastAsia="Arial" w:hAnsi="Arial"/>
          <w:sz w:val="22"/>
          <w:szCs w:val="22"/>
          <w:color w:val="auto"/>
        </w:rPr>
        <w:t>”), and Teresa L. Young (“</w:t>
      </w:r>
      <w:r>
        <w:rPr>
          <w:rFonts w:ascii="Arial" w:cs="Arial" w:eastAsia="Arial" w:hAnsi="Arial"/>
          <w:sz w:val="22"/>
          <w:szCs w:val="22"/>
          <w:u w:val="single" w:color="auto"/>
          <w:color w:val="auto"/>
        </w:rPr>
        <w:t>Executive</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852"/>
        <w:spacing w:after="0" w:line="238" w:lineRule="auto"/>
        <w:tabs>
          <w:tab w:leader="none" w:pos="8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It is the desire of the Company to assure itself of the services of Executive as of the Effective Date and thereafter by entering into this Agreement, which shall supersede and replace any prior employment arrangement, including, but not limited to, the Employment Agreement, dated as of June 8, 2020, by and between the Company and Executive, as amended (the “</w:t>
      </w:r>
      <w:r>
        <w:rPr>
          <w:rFonts w:ascii="Arial" w:cs="Arial" w:eastAsia="Arial" w:hAnsi="Arial"/>
          <w:sz w:val="22"/>
          <w:szCs w:val="22"/>
          <w:u w:val="single" w:color="auto"/>
          <w:color w:val="auto"/>
        </w:rPr>
        <w:t>Prior Agreement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Executive and the Company mutually desire that Executive provide services to the Company on the terms herein 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set forth below, the Parties hereto agree as follows:</w:t>
      </w:r>
    </w:p>
    <w:p>
      <w:pPr>
        <w:spacing w:after="0" w:line="169" w:lineRule="exact"/>
        <w:rPr>
          <w:sz w:val="20"/>
          <w:szCs w:val="20"/>
          <w:color w:val="auto"/>
        </w:rPr>
      </w:pPr>
    </w:p>
    <w:p>
      <w:pPr>
        <w:ind w:left="860" w:hanging="852"/>
        <w:spacing w:after="0"/>
        <w:tabs>
          <w:tab w:leader="none" w:pos="860"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Effective as of the Effective Date, the Company shall continue to employ Executive and Executive shall remain in the employ of the Company, for the period and in the positions set forth in this </w:t>
      </w:r>
      <w:r>
        <w:rPr>
          <w:rFonts w:ascii="Arial" w:cs="Arial" w:eastAsia="Arial" w:hAnsi="Arial"/>
          <w:sz w:val="22"/>
          <w:szCs w:val="22"/>
          <w:u w:val="single" w:color="auto"/>
          <w:color w:val="auto"/>
        </w:rPr>
        <w:t>Section 1</w:t>
      </w:r>
      <w:r>
        <w:rPr>
          <w:rFonts w:ascii="Arial" w:cs="Arial" w:eastAsia="Arial" w:hAnsi="Arial"/>
          <w:sz w:val="22"/>
          <w:szCs w:val="22"/>
          <w:color w:val="auto"/>
        </w:rPr>
        <w:t>, and subject to the other terms and conditions herein provided.</w:t>
      </w:r>
    </w:p>
    <w:p>
      <w:pPr>
        <w:spacing w:after="0" w:line="186" w:lineRule="exact"/>
        <w:rPr>
          <w:rFonts w:ascii="Arial" w:cs="Arial" w:eastAsia="Arial" w:hAnsi="Arial"/>
          <w:sz w:val="22"/>
          <w:szCs w:val="22"/>
          <w:color w:val="auto"/>
        </w:rPr>
      </w:pPr>
    </w:p>
    <w:p>
      <w:pPr>
        <w:jc w:val="both"/>
        <w:ind w:firstLine="872"/>
        <w:spacing w:after="0" w:line="275" w:lineRule="auto"/>
        <w:tabs>
          <w:tab w:leader="none" w:pos="1763"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9"/>
          <w:szCs w:val="19"/>
          <w:u w:val="single" w:color="auto"/>
          <w:color w:val="auto"/>
        </w:rPr>
        <w:t>Section 3(b)</w:t>
      </w:r>
      <w:r>
        <w:rPr>
          <w:rFonts w:ascii="Arial" w:cs="Arial" w:eastAsia="Arial" w:hAnsi="Arial"/>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shall commence on the Effective Date and end on the date this Agreement is terminated under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872"/>
        <w:spacing w:after="0" w:line="235" w:lineRule="auto"/>
        <w:tabs>
          <w:tab w:leader="none" w:pos="1751"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 During the Term, Executive shall serve as Executive Vice President and Chief Commercial and Strategy Officer of the Company, initially reporting directly to the Chief Executive Officer of the Company (the “</w:t>
      </w:r>
      <w:r>
        <w:rPr>
          <w:rFonts w:ascii="Arial" w:cs="Arial" w:eastAsia="Arial" w:hAnsi="Arial"/>
          <w:sz w:val="22"/>
          <w:szCs w:val="22"/>
          <w:u w:val="single" w:color="auto"/>
          <w:color w:val="auto"/>
        </w:rPr>
        <w:t>CEO</w:t>
      </w:r>
      <w:r>
        <w:rPr>
          <w:rFonts w:ascii="Arial" w:cs="Arial" w:eastAsia="Arial" w:hAnsi="Arial"/>
          <w:sz w:val="22"/>
          <w:szCs w:val="22"/>
          <w:color w:val="auto"/>
        </w:rPr>
        <w:t>”) with such responsibilities, duties and authority normally associated with such positions and as may from time to time be assigned to Executive by the CEO. Executive shall devote substantially all of Executive’s working time and efforts to the business and affairs of the Company (which shall include service to its affiliates, if applicable) and shall not engage in outside business activities (including serving on outside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spacing w:after="0" w:line="279" w:lineRule="auto"/>
        <w:rPr>
          <w:sz w:val="20"/>
          <w:szCs w:val="20"/>
          <w:color w:val="auto"/>
        </w:rPr>
      </w:pPr>
      <w:r>
        <w:rPr>
          <w:rFonts w:ascii="Arial" w:cs="Arial" w:eastAsia="Arial" w:hAnsi="Arial"/>
          <w:sz w:val="19"/>
          <w:szCs w:val="19"/>
          <w:color w:val="auto"/>
        </w:rPr>
        <w:t>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pacing w:after="0" w:line="144" w:lineRule="exact"/>
        <w:rPr>
          <w:sz w:val="20"/>
          <w:szCs w:val="20"/>
          <w:color w:val="auto"/>
        </w:rPr>
      </w:pPr>
    </w:p>
    <w:p>
      <w:pPr>
        <w:ind w:left="860" w:hanging="852"/>
        <w:spacing w:after="0"/>
        <w:tabs>
          <w:tab w:leader="none" w:pos="86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Related Matters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Annual Base Salary</w:t>
      </w:r>
      <w:r>
        <w:rPr>
          <w:rFonts w:ascii="Arial" w:cs="Arial" w:eastAsia="Arial" w:hAnsi="Arial"/>
          <w:sz w:val="22"/>
          <w:szCs w:val="22"/>
          <w:color w:val="auto"/>
        </w:rPr>
        <w:t>. During the Term, Executive shall receive a base salary at a rate of $360,000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of the Board (in either case, the “</w:t>
      </w:r>
      <w:r>
        <w:rPr>
          <w:rFonts w:ascii="Arial" w:cs="Arial" w:eastAsia="Arial" w:hAnsi="Arial"/>
          <w:sz w:val="22"/>
          <w:szCs w:val="22"/>
          <w:u w:val="single" w:color="auto"/>
          <w:color w:val="auto"/>
        </w:rPr>
        <w:t>Board,</w:t>
      </w:r>
      <w:r>
        <w:rPr>
          <w:rFonts w:ascii="Arial" w:cs="Arial" w:eastAsia="Arial" w:hAnsi="Arial"/>
          <w:sz w:val="22"/>
          <w:szCs w:val="22"/>
          <w:color w:val="auto"/>
        </w:rPr>
        <w:t>” and (such annual base salary, as it may be adjusted from time to time, the “</w:t>
      </w:r>
      <w:r>
        <w:rPr>
          <w:rFonts w:ascii="Arial" w:cs="Arial" w:eastAsia="Arial" w:hAnsi="Arial"/>
          <w:sz w:val="22"/>
          <w:szCs w:val="22"/>
          <w:u w:val="single" w:color="auto"/>
          <w:color w:val="auto"/>
        </w:rPr>
        <w:t>Annual Base Salary</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9"/>
          <w:szCs w:val="19"/>
          <w:u w:val="single" w:color="auto"/>
          <w:color w:val="auto"/>
        </w:rPr>
        <w:t>Annual Bonus</w:t>
      </w:r>
      <w:r>
        <w:rPr>
          <w:rFonts w:ascii="Arial" w:cs="Arial" w:eastAsia="Arial" w:hAnsi="Arial"/>
          <w:sz w:val="19"/>
          <w:szCs w:val="19"/>
          <w:color w:val="auto"/>
        </w:rPr>
        <w:t>”) shall be targeted at 40% of Executive’s Annual Base Salary (such target, as may be adjusted by the Board from time to time, the “</w:t>
      </w:r>
      <w:r>
        <w:rPr>
          <w:rFonts w:ascii="Arial" w:cs="Arial" w:eastAsia="Arial" w:hAnsi="Arial"/>
          <w:sz w:val="19"/>
          <w:szCs w:val="19"/>
          <w:u w:val="single" w:color="auto"/>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9"/>
          <w:szCs w:val="19"/>
          <w:u w:val="single" w:color="auto"/>
          <w:color w:val="auto"/>
        </w:rPr>
        <w:t>Section 4(b)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872"/>
        <w:spacing w:after="0" w:line="236" w:lineRule="auto"/>
        <w:tabs>
          <w:tab w:leader="none" w:pos="1751"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2"/>
          <w:szCs w:val="22"/>
          <w:color w:val="auto"/>
        </w:rPr>
      </w:pPr>
    </w:p>
    <w:p>
      <w:pPr>
        <w:ind w:firstLine="872"/>
        <w:spacing w:after="0" w:line="328" w:lineRule="auto"/>
        <w:tabs>
          <w:tab w:leader="none" w:pos="1763"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During the Term, Executive shall be entitled to paid personal leave in accordance with the Company’s Policies. Any vacation shall be taken at the reasonable and mutual convenience of the Company and Executive.</w:t>
      </w:r>
    </w:p>
    <w:p>
      <w:pPr>
        <w:spacing w:after="0" w:line="104" w:lineRule="exact"/>
        <w:rPr>
          <w:rFonts w:ascii="Arial" w:cs="Arial" w:eastAsia="Arial" w:hAnsi="Arial"/>
          <w:sz w:val="19"/>
          <w:szCs w:val="19"/>
          <w:color w:val="auto"/>
        </w:rPr>
      </w:pPr>
    </w:p>
    <w:p>
      <w:pPr>
        <w:jc w:val="both"/>
        <w:ind w:firstLine="872"/>
        <w:spacing w:after="0"/>
        <w:tabs>
          <w:tab w:leader="none" w:pos="1751"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27"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Key Person Insurance</w:t>
      </w:r>
      <w:r>
        <w:rPr>
          <w:rFonts w:ascii="Arial" w:cs="Arial" w:eastAsia="Arial" w:hAnsi="Arial"/>
          <w:sz w:val="22"/>
          <w:szCs w:val="22"/>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1" w:name="page192"/>
    <w:bookmarkEnd w:id="191"/>
    <w:p>
      <w:pPr>
        <w:jc w:val="both"/>
        <w:spacing w:after="0" w:line="252" w:lineRule="auto"/>
        <w:rPr>
          <w:sz w:val="20"/>
          <w:szCs w:val="20"/>
          <w:color w:val="auto"/>
        </w:rPr>
      </w:pPr>
      <w:r>
        <w:rPr>
          <w:rFonts w:ascii="Arial" w:cs="Arial" w:eastAsia="Arial" w:hAnsi="Arial"/>
          <w:sz w:val="21"/>
          <w:szCs w:val="21"/>
          <w:color w:val="auto"/>
        </w:rPr>
        <w:t>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68" w:lineRule="exact"/>
        <w:rPr>
          <w:sz w:val="20"/>
          <w:szCs w:val="20"/>
          <w:color w:val="auto"/>
        </w:rPr>
      </w:pPr>
    </w:p>
    <w:p>
      <w:pPr>
        <w:ind w:left="860" w:hanging="852"/>
        <w:spacing w:after="0"/>
        <w:tabs>
          <w:tab w:leader="none" w:pos="860"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w:t>
      </w:r>
    </w:p>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05" w:lineRule="exact"/>
        <w:rPr>
          <w:sz w:val="20"/>
          <w:szCs w:val="20"/>
          <w:color w:val="auto"/>
        </w:rPr>
      </w:pPr>
    </w:p>
    <w:p>
      <w:pPr>
        <w:ind w:left="1760" w:hanging="888"/>
        <w:spacing w:after="0"/>
        <w:tabs>
          <w:tab w:leader="none" w:pos="17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Circumstances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20" w:hanging="851"/>
        <w:spacing w:after="0"/>
        <w:tabs>
          <w:tab w:leader="none" w:pos="2520"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Executive’s employment hereunder shall terminate upon Executive’s death.</w:t>
      </w:r>
    </w:p>
    <w:p>
      <w:pPr>
        <w:spacing w:after="0" w:line="206" w:lineRule="exact"/>
        <w:rPr>
          <w:rFonts w:ascii="Arial" w:cs="Arial" w:eastAsia="Arial" w:hAnsi="Arial"/>
          <w:sz w:val="22"/>
          <w:szCs w:val="22"/>
          <w:color w:val="auto"/>
        </w:rPr>
      </w:pPr>
    </w:p>
    <w:p>
      <w:pPr>
        <w:ind w:left="880" w:right="20" w:firstLine="789"/>
        <w:spacing w:after="0" w:line="250" w:lineRule="auto"/>
        <w:tabs>
          <w:tab w:leader="none" w:pos="2589"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If Executive has incurred a Disability, as defined below, the Company may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w:t>
      </w:r>
    </w:p>
    <w:p>
      <w:pPr>
        <w:spacing w:after="0" w:line="174" w:lineRule="exact"/>
        <w:rPr>
          <w:rFonts w:ascii="Arial" w:cs="Arial" w:eastAsia="Arial" w:hAnsi="Arial"/>
          <w:sz w:val="22"/>
          <w:szCs w:val="22"/>
          <w:color w:val="auto"/>
        </w:rPr>
      </w:pPr>
    </w:p>
    <w:p>
      <w:pPr>
        <w:ind w:left="2640" w:hanging="971"/>
        <w:spacing w:after="0"/>
        <w:tabs>
          <w:tab w:leader="none" w:pos="2640" w:val="left"/>
        </w:tabs>
        <w:numPr>
          <w:ilvl w:val="1"/>
          <w:numId w:val="182"/>
        </w:numPr>
        <w:rPr>
          <w:rFonts w:ascii="Arial" w:cs="Arial" w:eastAsia="Arial" w:hAnsi="Arial"/>
          <w:sz w:val="21"/>
          <w:szCs w:val="21"/>
          <w:color w:val="auto"/>
        </w:rPr>
      </w:pPr>
      <w:r>
        <w:rPr>
          <w:rFonts w:ascii="Arial" w:cs="Arial" w:eastAsia="Arial" w:hAnsi="Arial"/>
          <w:sz w:val="21"/>
          <w:szCs w:val="21"/>
          <w:i w:val="1"/>
          <w:iCs w:val="1"/>
          <w:color w:val="auto"/>
        </w:rPr>
        <w:t>Termination for Cause</w:t>
      </w:r>
      <w:r>
        <w:rPr>
          <w:rFonts w:ascii="Arial" w:cs="Arial" w:eastAsia="Arial" w:hAnsi="Arial"/>
          <w:sz w:val="21"/>
          <w:szCs w:val="21"/>
          <w:color w:val="auto"/>
        </w:rPr>
        <w:t>.  The Company may terminate Executive’s employment for Cause, as</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defined below.</w:t>
      </w:r>
    </w:p>
    <w:p>
      <w:pPr>
        <w:spacing w:after="0" w:line="188" w:lineRule="exact"/>
        <w:rPr>
          <w:rFonts w:ascii="Arial" w:cs="Arial" w:eastAsia="Arial" w:hAnsi="Arial"/>
          <w:sz w:val="21"/>
          <w:szCs w:val="21"/>
          <w:color w:val="auto"/>
        </w:rPr>
      </w:pPr>
    </w:p>
    <w:p>
      <w:pPr>
        <w:ind w:left="2620" w:hanging="951"/>
        <w:spacing w:after="0"/>
        <w:tabs>
          <w:tab w:leader="none" w:pos="2620"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Termination without Cause</w:t>
      </w:r>
      <w:r>
        <w:rPr>
          <w:rFonts w:ascii="Arial" w:cs="Arial" w:eastAsia="Arial" w:hAnsi="Arial"/>
          <w:sz w:val="19"/>
          <w:szCs w:val="19"/>
          <w:color w:val="auto"/>
        </w:rPr>
        <w:t>. The Company may terminate Executive’s employment without Cause.</w:t>
      </w:r>
    </w:p>
    <w:p>
      <w:pPr>
        <w:spacing w:after="0" w:line="240" w:lineRule="exact"/>
        <w:rPr>
          <w:rFonts w:ascii="Arial" w:cs="Arial" w:eastAsia="Arial" w:hAnsi="Arial"/>
          <w:sz w:val="19"/>
          <w:szCs w:val="19"/>
          <w:color w:val="auto"/>
        </w:rPr>
      </w:pPr>
    </w:p>
    <w:p>
      <w:pPr>
        <w:ind w:left="880" w:right="20" w:firstLine="789"/>
        <w:spacing w:after="0" w:line="250" w:lineRule="auto"/>
        <w:tabs>
          <w:tab w:leader="none" w:pos="2577"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 xml:space="preserve">Resignation from the Company for Good Reason. </w:t>
      </w:r>
      <w:r>
        <w:rPr>
          <w:rFonts w:ascii="Arial" w:cs="Arial" w:eastAsia="Arial" w:hAnsi="Arial"/>
          <w:sz w:val="22"/>
          <w:szCs w:val="22"/>
          <w:color w:val="auto"/>
        </w:rPr>
        <w:t>Executive may resign Executive’s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Company for Good Reason, as defined below.</w:t>
      </w:r>
    </w:p>
    <w:p>
      <w:pPr>
        <w:spacing w:after="0" w:line="174" w:lineRule="exact"/>
        <w:rPr>
          <w:rFonts w:ascii="Arial" w:cs="Arial" w:eastAsia="Arial" w:hAnsi="Arial"/>
          <w:sz w:val="22"/>
          <w:szCs w:val="22"/>
          <w:color w:val="auto"/>
        </w:rPr>
      </w:pPr>
    </w:p>
    <w:p>
      <w:pPr>
        <w:ind w:left="880" w:firstLine="789"/>
        <w:spacing w:after="0" w:line="250" w:lineRule="auto"/>
        <w:tabs>
          <w:tab w:leader="none" w:pos="2637"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Resignation from the Company Without Good Reason</w:t>
      </w:r>
      <w:r>
        <w:rPr>
          <w:rFonts w:ascii="Arial" w:cs="Arial" w:eastAsia="Arial" w:hAnsi="Arial"/>
          <w:sz w:val="22"/>
          <w:szCs w:val="22"/>
          <w:color w:val="auto"/>
        </w:rPr>
        <w:t>. Executive may resign Executive’s</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with the Company for any reason other than Good Reason or for no reason.</w:t>
      </w:r>
    </w:p>
    <w:p>
      <w:pPr>
        <w:spacing w:after="0" w:line="174" w:lineRule="exact"/>
        <w:rPr>
          <w:rFonts w:ascii="Arial" w:cs="Arial" w:eastAsia="Arial" w:hAnsi="Arial"/>
          <w:sz w:val="22"/>
          <w:szCs w:val="22"/>
          <w:color w:val="auto"/>
        </w:rPr>
      </w:pPr>
    </w:p>
    <w:p>
      <w:pPr>
        <w:jc w:val="both"/>
        <w:ind w:firstLine="872"/>
        <w:spacing w:after="0" w:line="272" w:lineRule="auto"/>
        <w:tabs>
          <w:tab w:leader="none" w:pos="1763"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paragraph (a)(i))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forty-five (45)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in its sole discretion. The failure by the Company to set forth in the Notice of Termination any fact or circumstance which contributes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2" w:name="page193"/>
    <w:bookmarkEnd w:id="192"/>
    <w:p>
      <w:pPr>
        <w:ind w:right="20"/>
        <w:spacing w:after="0" w:line="250" w:lineRule="auto"/>
        <w:rPr>
          <w:sz w:val="20"/>
          <w:szCs w:val="20"/>
          <w:color w:val="auto"/>
        </w:rPr>
      </w:pPr>
      <w:r>
        <w:rPr>
          <w:rFonts w:ascii="Arial" w:cs="Arial" w:eastAsia="Arial" w:hAnsi="Arial"/>
          <w:sz w:val="22"/>
          <w:szCs w:val="22"/>
          <w:color w:val="auto"/>
        </w:rPr>
        <w:t>to a showing of Cause shall not waive any right of the Company hereunder or preclude the Company from asserting such fact or circumstance in enforcing the Company’s rights hereunder.</w:t>
      </w:r>
    </w:p>
    <w:p>
      <w:pPr>
        <w:spacing w:after="0" w:line="175" w:lineRule="exact"/>
        <w:rPr>
          <w:sz w:val="20"/>
          <w:szCs w:val="20"/>
          <w:color w:val="auto"/>
        </w:rPr>
      </w:pPr>
    </w:p>
    <w:p>
      <w:pPr>
        <w:jc w:val="both"/>
        <w:ind w:firstLine="872"/>
        <w:spacing w:after="0" w:line="244" w:lineRule="auto"/>
        <w:tabs>
          <w:tab w:leader="none" w:pos="1751" w:val="left"/>
        </w:tabs>
        <w:numPr>
          <w:ilvl w:val="1"/>
          <w:numId w:val="183"/>
        </w:numPr>
        <w:rPr>
          <w:rFonts w:ascii="Arial" w:cs="Arial" w:eastAsia="Arial" w:hAnsi="Arial"/>
          <w:sz w:val="21"/>
          <w:szCs w:val="21"/>
          <w:color w:val="auto"/>
        </w:rPr>
      </w:pPr>
      <w:r>
        <w:rPr>
          <w:rFonts w:ascii="Arial" w:cs="Arial" w:eastAsia="Arial" w:hAnsi="Arial"/>
          <w:sz w:val="21"/>
          <w:szCs w:val="21"/>
          <w:u w:val="single" w:color="auto"/>
          <w:color w:val="auto"/>
        </w:rPr>
        <w:t>Company Obligations upon Termination</w:t>
      </w:r>
      <w:r>
        <w:rPr>
          <w:rFonts w:ascii="Arial" w:cs="Arial" w:eastAsia="Arial" w:hAnsi="Arial"/>
          <w:sz w:val="21"/>
          <w:szCs w:val="21"/>
          <w:color w:val="auto"/>
        </w:rPr>
        <w:t xml:space="preserve">. Upon termination of Executive’s employment pursuant to any of the circumstances listed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21"/>
          <w:szCs w:val="21"/>
          <w:u w:val="single" w:color="auto"/>
          <w:color w:val="auto"/>
        </w:rPr>
        <w:t>Section 2(e)</w:t>
      </w:r>
      <w:r>
        <w:rPr>
          <w:rFonts w:ascii="Arial" w:cs="Arial" w:eastAsia="Arial" w:hAnsi="Arial"/>
          <w:sz w:val="21"/>
          <w:szCs w:val="21"/>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21"/>
          <w:szCs w:val="21"/>
          <w:u w:val="single" w:color="auto"/>
          <w:color w:val="auto"/>
        </w:rPr>
        <w:t>Company Arrangements</w:t>
      </w:r>
      <w:r>
        <w:rPr>
          <w:rFonts w:ascii="Arial" w:cs="Arial" w:eastAsia="Arial" w:hAnsi="Arial"/>
          <w:sz w:val="21"/>
          <w:szCs w:val="21"/>
          <w:color w:val="auto"/>
        </w:rPr>
        <w:t>”). Except as otherwise expressly required by law (</w:t>
      </w:r>
      <w:r>
        <w:rPr>
          <w:rFonts w:ascii="Arial" w:cs="Arial" w:eastAsia="Arial" w:hAnsi="Arial"/>
          <w:sz w:val="21"/>
          <w:szCs w:val="21"/>
          <w:u w:val="single" w:color="auto"/>
          <w:color w:val="auto"/>
        </w:rPr>
        <w:t>e.g.</w:t>
      </w:r>
      <w:r>
        <w:rPr>
          <w:rFonts w:ascii="Arial" w:cs="Arial" w:eastAsia="Arial" w:hAnsi="Arial"/>
          <w:sz w:val="21"/>
          <w:szCs w:val="21"/>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21"/>
          <w:szCs w:val="21"/>
          <w:u w:val="single" w:color="auto"/>
          <w:color w:val="auto"/>
        </w:rPr>
        <w:t>Section 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w:t>
      </w:r>
      <w:r>
        <w:rPr>
          <w:rFonts w:ascii="Arial" w:cs="Arial" w:eastAsia="Arial" w:hAnsi="Arial"/>
          <w:sz w:val="21"/>
          <w:szCs w:val="21"/>
          <w:color w:val="auto"/>
        </w:rPr>
        <w:t>, as applicable.</w:t>
      </w:r>
    </w:p>
    <w:p>
      <w:pPr>
        <w:spacing w:after="0" w:line="188" w:lineRule="exact"/>
        <w:rPr>
          <w:rFonts w:ascii="Arial" w:cs="Arial" w:eastAsia="Arial" w:hAnsi="Arial"/>
          <w:sz w:val="21"/>
          <w:szCs w:val="21"/>
          <w:color w:val="auto"/>
        </w:rPr>
      </w:pPr>
    </w:p>
    <w:p>
      <w:pPr>
        <w:ind w:firstLine="872"/>
        <w:spacing w:after="0" w:line="274" w:lineRule="auto"/>
        <w:tabs>
          <w:tab w:leader="none" w:pos="1763" w:val="left"/>
        </w:tabs>
        <w:numPr>
          <w:ilvl w:val="1"/>
          <w:numId w:val="183"/>
        </w:numPr>
        <w:rPr>
          <w:rFonts w:ascii="Arial" w:cs="Arial" w:eastAsia="Arial" w:hAnsi="Arial"/>
          <w:sz w:val="21"/>
          <w:szCs w:val="21"/>
          <w:color w:val="auto"/>
        </w:rPr>
      </w:pPr>
      <w:r>
        <w:rPr>
          <w:rFonts w:ascii="Arial" w:cs="Arial" w:eastAsia="Arial" w:hAnsi="Arial"/>
          <w:sz w:val="21"/>
          <w:szCs w:val="21"/>
          <w:u w:val="single" w:color="auto"/>
          <w:color w:val="auto"/>
        </w:rPr>
        <w:t>Deemed Resignation</w:t>
      </w:r>
      <w:r>
        <w:rPr>
          <w:rFonts w:ascii="Arial" w:cs="Arial" w:eastAsia="Arial" w:hAnsi="Arial"/>
          <w:sz w:val="21"/>
          <w:szCs w:val="21"/>
          <w:color w:val="auto"/>
        </w:rPr>
        <w:t>. Upon termination of Executive’s employment for any reason, Executive shall be deemed to have resigned from all offices and directorships, if any, then held with the Company or any of its subsidiaries.</w:t>
      </w:r>
    </w:p>
    <w:p>
      <w:pPr>
        <w:spacing w:after="0" w:line="144" w:lineRule="exact"/>
        <w:rPr>
          <w:rFonts w:ascii="Arial" w:cs="Arial" w:eastAsia="Arial" w:hAnsi="Arial"/>
          <w:sz w:val="21"/>
          <w:szCs w:val="21"/>
          <w:color w:val="auto"/>
        </w:rPr>
      </w:pPr>
    </w:p>
    <w:p>
      <w:pPr>
        <w:ind w:left="860" w:hanging="852"/>
        <w:spacing w:after="0"/>
        <w:tabs>
          <w:tab w:leader="none" w:pos="86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Payments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184"/>
        </w:numPr>
        <w:rPr>
          <w:rFonts w:ascii="Arial" w:cs="Arial" w:eastAsia="Arial" w:hAnsi="Arial"/>
          <w:sz w:val="22"/>
          <w:szCs w:val="22"/>
          <w:color w:val="auto"/>
        </w:rPr>
      </w:pPr>
      <w:r>
        <w:rPr>
          <w:rFonts w:ascii="Arial" w:cs="Arial" w:eastAsia="Arial" w:hAnsi="Arial"/>
          <w:sz w:val="22"/>
          <w:szCs w:val="22"/>
          <w:u w:val="single" w:color="auto"/>
          <w:color w:val="auto"/>
        </w:rPr>
        <w:t>Termination for Cause, or Termination Upon Death, Disability or Resignation from the Company Without Good Reason</w:t>
      </w:r>
      <w:r>
        <w:rPr>
          <w:rFonts w:ascii="Arial" w:cs="Arial" w:eastAsia="Arial" w:hAnsi="Arial"/>
          <w:sz w:val="22"/>
          <w:szCs w:val="22"/>
          <w:color w:val="auto"/>
        </w:rPr>
        <w:t xml:space="preserve">. If Executive’s employment shall terminate as a result of Executive’s death pursuant to </w:t>
      </w:r>
      <w:r>
        <w:rPr>
          <w:rFonts w:ascii="Arial" w:cs="Arial" w:eastAsia="Arial" w:hAnsi="Arial"/>
          <w:sz w:val="22"/>
          <w:szCs w:val="22"/>
          <w:u w:val="single" w:color="auto"/>
          <w:color w:val="auto"/>
        </w:rPr>
        <w:t>Section 3(a)(i)</w:t>
      </w:r>
      <w:r>
        <w:rPr>
          <w:rFonts w:ascii="Arial" w:cs="Arial" w:eastAsia="Arial" w:hAnsi="Arial"/>
          <w:sz w:val="22"/>
          <w:szCs w:val="22"/>
          <w:color w:val="auto"/>
        </w:rPr>
        <w:t xml:space="preserve"> or Disability pursuant to </w:t>
      </w:r>
      <w:r>
        <w:rPr>
          <w:rFonts w:ascii="Arial" w:cs="Arial" w:eastAsia="Arial" w:hAnsi="Arial"/>
          <w:sz w:val="22"/>
          <w:szCs w:val="22"/>
          <w:u w:val="single" w:color="auto"/>
          <w:color w:val="auto"/>
        </w:rPr>
        <w:t>Section 3(a)(ii)</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3(a)(iii)</w:t>
      </w:r>
      <w:r>
        <w:rPr>
          <w:rFonts w:ascii="Arial" w:cs="Arial" w:eastAsia="Arial" w:hAnsi="Arial"/>
          <w:sz w:val="22"/>
          <w:szCs w:val="22"/>
          <w:color w:val="auto"/>
        </w:rPr>
        <w:t xml:space="preserve"> for Cause, or pursuant to </w:t>
      </w:r>
      <w:r>
        <w:rPr>
          <w:rFonts w:ascii="Arial" w:cs="Arial" w:eastAsia="Arial" w:hAnsi="Arial"/>
          <w:sz w:val="22"/>
          <w:szCs w:val="22"/>
          <w:u w:val="single" w:color="auto"/>
          <w:color w:val="auto"/>
        </w:rPr>
        <w:t>Section 3(a)(vi)</w:t>
      </w:r>
      <w:r>
        <w:rPr>
          <w:rFonts w:ascii="Arial" w:cs="Arial" w:eastAsia="Arial" w:hAnsi="Arial"/>
          <w:sz w:val="22"/>
          <w:szCs w:val="22"/>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22"/>
          <w:szCs w:val="22"/>
          <w:u w:val="single" w:color="auto"/>
          <w:color w:val="auto"/>
        </w:rPr>
        <w:t>Section 3(c)</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Resignation from the Company for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for Good Reason, then, except as otherwise provided by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and subject to Executive signing on or before the 21</w:t>
      </w:r>
      <w:r>
        <w:rPr>
          <w:rFonts w:ascii="Arial" w:cs="Arial" w:eastAsia="Arial" w:hAnsi="Arial"/>
          <w:sz w:val="16"/>
          <w:szCs w:val="16"/>
          <w:color w:val="auto"/>
        </w:rPr>
        <w:t>st</w:t>
      </w:r>
      <w:r>
        <w:rPr>
          <w:rFonts w:ascii="Arial" w:cs="Arial" w:eastAsia="Arial" w:hAnsi="Arial"/>
          <w:sz w:val="19"/>
          <w:szCs w:val="19"/>
          <w:color w:val="auto"/>
        </w:rPr>
        <w:t xml:space="preserve"> day following Executive’s Separation from Service (as defined below), and not revoking, a release of claims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50" w:lineRule="exact"/>
        <w:rPr>
          <w:rFonts w:ascii="Arial" w:cs="Arial" w:eastAsia="Arial" w:hAnsi="Arial"/>
          <w:sz w:val="19"/>
          <w:szCs w:val="19"/>
          <w:color w:val="auto"/>
        </w:rPr>
      </w:pPr>
    </w:p>
    <w:p>
      <w:pPr>
        <w:jc w:val="both"/>
        <w:ind w:left="880" w:right="20" w:firstLine="789"/>
        <w:spacing w:after="0" w:line="297" w:lineRule="auto"/>
        <w:tabs>
          <w:tab w:leader="none" w:pos="2529" w:val="left"/>
        </w:tabs>
        <w:numPr>
          <w:ilvl w:val="2"/>
          <w:numId w:val="184"/>
        </w:numPr>
        <w:rPr>
          <w:rFonts w:ascii="Arial" w:cs="Arial" w:eastAsia="Arial" w:hAnsi="Arial"/>
          <w:sz w:val="19"/>
          <w:szCs w:val="19"/>
          <w:color w:val="auto"/>
        </w:rPr>
      </w:pPr>
      <w:r>
        <w:rPr>
          <w:rFonts w:ascii="Arial" w:cs="Arial" w:eastAsia="Arial" w:hAnsi="Arial"/>
          <w:sz w:val="19"/>
          <w:szCs w:val="19"/>
          <w:color w:val="auto"/>
        </w:rPr>
        <w:t xml:space="preserve">an amount in cash equal to the product of (x) 1.0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(y) the Annual Base Salary, payable in the form of salary continuation in regular installments over the 12-month period following the date of Executive’s Separation from Service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in accordance with the Company’s normal payroll practices;</w:t>
      </w:r>
    </w:p>
    <w:p>
      <w:pPr>
        <w:spacing w:after="0" w:line="133" w:lineRule="exact"/>
        <w:rPr>
          <w:rFonts w:ascii="Arial" w:cs="Arial" w:eastAsia="Arial" w:hAnsi="Arial"/>
          <w:sz w:val="19"/>
          <w:szCs w:val="19"/>
          <w:color w:val="auto"/>
        </w:rPr>
      </w:pPr>
    </w:p>
    <w:p>
      <w:pPr>
        <w:ind w:left="880" w:firstLine="789"/>
        <w:spacing w:after="0" w:line="250" w:lineRule="auto"/>
        <w:tabs>
          <w:tab w:leader="none" w:pos="2589" w:val="left"/>
        </w:tabs>
        <w:numPr>
          <w:ilvl w:val="2"/>
          <w:numId w:val="184"/>
        </w:numPr>
        <w:rPr>
          <w:rFonts w:ascii="Arial" w:cs="Arial" w:eastAsia="Arial" w:hAnsi="Arial"/>
          <w:sz w:val="22"/>
          <w:szCs w:val="22"/>
          <w:color w:val="auto"/>
        </w:rPr>
      </w:pPr>
      <w:r>
        <w:rPr>
          <w:rFonts w:ascii="Arial" w:cs="Arial" w:eastAsia="Arial" w:hAnsi="Arial"/>
          <w:sz w:val="22"/>
          <w:szCs w:val="22"/>
          <w:color w:val="auto"/>
        </w:rPr>
        <w:t>to the extent unpaid as of the Date of Termination, an amount of cash equal to any Annual Bonus earned by Executive for the Company’s fiscal year prior to the fiscal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3" w:name="page194"/>
    <w:bookmarkEnd w:id="193"/>
    <w:p>
      <w:pPr>
        <w:jc w:val="both"/>
        <w:ind w:left="880"/>
        <w:spacing w:after="0" w:line="238" w:lineRule="auto"/>
        <w:rPr>
          <w:sz w:val="20"/>
          <w:szCs w:val="20"/>
          <w:color w:val="auto"/>
        </w:rPr>
      </w:pPr>
      <w:r>
        <w:rPr>
          <w:rFonts w:ascii="Arial" w:cs="Arial" w:eastAsia="Arial" w:hAnsi="Arial"/>
          <w:sz w:val="22"/>
          <w:szCs w:val="22"/>
          <w:color w:val="auto"/>
        </w:rPr>
        <w:t>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85" w:lineRule="exact"/>
        <w:rPr>
          <w:sz w:val="20"/>
          <w:szCs w:val="20"/>
          <w:color w:val="auto"/>
        </w:rPr>
      </w:pPr>
    </w:p>
    <w:p>
      <w:pPr>
        <w:jc w:val="both"/>
        <w:ind w:left="880" w:firstLine="789"/>
        <w:spacing w:after="0" w:line="270" w:lineRule="auto"/>
        <w:tabs>
          <w:tab w:leader="none" w:pos="264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if Executive timely elects to receive continued medical, dental 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then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which payments shall be made regardless of whether Executive elects COBRA continuation coverage and shall commence in the month following the month in which the Date of Termination occurs and shall end on the earlier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165" w:lineRule="exact"/>
        <w:rPr>
          <w:rFonts w:ascii="Arial" w:cs="Arial" w:eastAsia="Arial" w:hAnsi="Arial"/>
          <w:sz w:val="19"/>
          <w:szCs w:val="19"/>
          <w:color w:val="auto"/>
        </w:rPr>
      </w:pPr>
    </w:p>
    <w:p>
      <w:pPr>
        <w:jc w:val="both"/>
        <w:ind w:firstLine="872"/>
        <w:spacing w:after="0" w:line="282" w:lineRule="auto"/>
        <w:tabs>
          <w:tab w:leader="none" w:pos="1751"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In lieu of the payments and benefits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in the event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for Good Reason, in either case, within 60 days prior to or 12 months following the date of a Change in Control, subject to Executive signing on or before the 21st day following Executive’s Separation from Service, and not revoking, the Release,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Executive shall receive the following:</w:t>
      </w:r>
    </w:p>
    <w:p>
      <w:pPr>
        <w:spacing w:after="0" w:line="147" w:lineRule="exact"/>
        <w:rPr>
          <w:rFonts w:ascii="Arial" w:cs="Arial" w:eastAsia="Arial" w:hAnsi="Arial"/>
          <w:sz w:val="19"/>
          <w:szCs w:val="19"/>
          <w:color w:val="auto"/>
        </w:rPr>
      </w:pPr>
    </w:p>
    <w:p>
      <w:pPr>
        <w:ind w:left="2520" w:hanging="851"/>
        <w:spacing w:after="0"/>
        <w:tabs>
          <w:tab w:leader="none" w:pos="252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 xml:space="preserve">without duplication, the payments and benefits described in </w:t>
      </w:r>
      <w:r>
        <w:rPr>
          <w:rFonts w:ascii="Arial" w:cs="Arial" w:eastAsia="Arial" w:hAnsi="Arial"/>
          <w:sz w:val="22"/>
          <w:szCs w:val="22"/>
          <w:u w:val="single" w:color="auto"/>
          <w:color w:val="auto"/>
        </w:rPr>
        <w:t>Section 4(b)</w:t>
      </w:r>
      <w:r>
        <w:rPr>
          <w:rFonts w:ascii="Arial" w:cs="Arial" w:eastAsia="Arial" w:hAnsi="Arial"/>
          <w:sz w:val="22"/>
          <w:szCs w:val="22"/>
          <w:color w:val="auto"/>
        </w:rPr>
        <w:t>;</w:t>
      </w:r>
    </w:p>
    <w:p>
      <w:pPr>
        <w:spacing w:after="0" w:line="206" w:lineRule="exact"/>
        <w:rPr>
          <w:sz w:val="20"/>
          <w:szCs w:val="20"/>
          <w:color w:val="auto"/>
        </w:rPr>
      </w:pPr>
    </w:p>
    <w:p>
      <w:pPr>
        <w:jc w:val="both"/>
        <w:ind w:left="880" w:firstLine="789"/>
        <w:spacing w:after="0"/>
        <w:tabs>
          <w:tab w:leader="none" w:pos="258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an amount in cash equal to the product of (x) 1.0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(y) the Target Bonus, payable in a lump sum within thirty (30) days following the later of Executive’s Separation from Service and the date of a Change in Control; and</w:t>
      </w:r>
    </w:p>
    <w:p>
      <w:pPr>
        <w:spacing w:after="0" w:line="186" w:lineRule="exact"/>
        <w:rPr>
          <w:rFonts w:ascii="Arial" w:cs="Arial" w:eastAsia="Arial" w:hAnsi="Arial"/>
          <w:sz w:val="22"/>
          <w:szCs w:val="22"/>
          <w:color w:val="auto"/>
        </w:rPr>
      </w:pPr>
    </w:p>
    <w:p>
      <w:pPr>
        <w:ind w:left="880" w:firstLine="789"/>
        <w:spacing w:after="0" w:line="250" w:lineRule="auto"/>
        <w:tabs>
          <w:tab w:leader="none" w:pos="264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all unvested equity or equity-based awards held by Executive under any Company equity compensation plans that vest solely based on the passage of time shall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4" w:name="page195"/>
    <w:bookmarkEnd w:id="194"/>
    <w:p>
      <w:pPr>
        <w:jc w:val="both"/>
        <w:ind w:left="880"/>
        <w:spacing w:after="0" w:line="279" w:lineRule="auto"/>
        <w:rPr>
          <w:sz w:val="20"/>
          <w:szCs w:val="20"/>
          <w:color w:val="auto"/>
        </w:rPr>
      </w:pPr>
      <w:r>
        <w:rPr>
          <w:rFonts w:ascii="Arial" w:cs="Arial" w:eastAsia="Arial" w:hAnsi="Arial"/>
          <w:sz w:val="19"/>
          <w:szCs w:val="19"/>
          <w:color w:val="auto"/>
        </w:rPr>
        <w:t>immediately become 100% vested (and if the Date of Termination precedes the Change in Control, all such unvested awards shall remain outstanding and eligible to vest in accordance with this Section 4(c)(iii) if a Change Control occurs within 60 days after the Date of Termination, provided that in no event will any such award remain outstanding beyond the final expiration date of the award set forth in the documents governing such award), with any other equity or equity-based awards (including awards that vest in whole or in part based on the attainment of performance-vesting conditions) being governed by the terms of the applicable award agreement.</w:t>
      </w:r>
    </w:p>
    <w:p>
      <w:pPr>
        <w:spacing w:after="0" w:line="150" w:lineRule="exact"/>
        <w:rPr>
          <w:sz w:val="20"/>
          <w:szCs w:val="20"/>
          <w:color w:val="auto"/>
        </w:rPr>
      </w:pPr>
    </w:p>
    <w:p>
      <w:pPr>
        <w:ind w:firstLine="872"/>
        <w:spacing w:after="0" w:line="250" w:lineRule="auto"/>
        <w:tabs>
          <w:tab w:leader="none" w:pos="1763" w:val="left"/>
        </w:tabs>
        <w:numPr>
          <w:ilvl w:val="1"/>
          <w:numId w:val="18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Notwithstanding anything to the contrary in this Agreement, the provisions of </w:t>
      </w:r>
      <w:r>
        <w:rPr>
          <w:rFonts w:ascii="Arial" w:cs="Arial" w:eastAsia="Arial" w:hAnsi="Arial"/>
          <w:sz w:val="22"/>
          <w:szCs w:val="22"/>
          <w:u w:val="single" w:color="auto"/>
          <w:color w:val="auto"/>
        </w:rPr>
        <w:t>Sections 5</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will survive the termination of Executive’s employment and the termination of the Term.</w:t>
      </w:r>
    </w:p>
    <w:p>
      <w:pPr>
        <w:spacing w:after="0" w:line="168" w:lineRule="exact"/>
        <w:rPr>
          <w:rFonts w:ascii="Arial" w:cs="Arial" w:eastAsia="Arial" w:hAnsi="Arial"/>
          <w:sz w:val="22"/>
          <w:szCs w:val="22"/>
          <w:color w:val="auto"/>
        </w:rPr>
      </w:pPr>
    </w:p>
    <w:p>
      <w:pPr>
        <w:jc w:val="both"/>
        <w:ind w:left="860" w:hanging="852"/>
        <w:spacing w:after="0" w:line="247" w:lineRule="auto"/>
        <w:tabs>
          <w:tab w:leader="none" w:pos="860" w:val="left"/>
        </w:tabs>
        <w:numPr>
          <w:ilvl w:val="0"/>
          <w:numId w:val="1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Prior to the effectiveness of this Agreement, Executive has executed and delivered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 Employee Non-Competition, Non-Solicitation, Confidentiality and Assignment Agreement (the “</w:t>
      </w:r>
      <w:r>
        <w:rPr>
          <w:rFonts w:ascii="Arial" w:cs="Arial" w:eastAsia="Arial" w:hAnsi="Arial"/>
          <w:sz w:val="21"/>
          <w:szCs w:val="21"/>
          <w:u w:val="single" w:color="auto"/>
          <w:color w:val="auto"/>
        </w:rPr>
        <w:t>Proprietary Information Agreement</w:t>
      </w:r>
      <w:r>
        <w:rPr>
          <w:rFonts w:ascii="Arial" w:cs="Arial" w:eastAsia="Arial" w:hAnsi="Arial"/>
          <w:sz w:val="21"/>
          <w:szCs w:val="21"/>
          <w:color w:val="auto"/>
        </w:rPr>
        <w:t>”). Executive acknowledges and agrees that Executive continues to be bound by the existing terms of the Proprietary Information Agreement, and nothing in this Agreement affects or modifies the terms of the Proprietary Information Agreement. Executive acknowledges that the provisions of the Proprietary Information Agreement will survive the termination of Executive’s employment and the termination of the Term for the periods set forth in the Proprietary Information Agreement.</w:t>
      </w:r>
    </w:p>
    <w:p>
      <w:pPr>
        <w:spacing w:after="0" w:line="177" w:lineRule="exact"/>
        <w:rPr>
          <w:rFonts w:ascii="Arial" w:cs="Arial" w:eastAsia="Arial" w:hAnsi="Arial"/>
          <w:sz w:val="21"/>
          <w:szCs w:val="21"/>
          <w:b w:val="1"/>
          <w:bCs w:val="1"/>
          <w:color w:val="auto"/>
        </w:rPr>
      </w:pPr>
    </w:p>
    <w:p>
      <w:pPr>
        <w:ind w:left="860" w:hanging="852"/>
        <w:spacing w:after="0"/>
        <w:tabs>
          <w:tab w:leader="none" w:pos="86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 and Successors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19"/>
          <w:szCs w:val="19"/>
          <w:color w:val="auto"/>
        </w:rPr>
        <w:t>The Company may assign its rights and obligations under this Agreement to any of its affiliates or to any successor to</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5" w:lineRule="exact"/>
        <w:rPr>
          <w:sz w:val="20"/>
          <w:szCs w:val="20"/>
          <w:color w:val="auto"/>
        </w:rPr>
      </w:pPr>
    </w:p>
    <w:p>
      <w:pPr>
        <w:ind w:left="860" w:hanging="852"/>
        <w:spacing w:after="0"/>
        <w:tabs>
          <w:tab w:leader="none" w:pos="86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760" w:hanging="888"/>
        <w:spacing w:after="0"/>
        <w:tabs>
          <w:tab w:leader="none" w:pos="1760"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Company shall have “Cause” to terminate Executive’s employment hereunder upon:</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2"/>
          <w:numId w:val="190"/>
        </w:numPr>
        <w:rPr>
          <w:rFonts w:ascii="Arial" w:cs="Arial" w:eastAsia="Arial" w:hAnsi="Arial"/>
          <w:sz w:val="22"/>
          <w:szCs w:val="22"/>
          <w:color w:val="auto"/>
        </w:rPr>
      </w:pPr>
      <w:r>
        <w:rPr>
          <w:rFonts w:ascii="Arial" w:cs="Arial" w:eastAsia="Arial" w:hAnsi="Arial"/>
          <w:sz w:val="22"/>
          <w:szCs w:val="22"/>
          <w:color w:val="auto"/>
        </w:rPr>
        <w:t>Executive’s refusal to (A) substantially perform Executive’s duties with the Company (other than any such failure resulting from Executive’s Disability) or (B) comply with, in any material respect, any of the Company’s Policies;</w:t>
      </w:r>
    </w:p>
    <w:p>
      <w:pPr>
        <w:spacing w:after="0" w:line="186" w:lineRule="exact"/>
        <w:rPr>
          <w:rFonts w:ascii="Arial" w:cs="Arial" w:eastAsia="Arial" w:hAnsi="Arial"/>
          <w:sz w:val="22"/>
          <w:szCs w:val="22"/>
          <w:color w:val="auto"/>
        </w:rPr>
      </w:pPr>
    </w:p>
    <w:p>
      <w:pPr>
        <w:ind w:left="2580" w:hanging="911"/>
        <w:spacing w:after="0"/>
        <w:tabs>
          <w:tab w:leader="none" w:pos="2580" w:val="left"/>
        </w:tabs>
        <w:numPr>
          <w:ilvl w:val="2"/>
          <w:numId w:val="190"/>
        </w:numPr>
        <w:rPr>
          <w:rFonts w:ascii="Arial" w:cs="Arial" w:eastAsia="Arial" w:hAnsi="Arial"/>
          <w:sz w:val="22"/>
          <w:szCs w:val="22"/>
          <w:color w:val="auto"/>
        </w:rPr>
      </w:pPr>
      <w:r>
        <w:rPr>
          <w:rFonts w:ascii="Arial" w:cs="Arial" w:eastAsia="Arial" w:hAnsi="Arial"/>
          <w:sz w:val="22"/>
          <w:szCs w:val="22"/>
          <w:color w:val="auto"/>
        </w:rPr>
        <w:t>the Board’s determination that Executive refused in any material respect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5" w:name="page196"/>
    <w:bookmarkEnd w:id="195"/>
    <w:p>
      <w:pPr>
        <w:ind w:left="880"/>
        <w:spacing w:after="0"/>
        <w:rPr>
          <w:sz w:val="20"/>
          <w:szCs w:val="20"/>
          <w:color w:val="auto"/>
        </w:rPr>
      </w:pPr>
      <w:r>
        <w:rPr>
          <w:rFonts w:ascii="Arial" w:cs="Arial" w:eastAsia="Arial" w:hAnsi="Arial"/>
          <w:sz w:val="22"/>
          <w:szCs w:val="22"/>
          <w:color w:val="auto"/>
        </w:rPr>
        <w:t>carry out or comply with any lawful and reasonable directive of the Board;</w:t>
      </w:r>
    </w:p>
    <w:p>
      <w:pPr>
        <w:spacing w:after="0" w:line="206" w:lineRule="exact"/>
        <w:rPr>
          <w:sz w:val="20"/>
          <w:szCs w:val="20"/>
          <w:color w:val="auto"/>
        </w:rPr>
      </w:pPr>
    </w:p>
    <w:p>
      <w:pPr>
        <w:ind w:left="2640" w:hanging="971"/>
        <w:spacing w:after="0"/>
        <w:tabs>
          <w:tab w:leader="none" w:pos="26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Executive’s material breach of a material provision of this Agreement;</w:t>
      </w:r>
    </w:p>
    <w:p>
      <w:pPr>
        <w:spacing w:after="0" w:line="206"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Executive’s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any felony or crime involving moral turpitude;</w:t>
      </w:r>
    </w:p>
    <w:p>
      <w:pPr>
        <w:spacing w:after="0" w:line="174" w:lineRule="exact"/>
        <w:rPr>
          <w:rFonts w:ascii="Arial" w:cs="Arial" w:eastAsia="Arial" w:hAnsi="Arial"/>
          <w:sz w:val="22"/>
          <w:szCs w:val="22"/>
          <w:color w:val="auto"/>
        </w:rPr>
      </w:pPr>
    </w:p>
    <w:p>
      <w:pPr>
        <w:jc w:val="both"/>
        <w:ind w:left="880" w:firstLine="789"/>
        <w:spacing w:after="0"/>
        <w:tabs>
          <w:tab w:leader="none" w:pos="257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86"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Executive’s commission of an act of fraud, embezzlement, misappropriation, willful misconduct, or breach of fiduciary duty against the Company or any of its affiliates;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(ii) or (iii) of the foregoing definition and to the extent the applicable condition or event is reasonably capable of being cured, Executive shall have failed to cure such condition or event within 30 days after the receipt of such notice.</w:t>
      </w:r>
    </w:p>
    <w:p>
      <w:pPr>
        <w:spacing w:after="0" w:line="188" w:lineRule="exact"/>
        <w:rPr>
          <w:sz w:val="20"/>
          <w:szCs w:val="20"/>
          <w:color w:val="auto"/>
        </w:rPr>
      </w:pPr>
    </w:p>
    <w:p>
      <w:pPr>
        <w:ind w:firstLine="872"/>
        <w:spacing w:after="0" w:line="250" w:lineRule="auto"/>
        <w:tabs>
          <w:tab w:leader="none" w:pos="1763"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“Change in Control” shall have the meaning set forth in the version of the Seres Therapeutics, Inc. 2015 Incentive Award Plan in effect on the Effective Date.</w:t>
      </w:r>
    </w:p>
    <w:p>
      <w:pPr>
        <w:spacing w:after="0" w:line="174" w:lineRule="exact"/>
        <w:rPr>
          <w:rFonts w:ascii="Arial" w:cs="Arial" w:eastAsia="Arial" w:hAnsi="Arial"/>
          <w:sz w:val="22"/>
          <w:szCs w:val="22"/>
          <w:color w:val="auto"/>
        </w:rPr>
      </w:pPr>
    </w:p>
    <w:p>
      <w:pPr>
        <w:ind w:firstLine="872"/>
        <w:spacing w:after="0" w:line="250" w:lineRule="auto"/>
        <w:tabs>
          <w:tab w:leader="none" w:pos="1751"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“Code” shall mean the Internal Revenue Code of 1986, as amended, and the regulations and guidance promulgated thereunder.</w:t>
      </w:r>
    </w:p>
    <w:p>
      <w:pPr>
        <w:spacing w:after="0" w:line="174"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2"/>
          <w:szCs w:val="22"/>
          <w:u w:val="single" w:color="auto"/>
          <w:color w:val="auto"/>
        </w:rPr>
        <w:t>Section 3(a)(ii) – (vi)</w:t>
      </w:r>
      <w:r>
        <w:rPr>
          <w:rFonts w:ascii="Arial" w:cs="Arial" w:eastAsia="Arial" w:hAnsi="Arial"/>
          <w:sz w:val="22"/>
          <w:szCs w:val="22"/>
          <w:color w:val="auto"/>
        </w:rPr>
        <w:t xml:space="preserve"> either the date indicated in the Notice of Termination or the date specified by the Company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whichever is earlier.</w:t>
      </w:r>
    </w:p>
    <w:p>
      <w:pPr>
        <w:spacing w:after="0" w:line="184" w:lineRule="exact"/>
        <w:rPr>
          <w:rFonts w:ascii="Arial" w:cs="Arial" w:eastAsia="Arial" w:hAnsi="Arial"/>
          <w:sz w:val="22"/>
          <w:szCs w:val="22"/>
          <w:color w:val="auto"/>
        </w:rPr>
      </w:pPr>
    </w:p>
    <w:p>
      <w:pPr>
        <w:jc w:val="both"/>
        <w:ind w:firstLine="872"/>
        <w:spacing w:after="0" w:line="273" w:lineRule="auto"/>
        <w:tabs>
          <w:tab w:leader="none" w:pos="1751"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6" w:name="page197"/>
    <w:bookmarkEnd w:id="196"/>
    <w:p>
      <w:pPr>
        <w:ind w:right="20"/>
        <w:spacing w:after="0" w:line="250" w:lineRule="auto"/>
        <w:rPr>
          <w:sz w:val="20"/>
          <w:szCs w:val="20"/>
          <w:color w:val="auto"/>
        </w:rPr>
      </w:pPr>
      <w:r>
        <w:rPr>
          <w:rFonts w:ascii="Arial" w:cs="Arial" w:eastAsia="Arial" w:hAnsi="Arial"/>
          <w:sz w:val="22"/>
          <w:szCs w:val="22"/>
          <w:color w:val="auto"/>
        </w:rPr>
        <w:t>to a medical examination for the purpose of determining Disability shall be deemed to constitute conclusive evidence of Executive’s Disability.</w:t>
      </w:r>
    </w:p>
    <w:p>
      <w:pPr>
        <w:spacing w:after="0" w:line="175" w:lineRule="exact"/>
        <w:rPr>
          <w:sz w:val="20"/>
          <w:szCs w:val="20"/>
          <w:color w:val="auto"/>
        </w:rPr>
      </w:pPr>
    </w:p>
    <w:p>
      <w:pPr>
        <w:jc w:val="both"/>
        <w:ind w:firstLine="872"/>
        <w:spacing w:after="0" w:line="273" w:lineRule="auto"/>
        <w:tabs>
          <w:tab w:leader="none" w:pos="1727"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sole purpose of determining Executive’s right to severance payments and benefits as described above, Executive’s resignation will be for “Good Reason” if Executive resigns within ninety days after any of the following events, unless Executive consents to the applicable event: (i) a material decrease in Executive’s Annual Base Salary,</w:t>
      </w:r>
    </w:p>
    <w:p>
      <w:pPr>
        <w:spacing w:after="0" w:line="1" w:lineRule="exact"/>
        <w:rPr>
          <w:rFonts w:ascii="Arial" w:cs="Arial" w:eastAsia="Arial" w:hAnsi="Arial"/>
          <w:sz w:val="19"/>
          <w:szCs w:val="19"/>
          <w:color w:val="auto"/>
        </w:rPr>
      </w:pPr>
    </w:p>
    <w:p>
      <w:pPr>
        <w:jc w:val="both"/>
        <w:ind w:firstLine="8"/>
        <w:spacing w:after="0" w:line="243" w:lineRule="auto"/>
        <w:tabs>
          <w:tab w:leader="none" w:pos="322"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 material decrease in Executive’s authority or areas of responsibility as are commensurate with Executive’s title or positions, including Executive ceasing to report directly to the chief executive officer of the Company’s ultimate parent company following a Change in Control (or of the Company if there is no such parent entity), (iii) the Company’s material breach of a material provision of this Agreement or another written agreement with Executive or (iv) the relocation of Executive’s primary office to a location more than 50 miles from the Boston metropolitan area. Notwithstanding the foregoing, no Good Reason will have occurred unless and until Executive has: (a) provided the Company, within 60 days of Executive’s knowledge of the occurrence of the facts and circumstances underlying the Good Reason event, written notice stating with reasonable specificity the applicable facts and circumstances underlying such finding of Good Reason; (b) provided the Company with an opportunity to cure the same within 30 days after the receipt of such notice; and (c) the Company shall have failed to cure such condition within such 30 day period.</w:t>
      </w:r>
    </w:p>
    <w:p>
      <w:pPr>
        <w:spacing w:after="0" w:line="177" w:lineRule="exact"/>
        <w:rPr>
          <w:sz w:val="20"/>
          <w:szCs w:val="20"/>
          <w:color w:val="auto"/>
        </w:rPr>
      </w:pPr>
    </w:p>
    <w:p>
      <w:pPr>
        <w:ind w:left="860" w:hanging="852"/>
        <w:spacing w:after="0"/>
        <w:tabs>
          <w:tab w:leader="none" w:pos="86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Parachute Payments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72" w:lineRule="auto"/>
        <w:tabs>
          <w:tab w:leader="none" w:pos="1751"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5" w:lineRule="exact"/>
        <w:rPr>
          <w:rFonts w:ascii="Arial" w:cs="Arial" w:eastAsia="Arial" w:hAnsi="Arial"/>
          <w:sz w:val="19"/>
          <w:szCs w:val="19"/>
          <w:color w:val="auto"/>
        </w:rPr>
      </w:pPr>
    </w:p>
    <w:p>
      <w:pPr>
        <w:jc w:val="both"/>
        <w:ind w:firstLine="872"/>
        <w:spacing w:after="0" w:line="249" w:lineRule="auto"/>
        <w:tabs>
          <w:tab w:leader="none" w:pos="1763" w:val="left"/>
        </w:tabs>
        <w:numPr>
          <w:ilvl w:val="1"/>
          <w:numId w:val="195"/>
        </w:numPr>
        <w:rPr>
          <w:rFonts w:ascii="Arial" w:cs="Arial" w:eastAsia="Arial" w:hAnsi="Arial"/>
          <w:sz w:val="21"/>
          <w:szCs w:val="21"/>
          <w:color w:val="auto"/>
        </w:rPr>
      </w:pPr>
      <w:r>
        <w:rPr>
          <w:rFonts w:ascii="Arial" w:cs="Arial" w:eastAsia="Arial" w:hAnsi="Arial"/>
          <w:sz w:val="21"/>
          <w:szCs w:val="21"/>
          <w:color w:val="auto"/>
        </w:rPr>
        <w:t>The Total Payments shall be reduced in the following order: (i) reduction on a pro-rata basis of any cash severance payments that are exempt from Section 409A of the Code (“</w:t>
      </w:r>
      <w:r>
        <w:rPr>
          <w:rFonts w:ascii="Arial" w:cs="Arial" w:eastAsia="Arial" w:hAnsi="Arial"/>
          <w:sz w:val="21"/>
          <w:szCs w:val="21"/>
          <w:u w:val="single" w:color="auto"/>
          <w:color w:val="auto"/>
        </w:rPr>
        <w:t>Section 409A</w:t>
      </w:r>
      <w:r>
        <w:rPr>
          <w:rFonts w:ascii="Arial" w:cs="Arial" w:eastAsia="Arial" w:hAnsi="Arial"/>
          <w:sz w:val="21"/>
          <w:szCs w:val="21"/>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7" w:name="page198"/>
    <w:bookmarkEnd w:id="197"/>
    <w:p>
      <w:pPr>
        <w:spacing w:after="0" w:line="274" w:lineRule="auto"/>
        <w:rPr>
          <w:sz w:val="20"/>
          <w:szCs w:val="20"/>
          <w:color w:val="auto"/>
        </w:rPr>
      </w:pPr>
      <w:r>
        <w:rPr>
          <w:rFonts w:ascii="Arial" w:cs="Arial" w:eastAsia="Arial" w:hAnsi="Arial"/>
          <w:sz w:val="21"/>
          <w:szCs w:val="21"/>
          <w:color w:val="auto"/>
        </w:rPr>
        <w:t>409A; provided, in case of clauses (ii), (iii) and (iv), that reduction of any payments attributable to the acceleration of vesting of Company equity awards shall be first applied to Company equity awards that would otherwise vest last in time.</w:t>
      </w:r>
    </w:p>
    <w:p>
      <w:pPr>
        <w:spacing w:after="0" w:line="151" w:lineRule="exact"/>
        <w:rPr>
          <w:sz w:val="20"/>
          <w:szCs w:val="20"/>
          <w:color w:val="auto"/>
        </w:rPr>
      </w:pPr>
    </w:p>
    <w:p>
      <w:pPr>
        <w:jc w:val="both"/>
        <w:ind w:firstLine="872"/>
        <w:spacing w:after="0" w:line="270" w:lineRule="auto"/>
        <w:tabs>
          <w:tab w:leader="none" w:pos="1751"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All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w:t>
      </w:r>
    </w:p>
    <w:p>
      <w:pPr>
        <w:spacing w:after="0" w:line="4" w:lineRule="exact"/>
        <w:rPr>
          <w:rFonts w:ascii="Arial" w:cs="Arial" w:eastAsia="Arial" w:hAnsi="Arial"/>
          <w:sz w:val="19"/>
          <w:szCs w:val="19"/>
          <w:color w:val="auto"/>
        </w:rPr>
      </w:pPr>
    </w:p>
    <w:p>
      <w:pPr>
        <w:jc w:val="both"/>
        <w:ind w:firstLine="8"/>
        <w:spacing w:after="0" w:line="233" w:lineRule="auto"/>
        <w:tabs>
          <w:tab w:leader="none" w:pos="318" w:val="left"/>
        </w:tabs>
        <w:numPr>
          <w:ilvl w:val="0"/>
          <w:numId w:val="197"/>
        </w:numPr>
        <w:rPr>
          <w:rFonts w:ascii="Arial" w:cs="Arial" w:eastAsia="Arial" w:hAnsi="Arial"/>
          <w:sz w:val="22"/>
          <w:szCs w:val="22"/>
          <w:color w:val="auto"/>
        </w:rPr>
      </w:pPr>
      <w:r>
        <w:rPr>
          <w:rFonts w:ascii="Arial" w:cs="Arial" w:eastAsia="Arial" w:hAnsi="Arial"/>
          <w:sz w:val="22"/>
          <w:szCs w:val="22"/>
          <w:color w:val="auto"/>
        </w:rPr>
        <w:t>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7" w:lineRule="exact"/>
        <w:rPr>
          <w:rFonts w:ascii="Arial" w:cs="Arial" w:eastAsia="Arial" w:hAnsi="Arial"/>
          <w:sz w:val="22"/>
          <w:szCs w:val="22"/>
          <w:color w:val="auto"/>
        </w:rPr>
      </w:pPr>
    </w:p>
    <w:p>
      <w:pPr>
        <w:jc w:val="both"/>
        <w:ind w:right="20" w:firstLine="872"/>
        <w:spacing w:after="0" w:line="328" w:lineRule="auto"/>
        <w:tabs>
          <w:tab w:leader="none" w:pos="1763"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a greater reduction in the Total Payments should have been made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excess amount shall be returned promptly by Executive to the Company.</w:t>
      </w:r>
    </w:p>
    <w:p>
      <w:pPr>
        <w:spacing w:after="0" w:line="99" w:lineRule="exact"/>
        <w:rPr>
          <w:sz w:val="20"/>
          <w:szCs w:val="20"/>
          <w:color w:val="auto"/>
        </w:rPr>
      </w:pPr>
    </w:p>
    <w:p>
      <w:pPr>
        <w:ind w:left="860" w:hanging="852"/>
        <w:spacing w:after="0"/>
        <w:tabs>
          <w:tab w:leader="none" w:pos="86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19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187" w:lineRule="exact"/>
        <w:rPr>
          <w:rFonts w:ascii="Arial" w:cs="Arial" w:eastAsia="Arial" w:hAnsi="Arial"/>
          <w:sz w:val="22"/>
          <w:szCs w:val="22"/>
          <w:color w:val="auto"/>
        </w:rPr>
      </w:pPr>
    </w:p>
    <w:p>
      <w:pPr>
        <w:ind w:firstLine="872"/>
        <w:spacing w:after="0" w:line="274" w:lineRule="auto"/>
        <w:tabs>
          <w:tab w:leader="none" w:pos="1763" w:val="left"/>
        </w:tabs>
        <w:numPr>
          <w:ilvl w:val="1"/>
          <w:numId w:val="198"/>
        </w:numPr>
        <w:rPr>
          <w:rFonts w:ascii="Arial" w:cs="Arial" w:eastAsia="Arial" w:hAnsi="Arial"/>
          <w:sz w:val="21"/>
          <w:szCs w:val="21"/>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0" w:lineRule="exact"/>
        <w:rPr>
          <w:rFonts w:ascii="Arial" w:cs="Arial" w:eastAsia="Arial" w:hAnsi="Arial"/>
          <w:sz w:val="21"/>
          <w:szCs w:val="21"/>
          <w:color w:val="auto"/>
        </w:rPr>
      </w:pPr>
    </w:p>
    <w:p>
      <w:pPr>
        <w:jc w:val="both"/>
        <w:ind w:firstLine="872"/>
        <w:spacing w:after="0"/>
        <w:tabs>
          <w:tab w:leader="none" w:pos="1751" w:val="left"/>
        </w:tabs>
        <w:numPr>
          <w:ilvl w:val="1"/>
          <w:numId w:val="19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22"/>
          <w:szCs w:val="22"/>
          <w:color w:val="auto"/>
        </w:rPr>
      </w:pPr>
    </w:p>
    <w:p>
      <w:pPr>
        <w:ind w:left="2520" w:hanging="851"/>
        <w:spacing w:after="0"/>
        <w:tabs>
          <w:tab w:leader="none" w:pos="2520" w:val="left"/>
        </w:tabs>
        <w:numPr>
          <w:ilvl w:val="2"/>
          <w:numId w:val="198"/>
        </w:numPr>
        <w:rPr>
          <w:rFonts w:ascii="Arial" w:cs="Arial" w:eastAsia="Arial" w:hAnsi="Arial"/>
          <w:sz w:val="22"/>
          <w:szCs w:val="22"/>
          <w:color w:val="auto"/>
        </w:rPr>
      </w:pPr>
      <w:r>
        <w:rPr>
          <w:rFonts w:ascii="Arial" w:cs="Arial" w:eastAsia="Arial" w:hAnsi="Arial"/>
          <w:sz w:val="22"/>
          <w:szCs w:val="22"/>
          <w:color w:val="auto"/>
        </w:rPr>
        <w:t>If to the Company, the Chief Financial Officer at its headquarters,</w:t>
      </w:r>
    </w:p>
    <w:p>
      <w:pPr>
        <w:spacing w:after="0" w:line="206" w:lineRule="exact"/>
        <w:rPr>
          <w:rFonts w:ascii="Arial" w:cs="Arial" w:eastAsia="Arial" w:hAnsi="Arial"/>
          <w:sz w:val="22"/>
          <w:szCs w:val="22"/>
          <w:color w:val="auto"/>
        </w:rPr>
      </w:pPr>
    </w:p>
    <w:p>
      <w:pPr>
        <w:ind w:left="2580" w:hanging="911"/>
        <w:spacing w:after="0"/>
        <w:tabs>
          <w:tab w:leader="none" w:pos="2580" w:val="left"/>
        </w:tabs>
        <w:numPr>
          <w:ilvl w:val="2"/>
          <w:numId w:val="198"/>
        </w:numPr>
        <w:rPr>
          <w:rFonts w:ascii="Arial" w:cs="Arial" w:eastAsia="Arial" w:hAnsi="Arial"/>
          <w:sz w:val="19"/>
          <w:szCs w:val="19"/>
          <w:color w:val="auto"/>
        </w:rPr>
      </w:pPr>
      <w:r>
        <w:rPr>
          <w:rFonts w:ascii="Arial" w:cs="Arial" w:eastAsia="Arial" w:hAnsi="Arial"/>
          <w:sz w:val="19"/>
          <w:szCs w:val="19"/>
          <w:color w:val="auto"/>
        </w:rPr>
        <w:t>If to Executive, at the last address that the Company has in its personnel records for Executive, or</w:t>
      </w:r>
    </w:p>
    <w:p>
      <w:pPr>
        <w:spacing w:after="0" w:line="240" w:lineRule="exact"/>
        <w:rPr>
          <w:rFonts w:ascii="Arial" w:cs="Arial" w:eastAsia="Arial" w:hAnsi="Arial"/>
          <w:sz w:val="19"/>
          <w:szCs w:val="19"/>
          <w:color w:val="auto"/>
        </w:rPr>
      </w:pPr>
    </w:p>
    <w:p>
      <w:pPr>
        <w:ind w:left="2640" w:hanging="971"/>
        <w:spacing w:after="0"/>
        <w:tabs>
          <w:tab w:leader="none" w:pos="2640" w:val="left"/>
        </w:tabs>
        <w:numPr>
          <w:ilvl w:val="2"/>
          <w:numId w:val="198"/>
        </w:numPr>
        <w:rPr>
          <w:rFonts w:ascii="Arial" w:cs="Arial" w:eastAsia="Arial" w:hAnsi="Arial"/>
          <w:sz w:val="21"/>
          <w:szCs w:val="21"/>
          <w:color w:val="auto"/>
        </w:rPr>
      </w:pPr>
      <w:r>
        <w:rPr>
          <w:rFonts w:ascii="Arial" w:cs="Arial" w:eastAsia="Arial" w:hAnsi="Arial"/>
          <w:sz w:val="21"/>
          <w:szCs w:val="21"/>
          <w:color w:val="auto"/>
        </w:rPr>
        <w:t>at any other address as any Party shall have specified by notice in writing to the other Party.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8" w:name="page199"/>
    <w:bookmarkEnd w:id="198"/>
    <w:p>
      <w:pPr>
        <w:jc w:val="both"/>
        <w:ind w:firstLine="872"/>
        <w:spacing w:after="0"/>
        <w:tabs>
          <w:tab w:leader="none" w:pos="1763"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2"/>
          <w:szCs w:val="22"/>
          <w:color w:val="auto"/>
        </w:rPr>
      </w:pPr>
    </w:p>
    <w:p>
      <w:pPr>
        <w:jc w:val="both"/>
        <w:ind w:firstLine="872"/>
        <w:spacing w:after="0" w:line="235" w:lineRule="auto"/>
        <w:tabs>
          <w:tab w:leader="none" w:pos="1751"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The terms of this Agreement, and the Proprietary Information Agreement incorporated herein by reference as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are intended by the Parties to be the final expression of their agreement with respect to the subject matter hereof and supersede all prior understandings and agreements, whether written or oral, including the Prior Agreement.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7" w:lineRule="exact"/>
        <w:rPr>
          <w:rFonts w:ascii="Arial" w:cs="Arial" w:eastAsia="Arial" w:hAnsi="Arial"/>
          <w:sz w:val="22"/>
          <w:szCs w:val="22"/>
          <w:color w:val="auto"/>
        </w:rPr>
      </w:pPr>
    </w:p>
    <w:p>
      <w:pPr>
        <w:jc w:val="both"/>
        <w:ind w:firstLine="872"/>
        <w:spacing w:after="0" w:line="246" w:lineRule="auto"/>
        <w:tabs>
          <w:tab w:leader="none" w:pos="1727"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No Inconsistent Actions</w:t>
      </w:r>
      <w:r>
        <w:rPr>
          <w:rFonts w:ascii="Arial" w:cs="Arial" w:eastAsia="Arial" w:hAnsi="Arial"/>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4" w:lineRule="exact"/>
        <w:rPr>
          <w:rFonts w:ascii="Arial" w:cs="Arial" w:eastAsia="Arial" w:hAnsi="Arial"/>
          <w:sz w:val="22"/>
          <w:szCs w:val="22"/>
          <w:color w:val="auto"/>
        </w:rPr>
      </w:pPr>
    </w:p>
    <w:p>
      <w:pPr>
        <w:jc w:val="both"/>
        <w:ind w:firstLine="872"/>
        <w:spacing w:after="0" w:line="244" w:lineRule="auto"/>
        <w:tabs>
          <w:tab w:leader="none" w:pos="1763"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8" w:lineRule="exact"/>
        <w:rPr>
          <w:rFonts w:ascii="Arial" w:cs="Arial" w:eastAsia="Arial" w:hAnsi="Arial"/>
          <w:sz w:val="21"/>
          <w:szCs w:val="21"/>
          <w:color w:val="auto"/>
        </w:rPr>
      </w:pPr>
    </w:p>
    <w:p>
      <w:pPr>
        <w:jc w:val="both"/>
        <w:ind w:firstLine="872"/>
        <w:spacing w:after="0" w:line="287" w:lineRule="auto"/>
        <w:tabs>
          <w:tab w:leader="none" w:pos="1715"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9" w:name="page200"/>
    <w:bookmarkEnd w:id="199"/>
    <w:p>
      <w:pPr>
        <w:jc w:val="both"/>
        <w:spacing w:after="0" w:line="271" w:lineRule="auto"/>
        <w:rPr>
          <w:sz w:val="20"/>
          <w:szCs w:val="20"/>
          <w:color w:val="auto"/>
        </w:rPr>
      </w:pPr>
      <w:r>
        <w:rPr>
          <w:rFonts w:ascii="Arial" w:cs="Arial" w:eastAsia="Arial" w:hAnsi="Arial"/>
          <w:sz w:val="19"/>
          <w:szCs w:val="19"/>
          <w:color w:val="auto"/>
        </w:rPr>
        <w:t xml:space="preserve">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in this subsection shall be construed as precluding the bringing of an action for injunctive relief or specific performance as provided in this Agreement or Proprietary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200" w:lineRule="exact"/>
        <w:rPr>
          <w:sz w:val="20"/>
          <w:szCs w:val="20"/>
          <w:color w:val="auto"/>
        </w:rPr>
      </w:pPr>
    </w:p>
    <w:p>
      <w:pPr>
        <w:spacing w:after="0" w:line="203" w:lineRule="exact"/>
        <w:rPr>
          <w:sz w:val="20"/>
          <w:szCs w:val="20"/>
          <w:color w:val="auto"/>
        </w:rPr>
      </w:pPr>
    </w:p>
    <w:p>
      <w:pPr>
        <w:jc w:val="both"/>
        <w:ind w:firstLine="872"/>
        <w:spacing w:after="0" w:line="246" w:lineRule="auto"/>
        <w:tabs>
          <w:tab w:leader="none" w:pos="1715"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84" w:lineRule="exact"/>
        <w:rPr>
          <w:rFonts w:ascii="Arial" w:cs="Arial" w:eastAsia="Arial" w:hAnsi="Arial"/>
          <w:sz w:val="22"/>
          <w:szCs w:val="22"/>
          <w:color w:val="auto"/>
        </w:rPr>
      </w:pPr>
    </w:p>
    <w:p>
      <w:pPr>
        <w:ind w:left="1720" w:hanging="848"/>
        <w:spacing w:after="0"/>
        <w:tabs>
          <w:tab w:leader="none" w:pos="1720"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1"/>
          <w:numId w:val="200"/>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intent of the Parties is that the payments and benefits under this Agreement comply</w:t>
      </w:r>
      <w:r>
        <w:rPr>
          <w:rFonts w:ascii="Arial" w:cs="Arial" w:eastAsia="Arial" w:hAnsi="Arial"/>
          <w:sz w:val="22"/>
          <w:szCs w:val="22"/>
          <w:i w:val="1"/>
          <w:iCs w:val="1"/>
          <w:color w:val="auto"/>
        </w:rPr>
        <w:t xml:space="preserve"> </w:t>
      </w:r>
      <w:r>
        <w:rPr>
          <w:rFonts w:ascii="Arial" w:cs="Arial" w:eastAsia="Arial" w:hAnsi="Arial"/>
          <w:sz w:val="22"/>
          <w:szCs w:val="22"/>
          <w:color w:val="auto"/>
        </w:rPr>
        <w:t>with or be exempt from Section 409A and, accordingly, to the maximum extent permitted, this Agreement shall be interpreted to be in compliance therewith.</w:t>
      </w:r>
    </w:p>
    <w:p>
      <w:pPr>
        <w:spacing w:after="0" w:line="186" w:lineRule="exact"/>
        <w:rPr>
          <w:rFonts w:ascii="Arial" w:cs="Arial" w:eastAsia="Arial" w:hAnsi="Arial"/>
          <w:sz w:val="22"/>
          <w:szCs w:val="22"/>
          <w:color w:val="auto"/>
        </w:rPr>
      </w:pPr>
    </w:p>
    <w:p>
      <w:pPr>
        <w:jc w:val="both"/>
        <w:ind w:left="880" w:firstLine="789"/>
        <w:spacing w:after="0"/>
        <w:tabs>
          <w:tab w:leader="none" w:pos="2589" w:val="left"/>
        </w:tabs>
        <w:numPr>
          <w:ilvl w:val="1"/>
          <w:numId w:val="200"/>
        </w:numPr>
        <w:rPr>
          <w:rFonts w:ascii="Arial" w:cs="Arial" w:eastAsia="Arial" w:hAnsi="Arial"/>
          <w:sz w:val="22"/>
          <w:szCs w:val="22"/>
          <w:color w:val="auto"/>
        </w:rPr>
      </w:pPr>
      <w:r>
        <w:rPr>
          <w:rFonts w:ascii="Arial" w:cs="Arial" w:eastAsia="Arial" w:hAnsi="Arial"/>
          <w:sz w:val="22"/>
          <w:szCs w:val="22"/>
          <w:i w:val="1"/>
          <w:iCs w:val="1"/>
          <w:color w:val="auto"/>
        </w:rPr>
        <w:t xml:space="preserve">Separation from Service. </w:t>
      </w:r>
      <w:r>
        <w:rPr>
          <w:rFonts w:ascii="Arial" w:cs="Arial" w:eastAsia="Arial" w:hAnsi="Arial"/>
          <w:sz w:val="22"/>
          <w:szCs w:val="22"/>
          <w:color w:val="auto"/>
        </w:rPr>
        <w:t>Notwithstanding anything in this Agreement to the contrary, any</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or benefits payable under this Agreement that is designated under this Agreement as payable upon Executive’s termination of employment shall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0" w:name="page201"/>
    <w:bookmarkEnd w:id="200"/>
    <w:p>
      <w:pPr>
        <w:jc w:val="both"/>
        <w:ind w:left="880"/>
        <w:spacing w:after="0" w:line="246" w:lineRule="auto"/>
        <w:rPr>
          <w:sz w:val="20"/>
          <w:szCs w:val="20"/>
          <w:color w:val="auto"/>
        </w:rPr>
      </w:pPr>
      <w:r>
        <w:rPr>
          <w:rFonts w:ascii="Arial" w:cs="Arial" w:eastAsia="Arial" w:hAnsi="Arial"/>
          <w:sz w:val="21"/>
          <w:szCs w:val="21"/>
          <w:color w:val="auto"/>
        </w:rPr>
        <w:t>payable only upon Executive’s “separation from service” with the Company within the meaning of Section 409A (a “</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xml:space="preserve">”) and, except as provided below, any such compensation or benefits described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not be paid, or, in the case of installments, shall not commence payment, until the thirtieth (30th) day following Executive’s Separation from Service (the “</w:t>
      </w:r>
      <w:r>
        <w:rPr>
          <w:rFonts w:ascii="Arial" w:cs="Arial" w:eastAsia="Arial" w:hAnsi="Arial"/>
          <w:sz w:val="21"/>
          <w:szCs w:val="21"/>
          <w:u w:val="single" w:color="auto"/>
          <w:color w:val="auto"/>
        </w:rPr>
        <w:t>First Payment Date</w:t>
      </w:r>
      <w:r>
        <w:rPr>
          <w:rFonts w:ascii="Arial" w:cs="Arial" w:eastAsia="Arial" w:hAnsi="Arial"/>
          <w:sz w:val="21"/>
          <w:szCs w:val="21"/>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84" w:lineRule="exact"/>
        <w:rPr>
          <w:sz w:val="20"/>
          <w:szCs w:val="20"/>
          <w:color w:val="auto"/>
        </w:rPr>
      </w:pPr>
    </w:p>
    <w:p>
      <w:pPr>
        <w:jc w:val="both"/>
        <w:ind w:left="880" w:firstLine="789"/>
        <w:spacing w:after="0" w:line="245" w:lineRule="auto"/>
        <w:tabs>
          <w:tab w:leader="none" w:pos="2649" w:val="left"/>
        </w:tabs>
        <w:numPr>
          <w:ilvl w:val="1"/>
          <w:numId w:val="201"/>
        </w:numPr>
        <w:rPr>
          <w:rFonts w:ascii="Arial" w:cs="Arial" w:eastAsia="Arial" w:hAnsi="Arial"/>
          <w:sz w:val="21"/>
          <w:szCs w:val="21"/>
          <w:color w:val="auto"/>
        </w:rPr>
      </w:pPr>
      <w:r>
        <w:rPr>
          <w:rFonts w:ascii="Arial" w:cs="Arial" w:eastAsia="Arial" w:hAnsi="Arial"/>
          <w:sz w:val="21"/>
          <w:szCs w:val="21"/>
          <w:i w:val="1"/>
          <w:iCs w:val="1"/>
          <w:color w:val="auto"/>
        </w:rPr>
        <w:t xml:space="preserve">Specified Employee. </w:t>
      </w:r>
      <w:r>
        <w:rPr>
          <w:rFonts w:ascii="Arial" w:cs="Arial" w:eastAsia="Arial" w:hAnsi="Arial"/>
          <w:sz w:val="21"/>
          <w:szCs w:val="21"/>
          <w:color w:val="auto"/>
        </w:rPr>
        <w:t>Notwithstanding anything in this Agreement to the contrary, if Executive is</w:t>
      </w:r>
      <w:r>
        <w:rPr>
          <w:rFonts w:ascii="Arial" w:cs="Arial" w:eastAsia="Arial" w:hAnsi="Arial"/>
          <w:sz w:val="21"/>
          <w:szCs w:val="21"/>
          <w:i w:val="1"/>
          <w:iCs w:val="1"/>
          <w:color w:val="auto"/>
        </w:rPr>
        <w:t xml:space="preserve"> </w:t>
      </w:r>
      <w:r>
        <w:rPr>
          <w:rFonts w:ascii="Arial" w:cs="Arial" w:eastAsia="Arial" w:hAnsi="Arial"/>
          <w:sz w:val="21"/>
          <w:szCs w:val="21"/>
          <w:color w:val="auto"/>
        </w:rPr>
        <w:t>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0" w:lineRule="exact"/>
        <w:rPr>
          <w:rFonts w:ascii="Arial" w:cs="Arial" w:eastAsia="Arial" w:hAnsi="Arial"/>
          <w:sz w:val="21"/>
          <w:szCs w:val="21"/>
          <w:color w:val="auto"/>
        </w:rPr>
      </w:pPr>
    </w:p>
    <w:p>
      <w:pPr>
        <w:jc w:val="both"/>
        <w:ind w:left="880" w:firstLine="789"/>
        <w:spacing w:after="0" w:line="246" w:lineRule="auto"/>
        <w:tabs>
          <w:tab w:leader="none" w:pos="2637" w:val="left"/>
        </w:tabs>
        <w:numPr>
          <w:ilvl w:val="1"/>
          <w:numId w:val="201"/>
        </w:numPr>
        <w:rPr>
          <w:rFonts w:ascii="Arial" w:cs="Arial" w:eastAsia="Arial" w:hAnsi="Arial"/>
          <w:sz w:val="21"/>
          <w:szCs w:val="21"/>
          <w:color w:val="auto"/>
        </w:rPr>
      </w:pPr>
      <w:r>
        <w:rPr>
          <w:rFonts w:ascii="Arial" w:cs="Arial" w:eastAsia="Arial" w:hAnsi="Arial"/>
          <w:sz w:val="21"/>
          <w:szCs w:val="21"/>
          <w:i w:val="1"/>
          <w:iCs w:val="1"/>
          <w:color w:val="auto"/>
        </w:rPr>
        <w:t xml:space="preserve">Expense Reimbursements. </w:t>
      </w:r>
      <w:r>
        <w:rPr>
          <w:rFonts w:ascii="Arial" w:cs="Arial" w:eastAsia="Arial" w:hAnsi="Arial"/>
          <w:sz w:val="21"/>
          <w:szCs w:val="21"/>
          <w:color w:val="auto"/>
        </w:rPr>
        <w:t>To the extent that any reimbursements under this Agreement are subject</w:t>
      </w:r>
      <w:r>
        <w:rPr>
          <w:rFonts w:ascii="Arial" w:cs="Arial" w:eastAsia="Arial" w:hAnsi="Arial"/>
          <w:sz w:val="21"/>
          <w:szCs w:val="21"/>
          <w:i w:val="1"/>
          <w:iCs w:val="1"/>
          <w:color w:val="auto"/>
        </w:rPr>
        <w:t xml:space="preserve"> </w:t>
      </w:r>
      <w:r>
        <w:rPr>
          <w:rFonts w:ascii="Arial" w:cs="Arial" w:eastAsia="Arial" w:hAnsi="Arial"/>
          <w:sz w:val="21"/>
          <w:szCs w:val="21"/>
          <w:color w:val="auto"/>
        </w:rPr>
        <w:t>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spacing w:after="0" w:line="184" w:lineRule="exact"/>
        <w:rPr>
          <w:rFonts w:ascii="Arial" w:cs="Arial" w:eastAsia="Arial" w:hAnsi="Arial"/>
          <w:sz w:val="21"/>
          <w:szCs w:val="21"/>
          <w:color w:val="auto"/>
        </w:rPr>
      </w:pPr>
    </w:p>
    <w:p>
      <w:pPr>
        <w:jc w:val="both"/>
        <w:ind w:left="880" w:firstLine="789"/>
        <w:spacing w:after="0" w:line="248" w:lineRule="auto"/>
        <w:tabs>
          <w:tab w:leader="none" w:pos="2577" w:val="left"/>
        </w:tabs>
        <w:numPr>
          <w:ilvl w:val="1"/>
          <w:numId w:val="201"/>
        </w:numPr>
        <w:rPr>
          <w:rFonts w:ascii="Arial" w:cs="Arial" w:eastAsia="Arial" w:hAnsi="Arial"/>
          <w:sz w:val="21"/>
          <w:szCs w:val="21"/>
          <w:color w:val="auto"/>
        </w:rPr>
      </w:pPr>
      <w:r>
        <w:rPr>
          <w:rFonts w:ascii="Arial" w:cs="Arial" w:eastAsia="Arial" w:hAnsi="Arial"/>
          <w:sz w:val="21"/>
          <w:szCs w:val="21"/>
          <w:i w:val="1"/>
          <w:iCs w:val="1"/>
          <w:color w:val="auto"/>
        </w:rPr>
        <w:t xml:space="preserve">Installments. </w:t>
      </w:r>
      <w:r>
        <w:rPr>
          <w:rFonts w:ascii="Arial" w:cs="Arial" w:eastAsia="Arial" w:hAnsi="Arial"/>
          <w:sz w:val="21"/>
          <w:szCs w:val="21"/>
          <w:color w:val="auto"/>
        </w:rPr>
        <w:t>Executive’s right to receive any installment payments under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70" w:lineRule="exact"/>
        <w:rPr>
          <w:rFonts w:ascii="Arial" w:cs="Arial" w:eastAsia="Arial" w:hAnsi="Arial"/>
          <w:sz w:val="21"/>
          <w:szCs w:val="21"/>
          <w:color w:val="auto"/>
        </w:rPr>
      </w:pPr>
    </w:p>
    <w:p>
      <w:pPr>
        <w:ind w:left="860" w:hanging="852"/>
        <w:spacing w:after="0"/>
        <w:tabs>
          <w:tab w:leader="none" w:pos="86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Executive Acknowledgement</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Executive acknowledges that Executive has read and understands this Agreement, is fully aware of its legal effect, has not acted in reliance upon any representations or promises made by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1" w:name="page202"/>
    <w:bookmarkEnd w:id="201"/>
    <w:p>
      <w:pPr>
        <w:spacing w:after="0" w:line="250" w:lineRule="auto"/>
        <w:rPr>
          <w:sz w:val="20"/>
          <w:szCs w:val="20"/>
          <w:color w:val="auto"/>
        </w:rPr>
      </w:pPr>
      <w:r>
        <w:rPr>
          <w:rFonts w:ascii="Arial" w:cs="Arial" w:eastAsia="Arial" w:hAnsi="Arial"/>
          <w:sz w:val="22"/>
          <w:szCs w:val="22"/>
          <w:color w:val="auto"/>
        </w:rPr>
        <w:t>the Company other than those contained in writing herein, and has entered into this Agreement freely based on Executive’s own judgment.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2" w:name="page203"/>
    <w:bookmarkEnd w:id="202"/>
    <w:p>
      <w:pPr>
        <w:spacing w:after="0"/>
        <w:rPr>
          <w:sz w:val="20"/>
          <w:szCs w:val="20"/>
          <w:color w:val="auto"/>
        </w:rPr>
      </w:pPr>
      <w:r>
        <w:rPr>
          <w:rFonts w:ascii="Arial" w:cs="Arial" w:eastAsia="Arial" w:hAnsi="Arial"/>
          <w:sz w:val="19"/>
          <w:szCs w:val="19"/>
          <w:color w:val="auto"/>
        </w:rPr>
        <w:t>IN WITNESS WHEREOF, the Parties have executed this Agreement on the date and year first above written.</w:t>
      </w:r>
    </w:p>
    <w:p>
      <w:pPr>
        <w:sectPr>
          <w:pgSz w:w="11900" w:h="16838" w:orient="portrait"/>
          <w:cols w:equalWidth="0" w:num="1">
            <w:col w:w="9460"/>
          </w:cols>
          <w:pgMar w:left="1200" w:top="334" w:right="1239" w:bottom="1440" w:gutter="0" w:footer="0" w:header="0"/>
        </w:sectPr>
      </w:pPr>
    </w:p>
    <w:p>
      <w:pPr>
        <w:spacing w:after="0" w:line="262"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SERES THERAPEUTICS, INC.</w:t>
      </w:r>
    </w:p>
    <w:p>
      <w:pPr>
        <w:spacing w:after="0" w:line="200" w:lineRule="exact"/>
        <w:rPr>
          <w:sz w:val="20"/>
          <w:szCs w:val="20"/>
          <w:color w:val="auto"/>
        </w:rPr>
      </w:pPr>
    </w:p>
    <w:p>
      <w:pPr>
        <w:spacing w:after="0" w:line="287" w:lineRule="exact"/>
        <w:rPr>
          <w:sz w:val="20"/>
          <w:szCs w:val="20"/>
          <w:color w:val="auto"/>
        </w:rPr>
      </w:pPr>
    </w:p>
    <w:p>
      <w:pPr>
        <w:ind w:left="2500"/>
        <w:spacing w:after="0"/>
        <w:tabs>
          <w:tab w:leader="none" w:pos="3000" w:val="left"/>
        </w:tabs>
        <w:rPr>
          <w:sz w:val="20"/>
          <w:szCs w:val="20"/>
          <w:color w:val="auto"/>
        </w:rPr>
      </w:pPr>
      <w:r>
        <w:rPr>
          <w:rFonts w:ascii="Arial" w:cs="Arial" w:eastAsia="Arial" w:hAnsi="Arial"/>
          <w:sz w:val="20"/>
          <w:szCs w:val="20"/>
          <w:color w:val="auto"/>
        </w:rPr>
        <w:t>By:</w:t>
        <w:tab/>
        <w:t>/s/ Eric D. Shaff</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Name: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-143510</wp:posOffset>
            </wp:positionV>
            <wp:extent cx="25203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3020"/>
        <w:spacing w:after="0"/>
        <w:tabs>
          <w:tab w:leader="none" w:pos="3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 CEO</w:t>
      </w:r>
    </w:p>
    <w:p>
      <w:pPr>
        <w:spacing w:after="0" w:line="200" w:lineRule="exact"/>
        <w:rPr>
          <w:sz w:val="20"/>
          <w:szCs w:val="20"/>
          <w:color w:val="auto"/>
        </w:rPr>
      </w:pPr>
    </w:p>
    <w:p>
      <w:pPr>
        <w:spacing w:after="0" w:line="292" w:lineRule="exact"/>
        <w:rPr>
          <w:sz w:val="20"/>
          <w:szCs w:val="20"/>
          <w:color w:val="auto"/>
        </w:rPr>
      </w:pPr>
    </w:p>
    <w:p>
      <w:pPr>
        <w:jc w:val="right"/>
        <w:ind w:right="4900"/>
        <w:spacing w:after="0"/>
        <w:rPr>
          <w:sz w:val="20"/>
          <w:szCs w:val="20"/>
          <w:color w:val="auto"/>
        </w:rPr>
      </w:pPr>
      <w:r>
        <w:rPr>
          <w:rFonts w:ascii="Arial" w:cs="Arial" w:eastAsia="Arial" w:hAnsi="Arial"/>
          <w:sz w:val="20"/>
          <w:szCs w:val="20"/>
          <w:color w:val="auto"/>
        </w:rPr>
        <w:t>/s/ Teresa L. Young</w:t>
      </w:r>
    </w:p>
    <w:p>
      <w:pPr>
        <w:spacing w:after="0" w:line="27" w:lineRule="exact"/>
        <w:rPr>
          <w:sz w:val="20"/>
          <w:szCs w:val="20"/>
          <w:color w:val="auto"/>
        </w:rPr>
      </w:pPr>
    </w:p>
    <w:p>
      <w:pPr>
        <w:jc w:val="right"/>
        <w:ind w:right="4900"/>
        <w:spacing w:after="0"/>
        <w:rPr>
          <w:sz w:val="20"/>
          <w:szCs w:val="20"/>
          <w:color w:val="auto"/>
        </w:rPr>
      </w:pPr>
      <w:r>
        <w:rPr>
          <w:rFonts w:ascii="Arial" w:cs="Arial" w:eastAsia="Arial" w:hAnsi="Arial"/>
          <w:sz w:val="20"/>
          <w:szCs w:val="20"/>
          <w:color w:val="auto"/>
        </w:rPr>
        <w:t>Teresa L.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-143510</wp:posOffset>
            </wp:positionV>
            <wp:extent cx="25203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97790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00" w:top="334" w:right="1239" w:bottom="1440"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Separation Agreement and Release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Teresa L. Young (“</w:t>
      </w:r>
      <w:r>
        <w:rPr>
          <w:rFonts w:ascii="Arial" w:cs="Arial" w:eastAsia="Arial" w:hAnsi="Arial"/>
          <w:sz w:val="22"/>
          <w:szCs w:val="22"/>
          <w:u w:val="single" w:color="auto"/>
          <w:color w:val="auto"/>
        </w:rPr>
        <w:t>Executive</w:t>
      </w:r>
      <w:r>
        <w:rPr>
          <w:rFonts w:ascii="Arial" w:cs="Arial" w:eastAsia="Arial" w:hAnsi="Arial"/>
          <w:sz w:val="22"/>
          <w:szCs w:val="22"/>
          <w:color w:val="auto"/>
        </w:rPr>
        <w:t>”) and Seres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 Capitalized terms used but not defined in this Agreement shall have the meanings set forth in the Employment Agreement (as defined below).</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Parties have previously entered into that certain Amended and Restated Employment Agreement, dated as of _____________, 2021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w:t>
      </w:r>
    </w:p>
    <w:p>
      <w:pPr>
        <w:spacing w:after="0" w:line="17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WHEREAS, in connection with Executive’s termination of employment with the Company or a subsidiary or affiliate of the Company effective ________, 20__, the Parties wish to resolve any and all disputes, claims, complaints, grievances,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or Executive’s right to indemnification by the Company or any of its affiliates pursuant to contract or applicable law (collectively, the “</w:t>
      </w:r>
      <w:r>
        <w:rPr>
          <w:rFonts w:ascii="Arial" w:cs="Arial" w:eastAsia="Arial" w:hAnsi="Arial"/>
          <w:sz w:val="22"/>
          <w:szCs w:val="22"/>
          <w:u w:val="single" w:color="auto"/>
          <w:color w:val="auto"/>
        </w:rPr>
        <w:t>Retained Claims</w:t>
      </w:r>
      <w:r>
        <w:rPr>
          <w:rFonts w:ascii="Arial" w:cs="Arial" w:eastAsia="Arial" w:hAnsi="Arial"/>
          <w:sz w:val="22"/>
          <w:szCs w:val="22"/>
          <w:color w:val="auto"/>
        </w:rPr>
        <w:t>”).</w:t>
      </w:r>
    </w:p>
    <w:p>
      <w:pPr>
        <w:spacing w:after="0" w:line="18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5" w:lineRule="exact"/>
        <w:rPr>
          <w:sz w:val="20"/>
          <w:szCs w:val="20"/>
          <w:color w:val="auto"/>
        </w:rPr>
      </w:pPr>
    </w:p>
    <w:p>
      <w:pPr>
        <w:jc w:val="both"/>
        <w:ind w:firstLine="872"/>
        <w:spacing w:after="0" w:line="235" w:lineRule="auto"/>
        <w:tabs>
          <w:tab w:leader="none" w:pos="1674"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Severance Payments and Benefits; Salary and Benefits</w:t>
      </w:r>
      <w:r>
        <w:rPr>
          <w:rFonts w:ascii="Arial" w:cs="Arial" w:eastAsia="Arial" w:hAnsi="Arial"/>
          <w:sz w:val="22"/>
          <w:szCs w:val="22"/>
          <w:color w:val="auto"/>
        </w:rPr>
        <w:t>. The Company agrees to provide Executive with the severance payments and benefits described in Section 4(b) and/or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7" w:lineRule="exact"/>
        <w:rPr>
          <w:rFonts w:ascii="Arial" w:cs="Arial" w:eastAsia="Arial" w:hAnsi="Arial"/>
          <w:sz w:val="22"/>
          <w:szCs w:val="22"/>
          <w:color w:val="auto"/>
        </w:rPr>
      </w:pPr>
    </w:p>
    <w:p>
      <w:pPr>
        <w:jc w:val="both"/>
        <w:ind w:firstLine="872"/>
        <w:spacing w:after="0" w:line="274" w:lineRule="auto"/>
        <w:tabs>
          <w:tab w:leader="none" w:pos="1674"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Executive, on Executive’s own behalf and on behalf of any of Executive’s affiliated companies or entities and any of Executive’s or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4" w:name="page205"/>
    <w:bookmarkEnd w:id="204"/>
    <w:p>
      <w:pPr>
        <w:jc w:val="both"/>
        <w:spacing w:after="0" w:line="257" w:lineRule="auto"/>
        <w:rPr>
          <w:sz w:val="20"/>
          <w:szCs w:val="20"/>
          <w:color w:val="auto"/>
        </w:rPr>
      </w:pPr>
      <w:r>
        <w:rPr>
          <w:rFonts w:ascii="Arial" w:cs="Arial" w:eastAsia="Arial" w:hAnsi="Arial"/>
          <w:sz w:val="21"/>
          <w:szCs w:val="21"/>
          <w:color w:val="auto"/>
        </w:rPr>
        <w:t>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69" w:lineRule="exact"/>
        <w:rPr>
          <w:sz w:val="20"/>
          <w:szCs w:val="20"/>
          <w:color w:val="auto"/>
        </w:rPr>
      </w:pPr>
    </w:p>
    <w:p>
      <w:pPr>
        <w:ind w:right="20" w:firstLine="1735"/>
        <w:spacing w:after="0" w:line="274" w:lineRule="auto"/>
        <w:tabs>
          <w:tab w:leader="none" w:pos="2615"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any and all claims relating to or arising from Executive’s employment or service relationship with the Company or any of its direct or indirect subsidiaries or affiliates and the termination of that relationship;</w:t>
      </w:r>
    </w:p>
    <w:p>
      <w:pPr>
        <w:spacing w:after="0" w:line="150"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84" w:lineRule="exact"/>
        <w:rPr>
          <w:rFonts w:ascii="Arial" w:cs="Arial" w:eastAsia="Arial" w:hAnsi="Arial"/>
          <w:sz w:val="22"/>
          <w:szCs w:val="22"/>
          <w:color w:val="auto"/>
        </w:rPr>
      </w:pPr>
    </w:p>
    <w:p>
      <w:pPr>
        <w:jc w:val="both"/>
        <w:ind w:firstLine="1735"/>
        <w:spacing w:after="0" w:line="235" w:lineRule="auto"/>
        <w:tabs>
          <w:tab w:leader="none" w:pos="2615"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7" w:lineRule="exact"/>
        <w:rPr>
          <w:rFonts w:ascii="Arial" w:cs="Arial" w:eastAsia="Arial" w:hAnsi="Arial"/>
          <w:sz w:val="22"/>
          <w:szCs w:val="22"/>
          <w:color w:val="auto"/>
        </w:rPr>
      </w:pPr>
    </w:p>
    <w:p>
      <w:pPr>
        <w:jc w:val="both"/>
        <w:ind w:firstLine="1735"/>
        <w:spacing w:after="0" w:line="235" w:lineRule="auto"/>
        <w:tabs>
          <w:tab w:leader="none" w:pos="262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06" w:lineRule="exact"/>
        <w:rPr>
          <w:rFonts w:ascii="Arial" w:cs="Arial" w:eastAsia="Arial" w:hAnsi="Arial"/>
          <w:sz w:val="22"/>
          <w:szCs w:val="22"/>
          <w:color w:val="auto"/>
        </w:rPr>
      </w:pPr>
    </w:p>
    <w:p>
      <w:pPr>
        <w:ind w:left="2700" w:hanging="965"/>
        <w:spacing w:after="0"/>
        <w:tabs>
          <w:tab w:leader="none" w:pos="270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any and all claims arising out of any other laws and regulations relating to employment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employment discrimination;</w:t>
      </w:r>
    </w:p>
    <w:p>
      <w:pPr>
        <w:spacing w:after="0" w:line="188" w:lineRule="exact"/>
        <w:rPr>
          <w:rFonts w:ascii="Arial" w:cs="Arial" w:eastAsia="Arial" w:hAnsi="Arial"/>
          <w:sz w:val="21"/>
          <w:szCs w:val="21"/>
          <w:color w:val="auto"/>
        </w:rPr>
      </w:pPr>
    </w:p>
    <w:p>
      <w:pPr>
        <w:ind w:right="20" w:firstLine="1735"/>
        <w:spacing w:after="0" w:line="250" w:lineRule="auto"/>
        <w:tabs>
          <w:tab w:leader="none" w:pos="262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2"/>
          <w:szCs w:val="22"/>
          <w:color w:val="auto"/>
        </w:rPr>
      </w:pPr>
    </w:p>
    <w:p>
      <w:pPr>
        <w:ind w:left="2580" w:hanging="845"/>
        <w:spacing w:after="0"/>
        <w:tabs>
          <w:tab w:leader="none" w:pos="258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5" w:name="page206"/>
    <w:bookmarkEnd w:id="205"/>
    <w:p>
      <w:pPr>
        <w:jc w:val="both"/>
        <w:spacing w:after="0" w:line="270"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Executive’s right to receive an award for information provided to any such government agencies),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w:t>
      </w:r>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271" w:lineRule="auto"/>
        <w:tabs>
          <w:tab w:leader="none" w:pos="1674"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Executive is waiving and releasing any rights Executive may have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expressly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872"/>
        <w:spacing w:after="0" w:line="250" w:lineRule="auto"/>
        <w:tabs>
          <w:tab w:leader="none" w:pos="1674"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Post-Termination Obligations</w:t>
      </w:r>
      <w:r>
        <w:rPr>
          <w:rFonts w:ascii="Arial" w:cs="Arial" w:eastAsia="Arial" w:hAnsi="Arial"/>
          <w:sz w:val="22"/>
          <w:szCs w:val="22"/>
          <w:color w:val="auto"/>
        </w:rPr>
        <w:t>. Executive reaffirms Executive’s continuing obligations under the Proprietary Information Agreement between Executive and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6" w:name="page207"/>
    <w:bookmarkEnd w:id="206"/>
    <w:p>
      <w:pPr>
        <w:spacing w:after="0"/>
        <w:rPr>
          <w:sz w:val="20"/>
          <w:szCs w:val="20"/>
          <w:color w:val="auto"/>
        </w:rPr>
      </w:pPr>
      <w:r>
        <w:rPr>
          <w:rFonts w:ascii="Arial" w:cs="Arial" w:eastAsia="Arial" w:hAnsi="Arial"/>
          <w:sz w:val="19"/>
          <w:szCs w:val="19"/>
          <w:color w:val="auto"/>
        </w:rPr>
        <w:t>dated as of [_________], and, without limiting the foregoing, Executive remakes the non-competition covenants set forth in the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Proprietary Information Agreement as if set forth herein. In addition, Executive agrees to refrain from Disparaging (as defined below) the Company and its affiliates, including their respective services, technologies, practices, directors and officers. The Company agrees to instruct its officers and directors to refrain from Disparaging Executive. Nothing in this Section shall preclude any Party from making truthful statements that are reasonably necessary to comply with applicable law, regulation or legal process, or to defend or enforce a Party’s rights under this Agreement or the Employment Agreement. For purposes of this Agreement, “Disparaging” means making remarks, comments or statements, whether written or oral, that impugn the character, integrity, reputation or abilities of the individual or entity being disparaged.</w:t>
      </w:r>
    </w:p>
    <w:p>
      <w:pPr>
        <w:spacing w:after="0" w:line="159" w:lineRule="exact"/>
        <w:rPr>
          <w:sz w:val="20"/>
          <w:szCs w:val="20"/>
          <w:color w:val="auto"/>
        </w:rPr>
      </w:pPr>
    </w:p>
    <w:p>
      <w:pPr>
        <w:jc w:val="both"/>
        <w:ind w:firstLine="872"/>
        <w:spacing w:after="0" w:line="257" w:lineRule="auto"/>
        <w:tabs>
          <w:tab w:leader="none" w:pos="1674"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9" w:lineRule="exact"/>
        <w:rPr>
          <w:sz w:val="20"/>
          <w:szCs w:val="20"/>
          <w:color w:val="auto"/>
        </w:rPr>
      </w:pPr>
    </w:p>
    <w:p>
      <w:pPr>
        <w:ind w:firstLine="872"/>
        <w:spacing w:after="0" w:line="250" w:lineRule="auto"/>
        <w:tabs>
          <w:tab w:leader="none" w:pos="1620"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Executive and a duly authorized officer of the Company.</w:t>
      </w:r>
    </w:p>
    <w:p>
      <w:pPr>
        <w:spacing w:after="0" w:line="175" w:lineRule="exact"/>
        <w:rPr>
          <w:sz w:val="20"/>
          <w:szCs w:val="20"/>
          <w:color w:val="auto"/>
        </w:rPr>
      </w:pPr>
    </w:p>
    <w:p>
      <w:pPr>
        <w:ind w:firstLine="872"/>
        <w:spacing w:after="0" w:line="250" w:lineRule="auto"/>
        <w:tabs>
          <w:tab w:leader="none" w:pos="1674"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 This Agreement shall be subject to the provisions of Sections 9(a), 9(c) and 9(i) of the Employment Agreement.</w:t>
      </w:r>
    </w:p>
    <w:p>
      <w:pPr>
        <w:spacing w:after="0" w:line="174" w:lineRule="exact"/>
        <w:rPr>
          <w:rFonts w:ascii="Arial" w:cs="Arial" w:eastAsia="Arial" w:hAnsi="Arial"/>
          <w:sz w:val="22"/>
          <w:szCs w:val="22"/>
          <w:color w:val="auto"/>
        </w:rPr>
      </w:pPr>
    </w:p>
    <w:p>
      <w:pPr>
        <w:jc w:val="both"/>
        <w:ind w:firstLine="872"/>
        <w:spacing w:after="0"/>
        <w:tabs>
          <w:tab w:leader="none" w:pos="1674"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has seven business days after Executive signs this Agreement to revoke it and this Agreement will become effective upon the expiration of such seven business day period, so long as it has been signed by the Parties and has not been revoked by Executive before that date.</w:t>
      </w:r>
    </w:p>
    <w:p>
      <w:pPr>
        <w:spacing w:after="0" w:line="186" w:lineRule="exact"/>
        <w:rPr>
          <w:rFonts w:ascii="Arial" w:cs="Arial" w:eastAsia="Arial" w:hAnsi="Arial"/>
          <w:sz w:val="22"/>
          <w:szCs w:val="22"/>
          <w:color w:val="auto"/>
        </w:rPr>
      </w:pPr>
    </w:p>
    <w:p>
      <w:pPr>
        <w:jc w:val="both"/>
        <w:ind w:firstLine="872"/>
        <w:spacing w:after="0" w:line="271" w:lineRule="auto"/>
        <w:tabs>
          <w:tab w:leader="none" w:pos="1674"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Trade Secrets; Whistleblower Protections</w:t>
      </w:r>
      <w:r>
        <w:rPr>
          <w:rFonts w:ascii="Arial" w:cs="Arial" w:eastAsia="Arial" w:hAnsi="Arial"/>
          <w:sz w:val="19"/>
          <w:szCs w:val="19"/>
          <w:color w:val="auto"/>
        </w:rPr>
        <w:t>. In accordance with 18 U.S.C. §1833, notwithstanding anything to the contrary in this Agreement, the Employment Agreement, the Proprietary Information Agreement or any other agreement between Executive and the Company or any of its subsidiaries in effect as of the date Executive receives this Agreement (together, the “</w:t>
      </w:r>
      <w:r>
        <w:rPr>
          <w:rFonts w:ascii="Arial" w:cs="Arial" w:eastAsia="Arial" w:hAnsi="Arial"/>
          <w:sz w:val="19"/>
          <w:szCs w:val="19"/>
          <w:u w:val="single" w:color="auto"/>
          <w:color w:val="auto"/>
        </w:rPr>
        <w:t>Subject Documents</w:t>
      </w:r>
      <w:r>
        <w:rPr>
          <w:rFonts w:ascii="Arial" w:cs="Arial" w:eastAsia="Arial" w:hAnsi="Arial"/>
          <w:sz w:val="19"/>
          <w:szCs w:val="19"/>
          <w:color w:val="auto"/>
        </w:rPr>
        <w:t>”): (a) Executive will not be in breach of the Subject Documents,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7" w:name="page208"/>
    <w:bookmarkEnd w:id="207"/>
    <w:p>
      <w:pPr>
        <w:spacing w:after="0" w:line="250" w:lineRule="auto"/>
        <w:rPr>
          <w:sz w:val="20"/>
          <w:szCs w:val="20"/>
          <w:color w:val="auto"/>
        </w:rPr>
      </w:pPr>
      <w:r>
        <w:rPr>
          <w:rFonts w:ascii="Arial" w:cs="Arial" w:eastAsia="Arial" w:hAnsi="Arial"/>
          <w:sz w:val="22"/>
          <w:szCs w:val="22"/>
          <w:color w:val="auto"/>
        </w:rPr>
        <w:t>law or regulation or releases or restrains Executive’s right to receive an award for information provided to any such government agencies.</w:t>
      </w:r>
    </w:p>
    <w:p>
      <w:pPr>
        <w:spacing w:after="0" w:line="175" w:lineRule="exact"/>
        <w:rPr>
          <w:sz w:val="20"/>
          <w:szCs w:val="20"/>
          <w:color w:val="auto"/>
        </w:rPr>
      </w:pPr>
    </w:p>
    <w:p>
      <w:pPr>
        <w:jc w:val="both"/>
        <w:ind w:firstLine="872"/>
        <w:spacing w:after="0" w:line="246" w:lineRule="auto"/>
        <w:tabs>
          <w:tab w:leader="none" w:pos="1782"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Voluntary Execution of Agreement</w:t>
      </w:r>
      <w:r>
        <w:rPr>
          <w:rFonts w:ascii="Arial" w:cs="Arial" w:eastAsia="Arial" w:hAnsi="Arial"/>
          <w:sz w:val="21"/>
          <w:szCs w:val="21"/>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8" w:name="page209"/>
    <w:bookmarkEnd w:id="208"/>
    <w:p>
      <w:pPr>
        <w:ind w:left="88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wp:posOffset>
            </wp:positionV>
            <wp:extent cx="66179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Teresa L. Young</w:t>
      </w:r>
    </w:p>
    <w:p>
      <w:pPr>
        <w:spacing w:after="0" w:line="200" w:lineRule="exact"/>
        <w:rPr>
          <w:sz w:val="20"/>
          <w:szCs w:val="20"/>
          <w:color w:val="auto"/>
        </w:rPr>
      </w:pPr>
    </w:p>
    <w:p>
      <w:pPr>
        <w:spacing w:after="0" w:line="252"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auto"/>
        </w:rPr>
        <w:t>SERES THERAPEUTICS, INC.</w:t>
      </w:r>
    </w:p>
    <w:p>
      <w:pPr>
        <w:spacing w:after="0" w:line="200" w:lineRule="exact"/>
        <w:rPr>
          <w:sz w:val="20"/>
          <w:szCs w:val="20"/>
          <w:color w:val="auto"/>
        </w:rPr>
      </w:pPr>
    </w:p>
    <w:p>
      <w:pPr>
        <w:spacing w:after="0" w:line="282" w:lineRule="exact"/>
        <w:rPr>
          <w:sz w:val="20"/>
          <w:szCs w:val="20"/>
          <w:color w:val="auto"/>
        </w:rPr>
      </w:pPr>
    </w:p>
    <w:p>
      <w:pPr>
        <w:spacing w:after="0"/>
        <w:tabs>
          <w:tab w:leader="none" w:pos="59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wp:posOffset>
            </wp:positionV>
            <wp:extent cx="66179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ind w:left="6380"/>
        <w:spacing w:after="0"/>
        <w:rPr>
          <w:sz w:val="20"/>
          <w:szCs w:val="20"/>
          <w:color w:val="auto"/>
        </w:rPr>
      </w:pPr>
      <w:r>
        <w:rPr>
          <w:rFonts w:ascii="Arial" w:cs="Arial" w:eastAsia="Arial" w:hAnsi="Arial"/>
          <w:sz w:val="22"/>
          <w:szCs w:val="22"/>
          <w:color w:val="auto"/>
        </w:rPr>
        <w:t>Name:</w:t>
      </w:r>
    </w:p>
    <w:p>
      <w:pPr>
        <w:ind w:left="63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60"/>
          </w:cols>
          <w:pgMar w:left="320" w:top="685" w:right="1319" w:bottom="1440" w:gutter="0" w:footer="0" w:header="0"/>
        </w:sectPr>
      </w:pPr>
    </w:p>
    <w:bookmarkStart w:id="209" w:name="page210"/>
    <w:bookmarkEnd w:id="209"/>
    <w:p>
      <w:pPr>
        <w:ind w:left="10020"/>
        <w:spacing w:after="0"/>
        <w:rPr>
          <w:sz w:val="20"/>
          <w:szCs w:val="20"/>
          <w:color w:val="auto"/>
        </w:rPr>
      </w:pPr>
      <w:r>
        <w:rPr>
          <w:rFonts w:ascii="Arial" w:cs="Arial" w:eastAsia="Arial" w:hAnsi="Arial"/>
          <w:sz w:val="19"/>
          <w:szCs w:val="19"/>
          <w:b w:val="1"/>
          <w:bCs w:val="1"/>
          <w:color w:val="auto"/>
        </w:rPr>
        <w:t>Exhibit 10.14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Amended and Restated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January 29, 2021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is made by and between Seres Therapeutics, Inc., a Delaware corporation (together with any successor thereto, the “</w:t>
      </w:r>
      <w:r>
        <w:rPr>
          <w:rFonts w:ascii="Arial" w:cs="Arial" w:eastAsia="Arial" w:hAnsi="Arial"/>
          <w:sz w:val="22"/>
          <w:szCs w:val="22"/>
          <w:u w:val="single" w:color="auto"/>
          <w:color w:val="auto"/>
        </w:rPr>
        <w:t>Company</w:t>
      </w:r>
      <w:r>
        <w:rPr>
          <w:rFonts w:ascii="Arial" w:cs="Arial" w:eastAsia="Arial" w:hAnsi="Arial"/>
          <w:sz w:val="22"/>
          <w:szCs w:val="22"/>
          <w:color w:val="auto"/>
        </w:rPr>
        <w:t>”), and Lisa von Moltke, M.D. (“</w:t>
      </w:r>
      <w:r>
        <w:rPr>
          <w:rFonts w:ascii="Arial" w:cs="Arial" w:eastAsia="Arial" w:hAnsi="Arial"/>
          <w:sz w:val="22"/>
          <w:szCs w:val="22"/>
          <w:u w:val="single" w:color="auto"/>
          <w:color w:val="auto"/>
        </w:rPr>
        <w:t>Executive</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852"/>
        <w:spacing w:after="0" w:line="238" w:lineRule="auto"/>
        <w:tabs>
          <w:tab w:leader="none" w:pos="8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It is the desire of the Company to assure itself of the services of Executive as of the Effective Date and thereafter by entering into this Agreement, which shall supersede and replace any prior employment arrangement, including, but not limited to, the Employment Agreement, dated as of April 2, 2020, by and between the Company and Executive, as amended (the “</w:t>
      </w:r>
      <w:r>
        <w:rPr>
          <w:rFonts w:ascii="Arial" w:cs="Arial" w:eastAsia="Arial" w:hAnsi="Arial"/>
          <w:sz w:val="22"/>
          <w:szCs w:val="22"/>
          <w:u w:val="single" w:color="auto"/>
          <w:color w:val="auto"/>
        </w:rPr>
        <w:t>Prior Agreement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Executive and the Company mutually desire that Executive provide services to the Company on the terms herein 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set forth below, the Parties hereto agree as follows:</w:t>
      </w:r>
    </w:p>
    <w:p>
      <w:pPr>
        <w:spacing w:after="0" w:line="169" w:lineRule="exact"/>
        <w:rPr>
          <w:sz w:val="20"/>
          <w:szCs w:val="20"/>
          <w:color w:val="auto"/>
        </w:rPr>
      </w:pPr>
    </w:p>
    <w:p>
      <w:pPr>
        <w:ind w:left="820" w:hanging="812"/>
        <w:spacing w:after="0"/>
        <w:tabs>
          <w:tab w:leader="none" w:pos="820"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21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Effective as of the Effective Date, the Company shall continue to employ Executive and Executive shall remain in the employ of the Company, for the period and in the positions set forth in this </w:t>
      </w:r>
      <w:r>
        <w:rPr>
          <w:rFonts w:ascii="Arial" w:cs="Arial" w:eastAsia="Arial" w:hAnsi="Arial"/>
          <w:sz w:val="22"/>
          <w:szCs w:val="22"/>
          <w:u w:val="single" w:color="auto"/>
          <w:color w:val="auto"/>
        </w:rPr>
        <w:t>Section 1</w:t>
      </w:r>
      <w:r>
        <w:rPr>
          <w:rFonts w:ascii="Arial" w:cs="Arial" w:eastAsia="Arial" w:hAnsi="Arial"/>
          <w:sz w:val="22"/>
          <w:szCs w:val="22"/>
          <w:color w:val="auto"/>
        </w:rPr>
        <w:t>, and subject to the other terms and conditions herein provided.</w:t>
      </w:r>
    </w:p>
    <w:p>
      <w:pPr>
        <w:spacing w:after="0" w:line="186" w:lineRule="exact"/>
        <w:rPr>
          <w:rFonts w:ascii="Arial" w:cs="Arial" w:eastAsia="Arial" w:hAnsi="Arial"/>
          <w:sz w:val="22"/>
          <w:szCs w:val="22"/>
          <w:color w:val="auto"/>
        </w:rPr>
      </w:pPr>
    </w:p>
    <w:p>
      <w:pPr>
        <w:jc w:val="both"/>
        <w:ind w:firstLine="872"/>
        <w:spacing w:after="0" w:line="275" w:lineRule="auto"/>
        <w:tabs>
          <w:tab w:leader="none" w:pos="1763"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9"/>
          <w:szCs w:val="19"/>
          <w:u w:val="single" w:color="auto"/>
          <w:color w:val="auto"/>
        </w:rPr>
        <w:t>Section 3(b)</w:t>
      </w:r>
      <w:r>
        <w:rPr>
          <w:rFonts w:ascii="Arial" w:cs="Arial" w:eastAsia="Arial" w:hAnsi="Arial"/>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shall commence on the Effective Date and end on the date this Agreement is terminated under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872"/>
        <w:spacing w:after="0" w:line="249" w:lineRule="auto"/>
        <w:tabs>
          <w:tab w:leader="none" w:pos="1751" w:val="left"/>
        </w:tabs>
        <w:numPr>
          <w:ilvl w:val="1"/>
          <w:numId w:val="211"/>
        </w:numPr>
        <w:rPr>
          <w:rFonts w:ascii="Arial" w:cs="Arial" w:eastAsia="Arial" w:hAnsi="Arial"/>
          <w:sz w:val="21"/>
          <w:szCs w:val="21"/>
          <w:color w:val="auto"/>
        </w:rPr>
      </w:pPr>
      <w:r>
        <w:rPr>
          <w:rFonts w:ascii="Arial" w:cs="Arial" w:eastAsia="Arial" w:hAnsi="Arial"/>
          <w:sz w:val="21"/>
          <w:szCs w:val="21"/>
          <w:u w:val="single" w:color="auto"/>
          <w:color w:val="auto"/>
        </w:rPr>
        <w:t>Positions and Duties</w:t>
      </w:r>
      <w:r>
        <w:rPr>
          <w:rFonts w:ascii="Arial" w:cs="Arial" w:eastAsia="Arial" w:hAnsi="Arial"/>
          <w:sz w:val="21"/>
          <w:szCs w:val="21"/>
          <w:color w:val="auto"/>
        </w:rPr>
        <w:t>. During the Term, Executive shall serve as Executive Vice President and Chief Medical Officer of the Company, initially reporting directly to the Chief Executive Officer of the Company (the “</w:t>
      </w:r>
      <w:r>
        <w:rPr>
          <w:rFonts w:ascii="Arial" w:cs="Arial" w:eastAsia="Arial" w:hAnsi="Arial"/>
          <w:sz w:val="21"/>
          <w:szCs w:val="21"/>
          <w:u w:val="single" w:color="auto"/>
          <w:color w:val="auto"/>
        </w:rPr>
        <w:t>CEO</w:t>
      </w:r>
      <w:r>
        <w:rPr>
          <w:rFonts w:ascii="Arial" w:cs="Arial" w:eastAsia="Arial" w:hAnsi="Arial"/>
          <w:sz w:val="21"/>
          <w:szCs w:val="21"/>
          <w:color w:val="auto"/>
        </w:rPr>
        <w:t>”) with such responsibilities, duties and authority normally associated with such positions and as may from time to time be assigned to Executive by the CEO. Executive shall devote substantially all of Executive’s working time and efforts to the business and affairs of the Company (which shall include service to its affiliates, if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0" w:name="page211"/>
    <w:bookmarkEnd w:id="210"/>
    <w:p>
      <w:pPr>
        <w:jc w:val="both"/>
        <w:spacing w:after="0" w:line="246" w:lineRule="auto"/>
        <w:rPr>
          <w:sz w:val="20"/>
          <w:szCs w:val="20"/>
          <w:color w:val="auto"/>
        </w:rPr>
      </w:pPr>
      <w:r>
        <w:rPr>
          <w:rFonts w:ascii="Arial" w:cs="Arial" w:eastAsia="Arial" w:hAnsi="Arial"/>
          <w:sz w:val="21"/>
          <w:szCs w:val="21"/>
          <w:color w:val="auto"/>
        </w:rPr>
        <w:t>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21"/>
          <w:szCs w:val="21"/>
          <w:u w:val="single" w:color="auto"/>
          <w:color w:val="auto"/>
        </w:rPr>
        <w:t>Policy</w:t>
      </w:r>
      <w:r>
        <w:rPr>
          <w:rFonts w:ascii="Arial" w:cs="Arial" w:eastAsia="Arial" w:hAnsi="Arial"/>
          <w:sz w:val="21"/>
          <w:szCs w:val="21"/>
          <w:color w:val="auto"/>
        </w:rPr>
        <w:t>”).</w:t>
      </w:r>
    </w:p>
    <w:p>
      <w:pPr>
        <w:spacing w:after="0" w:line="178" w:lineRule="exact"/>
        <w:rPr>
          <w:sz w:val="20"/>
          <w:szCs w:val="20"/>
          <w:color w:val="auto"/>
        </w:rPr>
      </w:pPr>
    </w:p>
    <w:p>
      <w:pPr>
        <w:ind w:left="820" w:hanging="812"/>
        <w:spacing w:after="0"/>
        <w:tabs>
          <w:tab w:leader="none" w:pos="82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Related Matters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Annual Base Salary</w:t>
      </w:r>
      <w:r>
        <w:rPr>
          <w:rFonts w:ascii="Arial" w:cs="Arial" w:eastAsia="Arial" w:hAnsi="Arial"/>
          <w:sz w:val="22"/>
          <w:szCs w:val="22"/>
          <w:color w:val="auto"/>
        </w:rPr>
        <w:t>. During the Term, Executive shall receive a base salary at a rate of $450,000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of the Board (in either case, the “</w:t>
      </w:r>
      <w:r>
        <w:rPr>
          <w:rFonts w:ascii="Arial" w:cs="Arial" w:eastAsia="Arial" w:hAnsi="Arial"/>
          <w:sz w:val="22"/>
          <w:szCs w:val="22"/>
          <w:u w:val="single" w:color="auto"/>
          <w:color w:val="auto"/>
        </w:rPr>
        <w:t>Board,</w:t>
      </w:r>
      <w:r>
        <w:rPr>
          <w:rFonts w:ascii="Arial" w:cs="Arial" w:eastAsia="Arial" w:hAnsi="Arial"/>
          <w:sz w:val="22"/>
          <w:szCs w:val="22"/>
          <w:color w:val="auto"/>
        </w:rPr>
        <w:t>” and (such annual base salary, as it may be adjusted from time to time, the “</w:t>
      </w:r>
      <w:r>
        <w:rPr>
          <w:rFonts w:ascii="Arial" w:cs="Arial" w:eastAsia="Arial" w:hAnsi="Arial"/>
          <w:sz w:val="22"/>
          <w:szCs w:val="22"/>
          <w:u w:val="single" w:color="auto"/>
          <w:color w:val="auto"/>
        </w:rPr>
        <w:t>Annual Base Salary</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9"/>
          <w:szCs w:val="19"/>
          <w:u w:val="single" w:color="auto"/>
          <w:color w:val="auto"/>
        </w:rPr>
        <w:t>Annual Bonus</w:t>
      </w:r>
      <w:r>
        <w:rPr>
          <w:rFonts w:ascii="Arial" w:cs="Arial" w:eastAsia="Arial" w:hAnsi="Arial"/>
          <w:sz w:val="19"/>
          <w:szCs w:val="19"/>
          <w:color w:val="auto"/>
        </w:rPr>
        <w:t>”) shall be targeted at 40% of Executive’s Annual Base Salary (such target, as may be adjusted by the Board from time to time, the “</w:t>
      </w:r>
      <w:r>
        <w:rPr>
          <w:rFonts w:ascii="Arial" w:cs="Arial" w:eastAsia="Arial" w:hAnsi="Arial"/>
          <w:sz w:val="19"/>
          <w:szCs w:val="19"/>
          <w:u w:val="single" w:color="auto"/>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9"/>
          <w:szCs w:val="19"/>
          <w:u w:val="single" w:color="auto"/>
          <w:color w:val="auto"/>
        </w:rPr>
        <w:t>Section 4(b)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872"/>
        <w:spacing w:after="0" w:line="236" w:lineRule="auto"/>
        <w:tabs>
          <w:tab w:leader="none" w:pos="1751"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2"/>
          <w:szCs w:val="22"/>
          <w:color w:val="auto"/>
        </w:rPr>
      </w:pPr>
    </w:p>
    <w:p>
      <w:pPr>
        <w:ind w:firstLine="872"/>
        <w:spacing w:after="0" w:line="328" w:lineRule="auto"/>
        <w:tabs>
          <w:tab w:leader="none" w:pos="1763"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During the Term, Executive shall be entitled to paid personal leave in accordance with the Company’s Policies. Any vacation shall be taken at the reasonable and mutual convenience of the Company and Executive.</w:t>
      </w:r>
    </w:p>
    <w:p>
      <w:pPr>
        <w:spacing w:after="0" w:line="104" w:lineRule="exact"/>
        <w:rPr>
          <w:rFonts w:ascii="Arial" w:cs="Arial" w:eastAsia="Arial" w:hAnsi="Arial"/>
          <w:sz w:val="19"/>
          <w:szCs w:val="19"/>
          <w:color w:val="auto"/>
        </w:rPr>
      </w:pPr>
    </w:p>
    <w:p>
      <w:pPr>
        <w:jc w:val="both"/>
        <w:ind w:firstLine="872"/>
        <w:spacing w:after="0"/>
        <w:tabs>
          <w:tab w:leader="none" w:pos="1751"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rFonts w:ascii="Arial" w:cs="Arial" w:eastAsia="Arial" w:hAnsi="Arial"/>
          <w:sz w:val="22"/>
          <w:szCs w:val="22"/>
          <w:color w:val="auto"/>
        </w:rPr>
      </w:pPr>
    </w:p>
    <w:p>
      <w:pPr>
        <w:jc w:val="both"/>
        <w:ind w:firstLine="872"/>
        <w:spacing w:after="0"/>
        <w:tabs>
          <w:tab w:leader="none" w:pos="1727"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Key Person Insurance</w:t>
      </w:r>
      <w:r>
        <w:rPr>
          <w:rFonts w:ascii="Arial" w:cs="Arial" w:eastAsia="Arial" w:hAnsi="Arial"/>
          <w:sz w:val="22"/>
          <w:szCs w:val="22"/>
          <w:color w:val="auto"/>
        </w:rPr>
        <w:t>. At any time during the Term, the Company shall have the right to insure the life of Executive for the Company’s sole benefit. The Company shall have the right to determine the amount of insurance and the type of policy. Executive shall reasonably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jc w:val="both"/>
        <w:spacing w:after="0" w:line="236" w:lineRule="auto"/>
        <w:rPr>
          <w:sz w:val="20"/>
          <w:szCs w:val="20"/>
          <w:color w:val="auto"/>
        </w:rPr>
      </w:pPr>
      <w:r>
        <w:rPr>
          <w:rFonts w:ascii="Arial" w:cs="Arial" w:eastAsia="Arial" w:hAnsi="Arial"/>
          <w:sz w:val="22"/>
          <w:szCs w:val="22"/>
          <w:color w:val="auto"/>
        </w:rPr>
        <w:t>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81" w:lineRule="exact"/>
        <w:rPr>
          <w:sz w:val="20"/>
          <w:szCs w:val="20"/>
          <w:color w:val="auto"/>
        </w:rPr>
      </w:pPr>
    </w:p>
    <w:p>
      <w:pPr>
        <w:ind w:left="820" w:hanging="812"/>
        <w:spacing w:after="0"/>
        <w:tabs>
          <w:tab w:leader="none" w:pos="82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w:t>
      </w:r>
    </w:p>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05" w:lineRule="exact"/>
        <w:rPr>
          <w:sz w:val="20"/>
          <w:szCs w:val="20"/>
          <w:color w:val="auto"/>
        </w:rPr>
      </w:pPr>
    </w:p>
    <w:p>
      <w:pPr>
        <w:ind w:left="1760" w:hanging="888"/>
        <w:spacing w:after="0"/>
        <w:tabs>
          <w:tab w:leader="none" w:pos="176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Circumstances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20" w:hanging="851"/>
        <w:spacing w:after="0"/>
        <w:tabs>
          <w:tab w:leader="none" w:pos="2520" w:val="left"/>
        </w:tabs>
        <w:numPr>
          <w:ilvl w:val="1"/>
          <w:numId w:val="214"/>
        </w:numPr>
        <w:rPr>
          <w:rFonts w:ascii="Arial" w:cs="Arial" w:eastAsia="Arial" w:hAnsi="Arial"/>
          <w:sz w:val="22"/>
          <w:szCs w:val="22"/>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Executive’s employment hereunder shall terminate upon Executive’s death.</w:t>
      </w:r>
    </w:p>
    <w:p>
      <w:pPr>
        <w:spacing w:after="0" w:line="206" w:lineRule="exact"/>
        <w:rPr>
          <w:rFonts w:ascii="Arial" w:cs="Arial" w:eastAsia="Arial" w:hAnsi="Arial"/>
          <w:sz w:val="22"/>
          <w:szCs w:val="22"/>
          <w:color w:val="auto"/>
        </w:rPr>
      </w:pPr>
    </w:p>
    <w:p>
      <w:pPr>
        <w:ind w:left="880" w:right="20" w:firstLine="789"/>
        <w:spacing w:after="0" w:line="250" w:lineRule="auto"/>
        <w:tabs>
          <w:tab w:leader="none" w:pos="2589" w:val="left"/>
        </w:tabs>
        <w:numPr>
          <w:ilvl w:val="1"/>
          <w:numId w:val="214"/>
        </w:numPr>
        <w:rPr>
          <w:rFonts w:ascii="Arial" w:cs="Arial" w:eastAsia="Arial" w:hAnsi="Arial"/>
          <w:sz w:val="22"/>
          <w:szCs w:val="22"/>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If Executive has incurred a Disability, as defined below, the Company may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w:t>
      </w:r>
    </w:p>
    <w:p>
      <w:pPr>
        <w:spacing w:after="0" w:line="174" w:lineRule="exact"/>
        <w:rPr>
          <w:rFonts w:ascii="Arial" w:cs="Arial" w:eastAsia="Arial" w:hAnsi="Arial"/>
          <w:sz w:val="22"/>
          <w:szCs w:val="22"/>
          <w:color w:val="auto"/>
        </w:rPr>
      </w:pPr>
    </w:p>
    <w:p>
      <w:pPr>
        <w:ind w:left="2640" w:hanging="971"/>
        <w:spacing w:after="0"/>
        <w:tabs>
          <w:tab w:leader="none" w:pos="2640" w:val="left"/>
        </w:tabs>
        <w:numPr>
          <w:ilvl w:val="1"/>
          <w:numId w:val="214"/>
        </w:numPr>
        <w:rPr>
          <w:rFonts w:ascii="Arial" w:cs="Arial" w:eastAsia="Arial" w:hAnsi="Arial"/>
          <w:sz w:val="21"/>
          <w:szCs w:val="21"/>
          <w:color w:val="auto"/>
        </w:rPr>
      </w:pPr>
      <w:r>
        <w:rPr>
          <w:rFonts w:ascii="Arial" w:cs="Arial" w:eastAsia="Arial" w:hAnsi="Arial"/>
          <w:sz w:val="21"/>
          <w:szCs w:val="21"/>
          <w:i w:val="1"/>
          <w:iCs w:val="1"/>
          <w:color w:val="auto"/>
        </w:rPr>
        <w:t>Termination for Cause</w:t>
      </w:r>
      <w:r>
        <w:rPr>
          <w:rFonts w:ascii="Arial" w:cs="Arial" w:eastAsia="Arial" w:hAnsi="Arial"/>
          <w:sz w:val="21"/>
          <w:szCs w:val="21"/>
          <w:color w:val="auto"/>
        </w:rPr>
        <w:t>.  The Company may terminate Executive’s employment for Cause, as</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defined below.</w:t>
      </w:r>
    </w:p>
    <w:p>
      <w:pPr>
        <w:spacing w:after="0" w:line="188" w:lineRule="exact"/>
        <w:rPr>
          <w:rFonts w:ascii="Arial" w:cs="Arial" w:eastAsia="Arial" w:hAnsi="Arial"/>
          <w:sz w:val="21"/>
          <w:szCs w:val="21"/>
          <w:color w:val="auto"/>
        </w:rPr>
      </w:pPr>
    </w:p>
    <w:p>
      <w:pPr>
        <w:ind w:left="2620" w:hanging="951"/>
        <w:spacing w:after="0"/>
        <w:tabs>
          <w:tab w:leader="none" w:pos="2620" w:val="left"/>
        </w:tabs>
        <w:numPr>
          <w:ilvl w:val="1"/>
          <w:numId w:val="214"/>
        </w:numPr>
        <w:rPr>
          <w:rFonts w:ascii="Arial" w:cs="Arial" w:eastAsia="Arial" w:hAnsi="Arial"/>
          <w:sz w:val="19"/>
          <w:szCs w:val="19"/>
          <w:color w:val="auto"/>
        </w:rPr>
      </w:pPr>
      <w:r>
        <w:rPr>
          <w:rFonts w:ascii="Arial" w:cs="Arial" w:eastAsia="Arial" w:hAnsi="Arial"/>
          <w:sz w:val="19"/>
          <w:szCs w:val="19"/>
          <w:i w:val="1"/>
          <w:iCs w:val="1"/>
          <w:color w:val="auto"/>
        </w:rPr>
        <w:t>Termination without Cause</w:t>
      </w:r>
      <w:r>
        <w:rPr>
          <w:rFonts w:ascii="Arial" w:cs="Arial" w:eastAsia="Arial" w:hAnsi="Arial"/>
          <w:sz w:val="19"/>
          <w:szCs w:val="19"/>
          <w:color w:val="auto"/>
        </w:rPr>
        <w:t>. The Company may terminate Executive’s employment without Cause.</w:t>
      </w:r>
    </w:p>
    <w:p>
      <w:pPr>
        <w:spacing w:after="0" w:line="240" w:lineRule="exact"/>
        <w:rPr>
          <w:rFonts w:ascii="Arial" w:cs="Arial" w:eastAsia="Arial" w:hAnsi="Arial"/>
          <w:sz w:val="19"/>
          <w:szCs w:val="19"/>
          <w:color w:val="auto"/>
        </w:rPr>
      </w:pPr>
    </w:p>
    <w:p>
      <w:pPr>
        <w:ind w:left="880" w:right="20" w:firstLine="789"/>
        <w:spacing w:after="0" w:line="250" w:lineRule="auto"/>
        <w:tabs>
          <w:tab w:leader="none" w:pos="2577" w:val="left"/>
        </w:tabs>
        <w:numPr>
          <w:ilvl w:val="1"/>
          <w:numId w:val="214"/>
        </w:numPr>
        <w:rPr>
          <w:rFonts w:ascii="Arial" w:cs="Arial" w:eastAsia="Arial" w:hAnsi="Arial"/>
          <w:sz w:val="22"/>
          <w:szCs w:val="22"/>
          <w:color w:val="auto"/>
        </w:rPr>
      </w:pPr>
      <w:r>
        <w:rPr>
          <w:rFonts w:ascii="Arial" w:cs="Arial" w:eastAsia="Arial" w:hAnsi="Arial"/>
          <w:sz w:val="22"/>
          <w:szCs w:val="22"/>
          <w:i w:val="1"/>
          <w:iCs w:val="1"/>
          <w:color w:val="auto"/>
        </w:rPr>
        <w:t xml:space="preserve">Resignation from the Company for Good Reason. </w:t>
      </w:r>
      <w:r>
        <w:rPr>
          <w:rFonts w:ascii="Arial" w:cs="Arial" w:eastAsia="Arial" w:hAnsi="Arial"/>
          <w:sz w:val="22"/>
          <w:szCs w:val="22"/>
          <w:color w:val="auto"/>
        </w:rPr>
        <w:t>Executive may resign Executive’s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Company for Good Reason, as defined below.</w:t>
      </w:r>
    </w:p>
    <w:p>
      <w:pPr>
        <w:spacing w:after="0" w:line="174" w:lineRule="exact"/>
        <w:rPr>
          <w:rFonts w:ascii="Arial" w:cs="Arial" w:eastAsia="Arial" w:hAnsi="Arial"/>
          <w:sz w:val="22"/>
          <w:szCs w:val="22"/>
          <w:color w:val="auto"/>
        </w:rPr>
      </w:pPr>
    </w:p>
    <w:p>
      <w:pPr>
        <w:ind w:left="880" w:firstLine="789"/>
        <w:spacing w:after="0" w:line="250" w:lineRule="auto"/>
        <w:tabs>
          <w:tab w:leader="none" w:pos="2637" w:val="left"/>
        </w:tabs>
        <w:numPr>
          <w:ilvl w:val="1"/>
          <w:numId w:val="214"/>
        </w:numPr>
        <w:rPr>
          <w:rFonts w:ascii="Arial" w:cs="Arial" w:eastAsia="Arial" w:hAnsi="Arial"/>
          <w:sz w:val="22"/>
          <w:szCs w:val="22"/>
          <w:color w:val="auto"/>
        </w:rPr>
      </w:pPr>
      <w:r>
        <w:rPr>
          <w:rFonts w:ascii="Arial" w:cs="Arial" w:eastAsia="Arial" w:hAnsi="Arial"/>
          <w:sz w:val="22"/>
          <w:szCs w:val="22"/>
          <w:i w:val="1"/>
          <w:iCs w:val="1"/>
          <w:color w:val="auto"/>
        </w:rPr>
        <w:t>Resignation from the Company Without Good Reason</w:t>
      </w:r>
      <w:r>
        <w:rPr>
          <w:rFonts w:ascii="Arial" w:cs="Arial" w:eastAsia="Arial" w:hAnsi="Arial"/>
          <w:sz w:val="22"/>
          <w:szCs w:val="22"/>
          <w:color w:val="auto"/>
        </w:rPr>
        <w:t>. Executive may resign Executive’s</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with the Company for any reason other than Good Reason or for no reason.</w:t>
      </w:r>
    </w:p>
    <w:p>
      <w:pPr>
        <w:spacing w:after="0" w:line="174" w:lineRule="exact"/>
        <w:rPr>
          <w:rFonts w:ascii="Arial" w:cs="Arial" w:eastAsia="Arial" w:hAnsi="Arial"/>
          <w:sz w:val="22"/>
          <w:szCs w:val="22"/>
          <w:color w:val="auto"/>
        </w:rPr>
      </w:pPr>
    </w:p>
    <w:p>
      <w:pPr>
        <w:jc w:val="both"/>
        <w:ind w:firstLine="872"/>
        <w:spacing w:after="0" w:line="273" w:lineRule="auto"/>
        <w:tabs>
          <w:tab w:leader="none" w:pos="1763"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paragraph (a)(i))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forty-five (45)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in its sole discretion. The failure by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jc w:val="both"/>
        <w:spacing w:after="0"/>
        <w:rPr>
          <w:sz w:val="20"/>
          <w:szCs w:val="20"/>
          <w:color w:val="auto"/>
        </w:rPr>
      </w:pPr>
      <w:r>
        <w:rPr>
          <w:rFonts w:ascii="Arial" w:cs="Arial" w:eastAsia="Arial" w:hAnsi="Arial"/>
          <w:sz w:val="22"/>
          <w:szCs w:val="22"/>
          <w:color w:val="auto"/>
        </w:rPr>
        <w:t>the Company to set forth in the Notice of Termination any fact or circumstance which contributes to a showing of Cause shall not waive any right of the Company hereunder or preclude the Company from asserting such fact or circumstance in enforcing the Company’s rights hereunder.</w:t>
      </w:r>
    </w:p>
    <w:p>
      <w:pPr>
        <w:spacing w:after="0" w:line="186" w:lineRule="exact"/>
        <w:rPr>
          <w:sz w:val="20"/>
          <w:szCs w:val="20"/>
          <w:color w:val="auto"/>
        </w:rPr>
      </w:pPr>
    </w:p>
    <w:p>
      <w:pPr>
        <w:jc w:val="both"/>
        <w:ind w:firstLine="872"/>
        <w:spacing w:after="0" w:line="244" w:lineRule="auto"/>
        <w:tabs>
          <w:tab w:leader="none" w:pos="1751" w:val="left"/>
        </w:tabs>
        <w:numPr>
          <w:ilvl w:val="1"/>
          <w:numId w:val="215"/>
        </w:numPr>
        <w:rPr>
          <w:rFonts w:ascii="Arial" w:cs="Arial" w:eastAsia="Arial" w:hAnsi="Arial"/>
          <w:sz w:val="21"/>
          <w:szCs w:val="21"/>
          <w:color w:val="auto"/>
        </w:rPr>
      </w:pPr>
      <w:r>
        <w:rPr>
          <w:rFonts w:ascii="Arial" w:cs="Arial" w:eastAsia="Arial" w:hAnsi="Arial"/>
          <w:sz w:val="21"/>
          <w:szCs w:val="21"/>
          <w:u w:val="single" w:color="auto"/>
          <w:color w:val="auto"/>
        </w:rPr>
        <w:t>Company Obligations upon Termination</w:t>
      </w:r>
      <w:r>
        <w:rPr>
          <w:rFonts w:ascii="Arial" w:cs="Arial" w:eastAsia="Arial" w:hAnsi="Arial"/>
          <w:sz w:val="21"/>
          <w:szCs w:val="21"/>
          <w:color w:val="auto"/>
        </w:rPr>
        <w:t xml:space="preserve">. Upon termination of Executive’s employment pursuant to any of the circumstances listed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21"/>
          <w:szCs w:val="21"/>
          <w:u w:val="single" w:color="auto"/>
          <w:color w:val="auto"/>
        </w:rPr>
        <w:t>Section 2(e)</w:t>
      </w:r>
      <w:r>
        <w:rPr>
          <w:rFonts w:ascii="Arial" w:cs="Arial" w:eastAsia="Arial" w:hAnsi="Arial"/>
          <w:sz w:val="21"/>
          <w:szCs w:val="21"/>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21"/>
          <w:szCs w:val="21"/>
          <w:u w:val="single" w:color="auto"/>
          <w:color w:val="auto"/>
        </w:rPr>
        <w:t>Company Arrangements</w:t>
      </w:r>
      <w:r>
        <w:rPr>
          <w:rFonts w:ascii="Arial" w:cs="Arial" w:eastAsia="Arial" w:hAnsi="Arial"/>
          <w:sz w:val="21"/>
          <w:szCs w:val="21"/>
          <w:color w:val="auto"/>
        </w:rPr>
        <w:t>”). Except as otherwise expressly required by law (</w:t>
      </w:r>
      <w:r>
        <w:rPr>
          <w:rFonts w:ascii="Arial" w:cs="Arial" w:eastAsia="Arial" w:hAnsi="Arial"/>
          <w:sz w:val="21"/>
          <w:szCs w:val="21"/>
          <w:u w:val="single" w:color="auto"/>
          <w:color w:val="auto"/>
        </w:rPr>
        <w:t>e.g.</w:t>
      </w:r>
      <w:r>
        <w:rPr>
          <w:rFonts w:ascii="Arial" w:cs="Arial" w:eastAsia="Arial" w:hAnsi="Arial"/>
          <w:sz w:val="21"/>
          <w:szCs w:val="21"/>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21"/>
          <w:szCs w:val="21"/>
          <w:u w:val="single" w:color="auto"/>
          <w:color w:val="auto"/>
        </w:rPr>
        <w:t>Section 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w:t>
      </w:r>
      <w:r>
        <w:rPr>
          <w:rFonts w:ascii="Arial" w:cs="Arial" w:eastAsia="Arial" w:hAnsi="Arial"/>
          <w:sz w:val="21"/>
          <w:szCs w:val="21"/>
          <w:color w:val="auto"/>
        </w:rPr>
        <w:t>, as applicable.</w:t>
      </w:r>
    </w:p>
    <w:p>
      <w:pPr>
        <w:spacing w:after="0" w:line="188" w:lineRule="exact"/>
        <w:rPr>
          <w:rFonts w:ascii="Arial" w:cs="Arial" w:eastAsia="Arial" w:hAnsi="Arial"/>
          <w:sz w:val="21"/>
          <w:szCs w:val="21"/>
          <w:color w:val="auto"/>
        </w:rPr>
      </w:pPr>
    </w:p>
    <w:p>
      <w:pPr>
        <w:ind w:firstLine="872"/>
        <w:spacing w:after="0" w:line="274" w:lineRule="auto"/>
        <w:tabs>
          <w:tab w:leader="none" w:pos="1763" w:val="left"/>
        </w:tabs>
        <w:numPr>
          <w:ilvl w:val="1"/>
          <w:numId w:val="215"/>
        </w:numPr>
        <w:rPr>
          <w:rFonts w:ascii="Arial" w:cs="Arial" w:eastAsia="Arial" w:hAnsi="Arial"/>
          <w:sz w:val="21"/>
          <w:szCs w:val="21"/>
          <w:color w:val="auto"/>
        </w:rPr>
      </w:pPr>
      <w:r>
        <w:rPr>
          <w:rFonts w:ascii="Arial" w:cs="Arial" w:eastAsia="Arial" w:hAnsi="Arial"/>
          <w:sz w:val="21"/>
          <w:szCs w:val="21"/>
          <w:u w:val="single" w:color="auto"/>
          <w:color w:val="auto"/>
        </w:rPr>
        <w:t>Deemed Resignation</w:t>
      </w:r>
      <w:r>
        <w:rPr>
          <w:rFonts w:ascii="Arial" w:cs="Arial" w:eastAsia="Arial" w:hAnsi="Arial"/>
          <w:sz w:val="21"/>
          <w:szCs w:val="21"/>
          <w:color w:val="auto"/>
        </w:rPr>
        <w:t>. Upon termination of Executive’s employment for any reason, Executive shall be deemed to have resigned from all offices and directorships, if any, then held with the Company or any of its subsidiaries.</w:t>
      </w:r>
    </w:p>
    <w:p>
      <w:pPr>
        <w:spacing w:after="0" w:line="144" w:lineRule="exact"/>
        <w:rPr>
          <w:rFonts w:ascii="Arial" w:cs="Arial" w:eastAsia="Arial" w:hAnsi="Arial"/>
          <w:sz w:val="21"/>
          <w:szCs w:val="21"/>
          <w:color w:val="auto"/>
        </w:rPr>
      </w:pPr>
    </w:p>
    <w:p>
      <w:pPr>
        <w:ind w:left="820" w:hanging="812"/>
        <w:spacing w:after="0"/>
        <w:tabs>
          <w:tab w:leader="none" w:pos="820" w:val="left"/>
        </w:tabs>
        <w:numPr>
          <w:ilvl w:val="0"/>
          <w:numId w:val="2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Payments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Termination for Cause, or Termination Upon Death, Disability or Resignation from the Company Without Good Reason</w:t>
      </w:r>
      <w:r>
        <w:rPr>
          <w:rFonts w:ascii="Arial" w:cs="Arial" w:eastAsia="Arial" w:hAnsi="Arial"/>
          <w:sz w:val="22"/>
          <w:szCs w:val="22"/>
          <w:color w:val="auto"/>
        </w:rPr>
        <w:t xml:space="preserve">. If Executive’s employment shall terminate as a result of Executive’s death pursuant to </w:t>
      </w:r>
      <w:r>
        <w:rPr>
          <w:rFonts w:ascii="Arial" w:cs="Arial" w:eastAsia="Arial" w:hAnsi="Arial"/>
          <w:sz w:val="22"/>
          <w:szCs w:val="22"/>
          <w:u w:val="single" w:color="auto"/>
          <w:color w:val="auto"/>
        </w:rPr>
        <w:t>Section 3(a)(i)</w:t>
      </w:r>
      <w:r>
        <w:rPr>
          <w:rFonts w:ascii="Arial" w:cs="Arial" w:eastAsia="Arial" w:hAnsi="Arial"/>
          <w:sz w:val="22"/>
          <w:szCs w:val="22"/>
          <w:color w:val="auto"/>
        </w:rPr>
        <w:t xml:space="preserve"> or Disability pursuant to </w:t>
      </w:r>
      <w:r>
        <w:rPr>
          <w:rFonts w:ascii="Arial" w:cs="Arial" w:eastAsia="Arial" w:hAnsi="Arial"/>
          <w:sz w:val="22"/>
          <w:szCs w:val="22"/>
          <w:u w:val="single" w:color="auto"/>
          <w:color w:val="auto"/>
        </w:rPr>
        <w:t>Section 3(a)(ii)</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3(a)(iii)</w:t>
      </w:r>
      <w:r>
        <w:rPr>
          <w:rFonts w:ascii="Arial" w:cs="Arial" w:eastAsia="Arial" w:hAnsi="Arial"/>
          <w:sz w:val="22"/>
          <w:szCs w:val="22"/>
          <w:color w:val="auto"/>
        </w:rPr>
        <w:t xml:space="preserve"> for Cause, or pursuant to </w:t>
      </w:r>
      <w:r>
        <w:rPr>
          <w:rFonts w:ascii="Arial" w:cs="Arial" w:eastAsia="Arial" w:hAnsi="Arial"/>
          <w:sz w:val="22"/>
          <w:szCs w:val="22"/>
          <w:u w:val="single" w:color="auto"/>
          <w:color w:val="auto"/>
        </w:rPr>
        <w:t>Section 3(a)(vi)</w:t>
      </w:r>
      <w:r>
        <w:rPr>
          <w:rFonts w:ascii="Arial" w:cs="Arial" w:eastAsia="Arial" w:hAnsi="Arial"/>
          <w:sz w:val="22"/>
          <w:szCs w:val="22"/>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22"/>
          <w:szCs w:val="22"/>
          <w:u w:val="single" w:color="auto"/>
          <w:color w:val="auto"/>
        </w:rPr>
        <w:t>Section 3(c)</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1"/>
          <w:numId w:val="216"/>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Resignation from the Company for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for Good Reason, then, except as otherwise provided by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and subject to Executive signing on or before the 21</w:t>
      </w:r>
      <w:r>
        <w:rPr>
          <w:rFonts w:ascii="Arial" w:cs="Arial" w:eastAsia="Arial" w:hAnsi="Arial"/>
          <w:sz w:val="16"/>
          <w:szCs w:val="16"/>
          <w:color w:val="auto"/>
        </w:rPr>
        <w:t>st</w:t>
      </w:r>
      <w:r>
        <w:rPr>
          <w:rFonts w:ascii="Arial" w:cs="Arial" w:eastAsia="Arial" w:hAnsi="Arial"/>
          <w:sz w:val="19"/>
          <w:szCs w:val="19"/>
          <w:color w:val="auto"/>
        </w:rPr>
        <w:t xml:space="preserve"> day following Executive’s Separation from Service (as defined below), and not revoking, a release of claims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50" w:lineRule="exact"/>
        <w:rPr>
          <w:rFonts w:ascii="Arial" w:cs="Arial" w:eastAsia="Arial" w:hAnsi="Arial"/>
          <w:sz w:val="19"/>
          <w:szCs w:val="19"/>
          <w:color w:val="auto"/>
        </w:rPr>
      </w:pPr>
    </w:p>
    <w:p>
      <w:pPr>
        <w:jc w:val="both"/>
        <w:ind w:left="880" w:right="20" w:firstLine="789"/>
        <w:spacing w:after="0" w:line="297" w:lineRule="auto"/>
        <w:tabs>
          <w:tab w:leader="none" w:pos="2529" w:val="left"/>
        </w:tabs>
        <w:numPr>
          <w:ilvl w:val="2"/>
          <w:numId w:val="216"/>
        </w:numPr>
        <w:rPr>
          <w:rFonts w:ascii="Arial" w:cs="Arial" w:eastAsia="Arial" w:hAnsi="Arial"/>
          <w:sz w:val="19"/>
          <w:szCs w:val="19"/>
          <w:color w:val="auto"/>
        </w:rPr>
      </w:pPr>
      <w:r>
        <w:rPr>
          <w:rFonts w:ascii="Arial" w:cs="Arial" w:eastAsia="Arial" w:hAnsi="Arial"/>
          <w:sz w:val="19"/>
          <w:szCs w:val="19"/>
          <w:color w:val="auto"/>
        </w:rPr>
        <w:t xml:space="preserve">an amount in cash equal to the product of (x) 1.0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(y) the Annual Base Salary, payable in the form of salary continuation in regular installments over the 12-month period following the date of Executive’s Separation from Service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in accordance with the Company’s normal payroll practices;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3" w:name="page214"/>
    <w:bookmarkEnd w:id="213"/>
    <w:p>
      <w:pPr>
        <w:jc w:val="both"/>
        <w:ind w:left="880" w:firstLine="789"/>
        <w:spacing w:after="0" w:line="282" w:lineRule="auto"/>
        <w:tabs>
          <w:tab w:leader="none" w:pos="2589"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47" w:lineRule="exact"/>
        <w:rPr>
          <w:rFonts w:ascii="Arial" w:cs="Arial" w:eastAsia="Arial" w:hAnsi="Arial"/>
          <w:sz w:val="19"/>
          <w:szCs w:val="19"/>
          <w:color w:val="auto"/>
        </w:rPr>
      </w:pPr>
    </w:p>
    <w:p>
      <w:pPr>
        <w:jc w:val="both"/>
        <w:ind w:left="880" w:firstLine="789"/>
        <w:spacing w:after="0" w:line="270" w:lineRule="auto"/>
        <w:tabs>
          <w:tab w:leader="none" w:pos="2649" w:val="left"/>
        </w:tabs>
        <w:numPr>
          <w:ilvl w:val="1"/>
          <w:numId w:val="217"/>
        </w:numPr>
        <w:rPr>
          <w:rFonts w:ascii="Arial" w:cs="Arial" w:eastAsia="Arial" w:hAnsi="Arial"/>
          <w:sz w:val="19"/>
          <w:szCs w:val="19"/>
          <w:color w:val="auto"/>
        </w:rPr>
      </w:pPr>
      <w:r>
        <w:rPr>
          <w:rFonts w:ascii="Arial" w:cs="Arial" w:eastAsia="Arial" w:hAnsi="Arial"/>
          <w:sz w:val="19"/>
          <w:szCs w:val="19"/>
          <w:color w:val="auto"/>
        </w:rPr>
        <w:t>if Executive timely elects to receive continued medical, dental 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then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which payments shall be made regardless of whether Executive elects COBRA continuation coverage and shall commence in the month following the month in which the Date of Termination occurs and shall end on the earlier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165" w:lineRule="exact"/>
        <w:rPr>
          <w:rFonts w:ascii="Arial" w:cs="Arial" w:eastAsia="Arial" w:hAnsi="Arial"/>
          <w:sz w:val="19"/>
          <w:szCs w:val="19"/>
          <w:color w:val="auto"/>
        </w:rPr>
      </w:pPr>
    </w:p>
    <w:p>
      <w:pPr>
        <w:jc w:val="both"/>
        <w:ind w:firstLine="872"/>
        <w:spacing w:after="0" w:line="282" w:lineRule="auto"/>
        <w:tabs>
          <w:tab w:leader="none" w:pos="1751"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In lieu of the payments and benefits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in the event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for Good Reason, in either case, within 60 days prior to or 12 months following the date of a Change in Control, subject to Executive signing on or before the 21st day following Executive’s Separation from Service, and not revoking, the Release,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Executive shall receive the following:</w:t>
      </w:r>
    </w:p>
    <w:p>
      <w:pPr>
        <w:spacing w:after="0" w:line="147" w:lineRule="exact"/>
        <w:rPr>
          <w:rFonts w:ascii="Arial" w:cs="Arial" w:eastAsia="Arial" w:hAnsi="Arial"/>
          <w:sz w:val="19"/>
          <w:szCs w:val="19"/>
          <w:color w:val="auto"/>
        </w:rPr>
      </w:pPr>
    </w:p>
    <w:p>
      <w:pPr>
        <w:ind w:left="2520" w:hanging="851"/>
        <w:spacing w:after="0"/>
        <w:tabs>
          <w:tab w:leader="none" w:pos="2520" w:val="left"/>
        </w:tabs>
        <w:numPr>
          <w:ilvl w:val="1"/>
          <w:numId w:val="218"/>
        </w:numPr>
        <w:rPr>
          <w:rFonts w:ascii="Arial" w:cs="Arial" w:eastAsia="Arial" w:hAnsi="Arial"/>
          <w:sz w:val="22"/>
          <w:szCs w:val="22"/>
          <w:color w:val="auto"/>
        </w:rPr>
      </w:pPr>
      <w:r>
        <w:rPr>
          <w:rFonts w:ascii="Arial" w:cs="Arial" w:eastAsia="Arial" w:hAnsi="Arial"/>
          <w:sz w:val="22"/>
          <w:szCs w:val="22"/>
          <w:color w:val="auto"/>
        </w:rPr>
        <w:t xml:space="preserve">without duplication, the payments and benefits described in </w:t>
      </w:r>
      <w:r>
        <w:rPr>
          <w:rFonts w:ascii="Arial" w:cs="Arial" w:eastAsia="Arial" w:hAnsi="Arial"/>
          <w:sz w:val="22"/>
          <w:szCs w:val="22"/>
          <w:u w:val="single" w:color="auto"/>
          <w:color w:val="auto"/>
        </w:rPr>
        <w:t>Section 4(b)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89"/>
        <w:spacing w:after="0"/>
        <w:tabs>
          <w:tab w:leader="none" w:pos="2589" w:val="left"/>
        </w:tabs>
        <w:numPr>
          <w:ilvl w:val="1"/>
          <w:numId w:val="218"/>
        </w:numPr>
        <w:rPr>
          <w:rFonts w:ascii="Arial" w:cs="Arial" w:eastAsia="Arial" w:hAnsi="Arial"/>
          <w:sz w:val="22"/>
          <w:szCs w:val="22"/>
          <w:color w:val="auto"/>
        </w:rPr>
      </w:pPr>
      <w:r>
        <w:rPr>
          <w:rFonts w:ascii="Arial" w:cs="Arial" w:eastAsia="Arial" w:hAnsi="Arial"/>
          <w:sz w:val="22"/>
          <w:szCs w:val="22"/>
          <w:color w:val="auto"/>
        </w:rPr>
        <w:t xml:space="preserve">an amount in cash equal to the product of (x) 1.0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(y) the Target Bonus, payable in a lump sum within thirty (30) days following the later of Executive’s Separation from Service and the date of a Change in Control;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4" w:name="page215"/>
    <w:bookmarkEnd w:id="214"/>
    <w:p>
      <w:pPr>
        <w:jc w:val="both"/>
        <w:ind w:left="880" w:firstLine="789"/>
        <w:spacing w:after="0" w:line="246" w:lineRule="auto"/>
        <w:tabs>
          <w:tab w:leader="none" w:pos="2649" w:val="left"/>
        </w:tabs>
        <w:numPr>
          <w:ilvl w:val="2"/>
          <w:numId w:val="219"/>
        </w:numPr>
        <w:rPr>
          <w:rFonts w:ascii="Arial" w:cs="Arial" w:eastAsia="Arial" w:hAnsi="Arial"/>
          <w:sz w:val="21"/>
          <w:szCs w:val="21"/>
          <w:color w:val="auto"/>
        </w:rPr>
      </w:pPr>
      <w:r>
        <w:rPr>
          <w:rFonts w:ascii="Arial" w:cs="Arial" w:eastAsia="Arial" w:hAnsi="Arial"/>
          <w:sz w:val="21"/>
          <w:szCs w:val="21"/>
          <w:color w:val="auto"/>
        </w:rPr>
        <w:t>all unvested equity or equity-based awards held by Executive under any Company equity compensation plans that vest solely based on the passage of time shall immediately become 100% vested (and if the Date of Termination precedes the Change in Control, all such unvested awards shall remain outstanding and eligible to vest in accordance with this Section 4(c)(iii) if a Change Control occurs within 60 days after the Date of Termination, provided that in no event will any such award remain outstanding beyond the final expiration date of the award set forth in the documents governing such award), with any other equity or equity-based awards (including awards that vest in whole or in part based on the attainment of performance-vesting conditions) being governed by the terms of the applicable award agreement.</w:t>
      </w:r>
    </w:p>
    <w:p>
      <w:pPr>
        <w:spacing w:after="0" w:line="179" w:lineRule="exact"/>
        <w:rPr>
          <w:rFonts w:ascii="Arial" w:cs="Arial" w:eastAsia="Arial" w:hAnsi="Arial"/>
          <w:sz w:val="21"/>
          <w:szCs w:val="21"/>
          <w:color w:val="auto"/>
        </w:rPr>
      </w:pPr>
    </w:p>
    <w:p>
      <w:pPr>
        <w:ind w:firstLine="872"/>
        <w:spacing w:after="0" w:line="250" w:lineRule="auto"/>
        <w:tabs>
          <w:tab w:leader="none" w:pos="1763" w:val="left"/>
        </w:tabs>
        <w:numPr>
          <w:ilvl w:val="1"/>
          <w:numId w:val="22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Notwithstanding anything to the contrary in this Agreement, the provisions of </w:t>
      </w:r>
      <w:r>
        <w:rPr>
          <w:rFonts w:ascii="Arial" w:cs="Arial" w:eastAsia="Arial" w:hAnsi="Arial"/>
          <w:sz w:val="22"/>
          <w:szCs w:val="22"/>
          <w:u w:val="single" w:color="auto"/>
          <w:color w:val="auto"/>
        </w:rPr>
        <w:t>Sections 5</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will survive the termination of Executive’s employment and the termination of the Term.</w:t>
      </w:r>
    </w:p>
    <w:p>
      <w:pPr>
        <w:spacing w:after="0" w:line="168" w:lineRule="exact"/>
        <w:rPr>
          <w:rFonts w:ascii="Arial" w:cs="Arial" w:eastAsia="Arial" w:hAnsi="Arial"/>
          <w:sz w:val="22"/>
          <w:szCs w:val="22"/>
          <w:color w:val="auto"/>
        </w:rPr>
      </w:pPr>
    </w:p>
    <w:p>
      <w:pPr>
        <w:jc w:val="both"/>
        <w:ind w:firstLine="8"/>
        <w:spacing w:after="0" w:line="280" w:lineRule="auto"/>
        <w:tabs>
          <w:tab w:leader="none" w:pos="810" w:val="left"/>
        </w:tabs>
        <w:numPr>
          <w:ilvl w:val="0"/>
          <w:numId w:val="2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effectiveness of this Agreement, Executive has executed and delivered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 Employee Non-Competition, Non-Solicitation, Confidentiality and Assignment Agreement (the “</w:t>
      </w:r>
      <w:r>
        <w:rPr>
          <w:rFonts w:ascii="Arial" w:cs="Arial" w:eastAsia="Arial" w:hAnsi="Arial"/>
          <w:sz w:val="19"/>
          <w:szCs w:val="19"/>
          <w:u w:val="single" w:color="auto"/>
          <w:color w:val="auto"/>
        </w:rPr>
        <w:t>Proprietary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 Agreement</w:t>
      </w:r>
      <w:r>
        <w:rPr>
          <w:rFonts w:ascii="Arial" w:cs="Arial" w:eastAsia="Arial" w:hAnsi="Arial"/>
          <w:sz w:val="19"/>
          <w:szCs w:val="19"/>
          <w:color w:val="auto"/>
        </w:rPr>
        <w:t>”). Executive acknowledges and agrees that Executive continues to be bound by the existing terms of the Proprietary Information Agreement, and nothing in this Agreement affects or modifies the terms of the Proprietary Information Agreement. Executive acknowledges that the provisions of the Proprietary Information Agreement will survive the termination of Executive’s employment and the termination of the Term for the periods set forth in the Proprietary Information Agreement.</w:t>
      </w:r>
    </w:p>
    <w:p>
      <w:pPr>
        <w:spacing w:after="0" w:line="144" w:lineRule="exact"/>
        <w:rPr>
          <w:rFonts w:ascii="Arial" w:cs="Arial" w:eastAsia="Arial" w:hAnsi="Arial"/>
          <w:sz w:val="19"/>
          <w:szCs w:val="19"/>
          <w:b w:val="1"/>
          <w:bCs w:val="1"/>
          <w:color w:val="auto"/>
        </w:rPr>
      </w:pPr>
    </w:p>
    <w:p>
      <w:pPr>
        <w:ind w:left="820" w:hanging="812"/>
        <w:spacing w:after="0"/>
        <w:tabs>
          <w:tab w:leader="none" w:pos="82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 and Successors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2" w:lineRule="exact"/>
        <w:rPr>
          <w:sz w:val="20"/>
          <w:szCs w:val="20"/>
          <w:color w:val="auto"/>
        </w:rPr>
      </w:pPr>
    </w:p>
    <w:p>
      <w:pPr>
        <w:ind w:left="820" w:hanging="812"/>
        <w:spacing w:after="0"/>
        <w:tabs>
          <w:tab w:leader="none" w:pos="820"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760" w:hanging="888"/>
        <w:spacing w:after="0"/>
        <w:tabs>
          <w:tab w:leader="none" w:pos="1760" w:val="left"/>
        </w:tabs>
        <w:numPr>
          <w:ilvl w:val="1"/>
          <w:numId w:val="222"/>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Company shall have “Cause” to terminate Executive’s employment hereunder upon:</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2"/>
          <w:numId w:val="222"/>
        </w:numPr>
        <w:rPr>
          <w:rFonts w:ascii="Arial" w:cs="Arial" w:eastAsia="Arial" w:hAnsi="Arial"/>
          <w:sz w:val="22"/>
          <w:szCs w:val="22"/>
          <w:color w:val="auto"/>
        </w:rPr>
      </w:pPr>
      <w:r>
        <w:rPr>
          <w:rFonts w:ascii="Arial" w:cs="Arial" w:eastAsia="Arial" w:hAnsi="Arial"/>
          <w:sz w:val="22"/>
          <w:szCs w:val="22"/>
          <w:color w:val="auto"/>
        </w:rPr>
        <w:t>Executive’s refusal to (A) substantially perform Executive’s duties with the Company (other than any such failure resulting from Executive’s Disability) or (B) comply with, in any material respect, any of the Company’s Policies;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5" w:name="page216"/>
    <w:bookmarkEnd w:id="215"/>
    <w:p>
      <w:pPr>
        <w:ind w:left="880" w:right="20" w:firstLine="789"/>
        <w:spacing w:after="0" w:line="250" w:lineRule="auto"/>
        <w:tabs>
          <w:tab w:leader="none" w:pos="258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Board’s determination that Executive refused in any material respect to carry out or comply with any lawful and reasonable directive of the Board;</w:t>
      </w:r>
    </w:p>
    <w:p>
      <w:pPr>
        <w:spacing w:after="0" w:line="174" w:lineRule="exact"/>
        <w:rPr>
          <w:rFonts w:ascii="Arial" w:cs="Arial" w:eastAsia="Arial" w:hAnsi="Arial"/>
          <w:sz w:val="22"/>
          <w:szCs w:val="22"/>
          <w:color w:val="auto"/>
        </w:rPr>
      </w:pPr>
    </w:p>
    <w:p>
      <w:pPr>
        <w:ind w:left="2640" w:hanging="971"/>
        <w:spacing w:after="0"/>
        <w:tabs>
          <w:tab w:leader="none" w:pos="26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Executive’s material breach of a material provision of this Agreement;</w:t>
      </w:r>
    </w:p>
    <w:p>
      <w:pPr>
        <w:spacing w:after="0" w:line="206"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Executive’s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any felony or crime involving moral turpitude;</w:t>
      </w:r>
    </w:p>
    <w:p>
      <w:pPr>
        <w:spacing w:after="0" w:line="174" w:lineRule="exact"/>
        <w:rPr>
          <w:rFonts w:ascii="Arial" w:cs="Arial" w:eastAsia="Arial" w:hAnsi="Arial"/>
          <w:sz w:val="22"/>
          <w:szCs w:val="22"/>
          <w:color w:val="auto"/>
        </w:rPr>
      </w:pPr>
    </w:p>
    <w:p>
      <w:pPr>
        <w:jc w:val="both"/>
        <w:ind w:left="880" w:firstLine="789"/>
        <w:spacing w:after="0"/>
        <w:tabs>
          <w:tab w:leader="none" w:pos="2577"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86"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Executive’s commission of an act of fraud, embezzlement, misappropriation, willful misconduct, or breach of fiduciary duty against the Company or any of its affiliates;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(ii) or (iii) of the foregoing definition and to the extent the applicable condition or event is reasonably capable of being cured, Executive shall have failed to cure such condition or event within 30 days after the receipt of such notice.</w:t>
      </w:r>
    </w:p>
    <w:p>
      <w:pPr>
        <w:spacing w:after="0" w:line="188" w:lineRule="exact"/>
        <w:rPr>
          <w:sz w:val="20"/>
          <w:szCs w:val="20"/>
          <w:color w:val="auto"/>
        </w:rPr>
      </w:pPr>
    </w:p>
    <w:p>
      <w:pPr>
        <w:ind w:firstLine="872"/>
        <w:spacing w:after="0" w:line="250" w:lineRule="auto"/>
        <w:tabs>
          <w:tab w:leader="none" w:pos="1763"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“Change in Control” shall have the meaning set forth in the version of the Seres Therapeutics, Inc. 2015 Incentive Award Plan in effect on the Effective Date.</w:t>
      </w:r>
    </w:p>
    <w:p>
      <w:pPr>
        <w:spacing w:after="0" w:line="174" w:lineRule="exact"/>
        <w:rPr>
          <w:rFonts w:ascii="Arial" w:cs="Arial" w:eastAsia="Arial" w:hAnsi="Arial"/>
          <w:sz w:val="22"/>
          <w:szCs w:val="22"/>
          <w:color w:val="auto"/>
        </w:rPr>
      </w:pPr>
    </w:p>
    <w:p>
      <w:pPr>
        <w:ind w:firstLine="872"/>
        <w:spacing w:after="0" w:line="250" w:lineRule="auto"/>
        <w:tabs>
          <w:tab w:leader="none" w:pos="1751"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“Code” shall mean the Internal Revenue Code of 1986, as amended, and the regulations and guidance promulgated thereunder.</w:t>
      </w:r>
    </w:p>
    <w:p>
      <w:pPr>
        <w:spacing w:after="0" w:line="174"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2"/>
          <w:szCs w:val="22"/>
          <w:u w:val="single" w:color="auto"/>
          <w:color w:val="auto"/>
        </w:rPr>
        <w:t>Section 3(a)(ii) – (vi)</w:t>
      </w:r>
      <w:r>
        <w:rPr>
          <w:rFonts w:ascii="Arial" w:cs="Arial" w:eastAsia="Arial" w:hAnsi="Arial"/>
          <w:sz w:val="22"/>
          <w:szCs w:val="22"/>
          <w:color w:val="auto"/>
        </w:rPr>
        <w:t xml:space="preserve"> either the date indicated in the Notice of Termination or the date specified by the Company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whichever is earlier.</w:t>
      </w:r>
    </w:p>
    <w:p>
      <w:pPr>
        <w:spacing w:after="0" w:line="184" w:lineRule="exact"/>
        <w:rPr>
          <w:rFonts w:ascii="Arial" w:cs="Arial" w:eastAsia="Arial" w:hAnsi="Arial"/>
          <w:sz w:val="22"/>
          <w:szCs w:val="22"/>
          <w:color w:val="auto"/>
        </w:rPr>
      </w:pPr>
    </w:p>
    <w:p>
      <w:pPr>
        <w:jc w:val="both"/>
        <w:ind w:firstLine="872"/>
        <w:spacing w:after="0" w:line="273" w:lineRule="auto"/>
        <w:tabs>
          <w:tab w:leader="none" w:pos="1751"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6" w:name="page217"/>
    <w:bookmarkEnd w:id="216"/>
    <w:p>
      <w:pPr>
        <w:ind w:right="20"/>
        <w:spacing w:after="0" w:line="274" w:lineRule="auto"/>
        <w:rPr>
          <w:sz w:val="20"/>
          <w:szCs w:val="20"/>
          <w:color w:val="auto"/>
        </w:rPr>
      </w:pPr>
      <w:r>
        <w:rPr>
          <w:rFonts w:ascii="Arial" w:cs="Arial" w:eastAsia="Arial" w:hAnsi="Arial"/>
          <w:sz w:val="21"/>
          <w:szCs w:val="21"/>
          <w:color w:val="auto"/>
        </w:rPr>
        <w:t>to acceptability not to be unreasonably withheld or delayed. Any refusal by Executive to submit to a medical examination for the purpose of determining Disability shall be deemed to constitute conclusive evidence of Executive’s Disability.</w:t>
      </w:r>
    </w:p>
    <w:p>
      <w:pPr>
        <w:spacing w:after="0" w:line="151" w:lineRule="exact"/>
        <w:rPr>
          <w:sz w:val="20"/>
          <w:szCs w:val="20"/>
          <w:color w:val="auto"/>
        </w:rPr>
      </w:pPr>
    </w:p>
    <w:p>
      <w:pPr>
        <w:jc w:val="both"/>
        <w:ind w:firstLine="872"/>
        <w:spacing w:after="0" w:line="273" w:lineRule="auto"/>
        <w:tabs>
          <w:tab w:leader="none" w:pos="1727" w:val="left"/>
        </w:tabs>
        <w:numPr>
          <w:ilvl w:val="1"/>
          <w:numId w:val="225"/>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sole purpose of determining Executive’s right to severance payments and benefits as described above, Executive’s resignation will be for “Good Reason” if Executive resigns within ninety days after any of the following events, unless Executive consents to the applicable event: (i) a material decrease in Executive’s Annual Base Salary,</w:t>
      </w:r>
    </w:p>
    <w:p>
      <w:pPr>
        <w:spacing w:after="0" w:line="1" w:lineRule="exact"/>
        <w:rPr>
          <w:rFonts w:ascii="Arial" w:cs="Arial" w:eastAsia="Arial" w:hAnsi="Arial"/>
          <w:sz w:val="19"/>
          <w:szCs w:val="19"/>
          <w:color w:val="auto"/>
        </w:rPr>
      </w:pPr>
    </w:p>
    <w:p>
      <w:pPr>
        <w:jc w:val="both"/>
        <w:ind w:firstLine="8"/>
        <w:spacing w:after="0" w:line="243" w:lineRule="auto"/>
        <w:tabs>
          <w:tab w:leader="none" w:pos="322" w:val="left"/>
        </w:tabs>
        <w:numPr>
          <w:ilvl w:val="0"/>
          <w:numId w:val="226"/>
        </w:numPr>
        <w:rPr>
          <w:rFonts w:ascii="Arial" w:cs="Arial" w:eastAsia="Arial" w:hAnsi="Arial"/>
          <w:sz w:val="21"/>
          <w:szCs w:val="21"/>
          <w:color w:val="auto"/>
        </w:rPr>
      </w:pPr>
      <w:r>
        <w:rPr>
          <w:rFonts w:ascii="Arial" w:cs="Arial" w:eastAsia="Arial" w:hAnsi="Arial"/>
          <w:sz w:val="21"/>
          <w:szCs w:val="21"/>
          <w:color w:val="auto"/>
        </w:rPr>
        <w:t>a material decrease in Executive’s authority or areas of responsibility as are commensurate with Executive’s title or positions, including Executive ceasing to report directly to the chief executive officer of the Company’s ultimate parent company following a Change in Control (or of the Company if there is no such parent entity), (iii) the Company’s material breach of a material provision of this Agreement or another written agreement with Executive or (iv) the relocation of Executive’s primary office to a location more than 50 miles from the Boston metropolitan area. Notwithstanding the foregoing, no Good Reason will have occurred unless and until Executive has: (a) provided the Company, within 60 days of Executive’s knowledge of the occurrence of the facts and circumstances underlying the Good Reason event, written notice stating with reasonable specificity the applicable facts and circumstances underlying such finding of Good Reason; (b) provided the Company with an opportunity to cure the same within 30 days after the receipt of such notice; and (c) the Company shall have failed to cure such condition within such 30 day period.</w:t>
      </w:r>
    </w:p>
    <w:p>
      <w:pPr>
        <w:spacing w:after="0" w:line="177" w:lineRule="exact"/>
        <w:rPr>
          <w:sz w:val="20"/>
          <w:szCs w:val="20"/>
          <w:color w:val="auto"/>
        </w:rPr>
      </w:pPr>
    </w:p>
    <w:p>
      <w:pPr>
        <w:ind w:left="820" w:hanging="812"/>
        <w:spacing w:after="0"/>
        <w:tabs>
          <w:tab w:leader="none" w:pos="82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Parachute Payments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72" w:lineRule="auto"/>
        <w:tabs>
          <w:tab w:leader="none" w:pos="1751" w:val="left"/>
        </w:tabs>
        <w:numPr>
          <w:ilvl w:val="1"/>
          <w:numId w:val="227"/>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5" w:lineRule="exact"/>
        <w:rPr>
          <w:rFonts w:ascii="Arial" w:cs="Arial" w:eastAsia="Arial" w:hAnsi="Arial"/>
          <w:sz w:val="19"/>
          <w:szCs w:val="19"/>
          <w:color w:val="auto"/>
        </w:rPr>
      </w:pPr>
    </w:p>
    <w:p>
      <w:pPr>
        <w:jc w:val="both"/>
        <w:ind w:firstLine="872"/>
        <w:spacing w:after="0" w:line="287" w:lineRule="auto"/>
        <w:tabs>
          <w:tab w:leader="none" w:pos="1763" w:val="left"/>
        </w:tabs>
        <w:numPr>
          <w:ilvl w:val="1"/>
          <w:numId w:val="227"/>
        </w:numPr>
        <w:rPr>
          <w:rFonts w:ascii="Arial" w:cs="Arial" w:eastAsia="Arial" w:hAnsi="Arial"/>
          <w:sz w:val="19"/>
          <w:szCs w:val="19"/>
          <w:color w:val="auto"/>
        </w:rPr>
      </w:pPr>
      <w:r>
        <w:rPr>
          <w:rFonts w:ascii="Arial" w:cs="Arial" w:eastAsia="Arial" w:hAnsi="Arial"/>
          <w:sz w:val="19"/>
          <w:szCs w:val="19"/>
          <w:color w:val="auto"/>
        </w:rPr>
        <w:t>The Total Payments shall be reduced in the following order: (i) reduction on a pro-rata basis of any cash severance payments that are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7" w:name="page218"/>
    <w:bookmarkEnd w:id="217"/>
    <w:p>
      <w:pPr>
        <w:jc w:val="both"/>
        <w:spacing w:after="0" w:line="257" w:lineRule="auto"/>
        <w:rPr>
          <w:sz w:val="20"/>
          <w:szCs w:val="20"/>
          <w:color w:val="auto"/>
        </w:rPr>
      </w:pPr>
      <w:r>
        <w:rPr>
          <w:rFonts w:ascii="Arial" w:cs="Arial" w:eastAsia="Arial" w:hAnsi="Arial"/>
          <w:sz w:val="21"/>
          <w:szCs w:val="21"/>
          <w:color w:val="auto"/>
        </w:rPr>
        <w:t>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69" w:lineRule="exact"/>
        <w:rPr>
          <w:sz w:val="20"/>
          <w:szCs w:val="20"/>
          <w:color w:val="auto"/>
        </w:rPr>
      </w:pPr>
    </w:p>
    <w:p>
      <w:pPr>
        <w:jc w:val="both"/>
        <w:ind w:firstLine="872"/>
        <w:spacing w:after="0" w:line="270" w:lineRule="auto"/>
        <w:tabs>
          <w:tab w:leader="none" w:pos="1751" w:val="left"/>
        </w:tabs>
        <w:numPr>
          <w:ilvl w:val="1"/>
          <w:numId w:val="228"/>
        </w:numPr>
        <w:rPr>
          <w:rFonts w:ascii="Arial" w:cs="Arial" w:eastAsia="Arial" w:hAnsi="Arial"/>
          <w:sz w:val="19"/>
          <w:szCs w:val="19"/>
          <w:color w:val="auto"/>
        </w:rPr>
      </w:pPr>
      <w:r>
        <w:rPr>
          <w:rFonts w:ascii="Arial" w:cs="Arial" w:eastAsia="Arial" w:hAnsi="Arial"/>
          <w:sz w:val="19"/>
          <w:szCs w:val="19"/>
          <w:color w:val="auto"/>
        </w:rPr>
        <w:t xml:space="preserve">All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w:t>
      </w:r>
    </w:p>
    <w:p>
      <w:pPr>
        <w:spacing w:after="0" w:line="4" w:lineRule="exact"/>
        <w:rPr>
          <w:rFonts w:ascii="Arial" w:cs="Arial" w:eastAsia="Arial" w:hAnsi="Arial"/>
          <w:sz w:val="19"/>
          <w:szCs w:val="19"/>
          <w:color w:val="auto"/>
        </w:rPr>
      </w:pPr>
    </w:p>
    <w:p>
      <w:pPr>
        <w:jc w:val="both"/>
        <w:ind w:firstLine="8"/>
        <w:spacing w:after="0" w:line="233" w:lineRule="auto"/>
        <w:tabs>
          <w:tab w:leader="none" w:pos="318" w:val="left"/>
        </w:tabs>
        <w:numPr>
          <w:ilvl w:val="0"/>
          <w:numId w:val="229"/>
        </w:numPr>
        <w:rPr>
          <w:rFonts w:ascii="Arial" w:cs="Arial" w:eastAsia="Arial" w:hAnsi="Arial"/>
          <w:sz w:val="22"/>
          <w:szCs w:val="22"/>
          <w:color w:val="auto"/>
        </w:rPr>
      </w:pPr>
      <w:r>
        <w:rPr>
          <w:rFonts w:ascii="Arial" w:cs="Arial" w:eastAsia="Arial" w:hAnsi="Arial"/>
          <w:sz w:val="22"/>
          <w:szCs w:val="22"/>
          <w:color w:val="auto"/>
        </w:rPr>
        <w:t>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7" w:lineRule="exact"/>
        <w:rPr>
          <w:rFonts w:ascii="Arial" w:cs="Arial" w:eastAsia="Arial" w:hAnsi="Arial"/>
          <w:sz w:val="22"/>
          <w:szCs w:val="22"/>
          <w:color w:val="auto"/>
        </w:rPr>
      </w:pPr>
    </w:p>
    <w:p>
      <w:pPr>
        <w:jc w:val="both"/>
        <w:ind w:right="20" w:firstLine="872"/>
        <w:spacing w:after="0" w:line="328" w:lineRule="auto"/>
        <w:tabs>
          <w:tab w:leader="none" w:pos="1763" w:val="left"/>
        </w:tabs>
        <w:numPr>
          <w:ilvl w:val="1"/>
          <w:numId w:val="229"/>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a greater reduction in the Total Payments should have been made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excess amount shall be returned promptly by Executive to the Company.</w:t>
      </w:r>
    </w:p>
    <w:p>
      <w:pPr>
        <w:spacing w:after="0" w:line="99" w:lineRule="exact"/>
        <w:rPr>
          <w:sz w:val="20"/>
          <w:szCs w:val="20"/>
          <w:color w:val="auto"/>
        </w:rPr>
      </w:pPr>
    </w:p>
    <w:p>
      <w:pPr>
        <w:ind w:left="820" w:hanging="812"/>
        <w:spacing w:after="0"/>
        <w:tabs>
          <w:tab w:leader="none" w:pos="82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23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187" w:lineRule="exact"/>
        <w:rPr>
          <w:rFonts w:ascii="Arial" w:cs="Arial" w:eastAsia="Arial" w:hAnsi="Arial"/>
          <w:sz w:val="22"/>
          <w:szCs w:val="22"/>
          <w:color w:val="auto"/>
        </w:rPr>
      </w:pPr>
    </w:p>
    <w:p>
      <w:pPr>
        <w:ind w:firstLine="872"/>
        <w:spacing w:after="0" w:line="274" w:lineRule="auto"/>
        <w:tabs>
          <w:tab w:leader="none" w:pos="1763" w:val="left"/>
        </w:tabs>
        <w:numPr>
          <w:ilvl w:val="1"/>
          <w:numId w:val="230"/>
        </w:numPr>
        <w:rPr>
          <w:rFonts w:ascii="Arial" w:cs="Arial" w:eastAsia="Arial" w:hAnsi="Arial"/>
          <w:sz w:val="21"/>
          <w:szCs w:val="21"/>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0" w:lineRule="exact"/>
        <w:rPr>
          <w:rFonts w:ascii="Arial" w:cs="Arial" w:eastAsia="Arial" w:hAnsi="Arial"/>
          <w:sz w:val="21"/>
          <w:szCs w:val="21"/>
          <w:color w:val="auto"/>
        </w:rPr>
      </w:pPr>
    </w:p>
    <w:p>
      <w:pPr>
        <w:jc w:val="both"/>
        <w:ind w:firstLine="872"/>
        <w:spacing w:after="0"/>
        <w:tabs>
          <w:tab w:leader="none" w:pos="1751" w:val="left"/>
        </w:tabs>
        <w:numPr>
          <w:ilvl w:val="1"/>
          <w:numId w:val="23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22"/>
          <w:szCs w:val="22"/>
          <w:color w:val="auto"/>
        </w:rPr>
      </w:pPr>
    </w:p>
    <w:p>
      <w:pPr>
        <w:ind w:left="2520" w:hanging="851"/>
        <w:spacing w:after="0"/>
        <w:tabs>
          <w:tab w:leader="none" w:pos="2520" w:val="left"/>
        </w:tabs>
        <w:numPr>
          <w:ilvl w:val="2"/>
          <w:numId w:val="230"/>
        </w:numPr>
        <w:rPr>
          <w:rFonts w:ascii="Arial" w:cs="Arial" w:eastAsia="Arial" w:hAnsi="Arial"/>
          <w:sz w:val="22"/>
          <w:szCs w:val="22"/>
          <w:color w:val="auto"/>
        </w:rPr>
      </w:pPr>
      <w:r>
        <w:rPr>
          <w:rFonts w:ascii="Arial" w:cs="Arial" w:eastAsia="Arial" w:hAnsi="Arial"/>
          <w:sz w:val="22"/>
          <w:szCs w:val="22"/>
          <w:color w:val="auto"/>
        </w:rPr>
        <w:t>If to the Company, the Chief Financial Officer at its headquarters,</w:t>
      </w:r>
    </w:p>
    <w:p>
      <w:pPr>
        <w:spacing w:after="0" w:line="206" w:lineRule="exact"/>
        <w:rPr>
          <w:rFonts w:ascii="Arial" w:cs="Arial" w:eastAsia="Arial" w:hAnsi="Arial"/>
          <w:sz w:val="22"/>
          <w:szCs w:val="22"/>
          <w:color w:val="auto"/>
        </w:rPr>
      </w:pPr>
    </w:p>
    <w:p>
      <w:pPr>
        <w:ind w:left="2580" w:hanging="911"/>
        <w:spacing w:after="0"/>
        <w:tabs>
          <w:tab w:leader="none" w:pos="2580" w:val="left"/>
        </w:tabs>
        <w:numPr>
          <w:ilvl w:val="2"/>
          <w:numId w:val="230"/>
        </w:numPr>
        <w:rPr>
          <w:rFonts w:ascii="Arial" w:cs="Arial" w:eastAsia="Arial" w:hAnsi="Arial"/>
          <w:sz w:val="19"/>
          <w:szCs w:val="19"/>
          <w:color w:val="auto"/>
        </w:rPr>
      </w:pPr>
      <w:r>
        <w:rPr>
          <w:rFonts w:ascii="Arial" w:cs="Arial" w:eastAsia="Arial" w:hAnsi="Arial"/>
          <w:sz w:val="19"/>
          <w:szCs w:val="19"/>
          <w:color w:val="auto"/>
        </w:rPr>
        <w:t>If to Executive, at the last address that the Company has in its personnel records for Executive, or</w:t>
      </w:r>
    </w:p>
    <w:p>
      <w:pPr>
        <w:spacing w:after="0" w:line="240" w:lineRule="exact"/>
        <w:rPr>
          <w:rFonts w:ascii="Arial" w:cs="Arial" w:eastAsia="Arial" w:hAnsi="Arial"/>
          <w:sz w:val="19"/>
          <w:szCs w:val="19"/>
          <w:color w:val="auto"/>
        </w:rPr>
      </w:pPr>
    </w:p>
    <w:p>
      <w:pPr>
        <w:ind w:left="2640" w:hanging="971"/>
        <w:spacing w:after="0"/>
        <w:tabs>
          <w:tab w:leader="none" w:pos="2640" w:val="left"/>
        </w:tabs>
        <w:numPr>
          <w:ilvl w:val="2"/>
          <w:numId w:val="230"/>
        </w:numPr>
        <w:rPr>
          <w:rFonts w:ascii="Arial" w:cs="Arial" w:eastAsia="Arial" w:hAnsi="Arial"/>
          <w:sz w:val="21"/>
          <w:szCs w:val="21"/>
          <w:color w:val="auto"/>
        </w:rPr>
      </w:pPr>
      <w:r>
        <w:rPr>
          <w:rFonts w:ascii="Arial" w:cs="Arial" w:eastAsia="Arial" w:hAnsi="Arial"/>
          <w:sz w:val="21"/>
          <w:szCs w:val="21"/>
          <w:color w:val="auto"/>
        </w:rPr>
        <w:t>at any other address as any Party shall have specified by notice in writing to the other Party.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jc w:val="both"/>
        <w:ind w:firstLine="872"/>
        <w:spacing w:after="0"/>
        <w:tabs>
          <w:tab w:leader="none" w:pos="1763"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2"/>
          <w:szCs w:val="22"/>
          <w:color w:val="auto"/>
        </w:rPr>
      </w:pPr>
    </w:p>
    <w:p>
      <w:pPr>
        <w:jc w:val="both"/>
        <w:ind w:firstLine="872"/>
        <w:spacing w:after="0" w:line="235" w:lineRule="auto"/>
        <w:tabs>
          <w:tab w:leader="none" w:pos="1751"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The terms of this Agreement, and the Proprietary Information Agreement incorporated herein by reference as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are intended by the Parties to be the final expression of their agreement with respect to the subject matter hereof and supersede all prior understandings and agreements, whether written or oral, including the Prior Agreement.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7" w:lineRule="exact"/>
        <w:rPr>
          <w:rFonts w:ascii="Arial" w:cs="Arial" w:eastAsia="Arial" w:hAnsi="Arial"/>
          <w:sz w:val="22"/>
          <w:szCs w:val="22"/>
          <w:color w:val="auto"/>
        </w:rPr>
      </w:pPr>
    </w:p>
    <w:p>
      <w:pPr>
        <w:jc w:val="both"/>
        <w:ind w:firstLine="872"/>
        <w:spacing w:after="0" w:line="246" w:lineRule="auto"/>
        <w:tabs>
          <w:tab w:leader="none" w:pos="1727"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No Inconsistent Actions</w:t>
      </w:r>
      <w:r>
        <w:rPr>
          <w:rFonts w:ascii="Arial" w:cs="Arial" w:eastAsia="Arial" w:hAnsi="Arial"/>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4" w:lineRule="exact"/>
        <w:rPr>
          <w:rFonts w:ascii="Arial" w:cs="Arial" w:eastAsia="Arial" w:hAnsi="Arial"/>
          <w:sz w:val="22"/>
          <w:szCs w:val="22"/>
          <w:color w:val="auto"/>
        </w:rPr>
      </w:pPr>
    </w:p>
    <w:p>
      <w:pPr>
        <w:jc w:val="both"/>
        <w:ind w:firstLine="872"/>
        <w:spacing w:after="0" w:line="244" w:lineRule="auto"/>
        <w:tabs>
          <w:tab w:leader="none" w:pos="1763"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8" w:lineRule="exact"/>
        <w:rPr>
          <w:rFonts w:ascii="Arial" w:cs="Arial" w:eastAsia="Arial" w:hAnsi="Arial"/>
          <w:sz w:val="21"/>
          <w:szCs w:val="21"/>
          <w:color w:val="auto"/>
        </w:rPr>
      </w:pPr>
    </w:p>
    <w:p>
      <w:pPr>
        <w:jc w:val="both"/>
        <w:ind w:firstLine="872"/>
        <w:spacing w:after="0" w:line="287" w:lineRule="auto"/>
        <w:tabs>
          <w:tab w:leader="none" w:pos="1715"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9" w:name="page220"/>
    <w:bookmarkEnd w:id="219"/>
    <w:p>
      <w:pPr>
        <w:jc w:val="both"/>
        <w:spacing w:after="0" w:line="271" w:lineRule="auto"/>
        <w:rPr>
          <w:sz w:val="20"/>
          <w:szCs w:val="20"/>
          <w:color w:val="auto"/>
        </w:rPr>
      </w:pPr>
      <w:r>
        <w:rPr>
          <w:rFonts w:ascii="Arial" w:cs="Arial" w:eastAsia="Arial" w:hAnsi="Arial"/>
          <w:sz w:val="19"/>
          <w:szCs w:val="19"/>
          <w:color w:val="auto"/>
        </w:rPr>
        <w:t xml:space="preserve">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in this subsection shall be construed as precluding the bringing of an action for injunctive relief or specific performance as provided in this Agreement or Proprietary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200" w:lineRule="exact"/>
        <w:rPr>
          <w:sz w:val="20"/>
          <w:szCs w:val="20"/>
          <w:color w:val="auto"/>
        </w:rPr>
      </w:pPr>
    </w:p>
    <w:p>
      <w:pPr>
        <w:spacing w:after="0" w:line="203" w:lineRule="exact"/>
        <w:rPr>
          <w:sz w:val="20"/>
          <w:szCs w:val="20"/>
          <w:color w:val="auto"/>
        </w:rPr>
      </w:pPr>
    </w:p>
    <w:p>
      <w:pPr>
        <w:jc w:val="both"/>
        <w:ind w:firstLine="872"/>
        <w:spacing w:after="0" w:line="246" w:lineRule="auto"/>
        <w:tabs>
          <w:tab w:leader="none" w:pos="1715"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84" w:lineRule="exact"/>
        <w:rPr>
          <w:rFonts w:ascii="Arial" w:cs="Arial" w:eastAsia="Arial" w:hAnsi="Arial"/>
          <w:sz w:val="22"/>
          <w:szCs w:val="22"/>
          <w:color w:val="auto"/>
        </w:rPr>
      </w:pPr>
    </w:p>
    <w:p>
      <w:pPr>
        <w:ind w:left="1720" w:hanging="848"/>
        <w:spacing w:after="0"/>
        <w:tabs>
          <w:tab w:leader="none" w:pos="172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1"/>
          <w:numId w:val="232"/>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intent of the Parties is that the payments and benefits under this Agreement comply</w:t>
      </w:r>
      <w:r>
        <w:rPr>
          <w:rFonts w:ascii="Arial" w:cs="Arial" w:eastAsia="Arial" w:hAnsi="Arial"/>
          <w:sz w:val="22"/>
          <w:szCs w:val="22"/>
          <w:i w:val="1"/>
          <w:iCs w:val="1"/>
          <w:color w:val="auto"/>
        </w:rPr>
        <w:t xml:space="preserve"> </w:t>
      </w:r>
      <w:r>
        <w:rPr>
          <w:rFonts w:ascii="Arial" w:cs="Arial" w:eastAsia="Arial" w:hAnsi="Arial"/>
          <w:sz w:val="22"/>
          <w:szCs w:val="22"/>
          <w:color w:val="auto"/>
        </w:rPr>
        <w:t>with or be exempt from Section 409A and, accordingly, to the maximum extent permitted, this Agreement shall be interpreted to be in compliance therewith.</w:t>
      </w:r>
    </w:p>
    <w:p>
      <w:pPr>
        <w:spacing w:after="0" w:line="186" w:lineRule="exact"/>
        <w:rPr>
          <w:rFonts w:ascii="Arial" w:cs="Arial" w:eastAsia="Arial" w:hAnsi="Arial"/>
          <w:sz w:val="22"/>
          <w:szCs w:val="22"/>
          <w:color w:val="auto"/>
        </w:rPr>
      </w:pPr>
    </w:p>
    <w:p>
      <w:pPr>
        <w:jc w:val="both"/>
        <w:ind w:left="880" w:firstLine="789"/>
        <w:spacing w:after="0"/>
        <w:tabs>
          <w:tab w:leader="none" w:pos="2589" w:val="left"/>
        </w:tabs>
        <w:numPr>
          <w:ilvl w:val="1"/>
          <w:numId w:val="232"/>
        </w:numPr>
        <w:rPr>
          <w:rFonts w:ascii="Arial" w:cs="Arial" w:eastAsia="Arial" w:hAnsi="Arial"/>
          <w:sz w:val="22"/>
          <w:szCs w:val="22"/>
          <w:color w:val="auto"/>
        </w:rPr>
      </w:pPr>
      <w:r>
        <w:rPr>
          <w:rFonts w:ascii="Arial" w:cs="Arial" w:eastAsia="Arial" w:hAnsi="Arial"/>
          <w:sz w:val="22"/>
          <w:szCs w:val="22"/>
          <w:i w:val="1"/>
          <w:iCs w:val="1"/>
          <w:color w:val="auto"/>
        </w:rPr>
        <w:t xml:space="preserve">Separation from Service. </w:t>
      </w:r>
      <w:r>
        <w:rPr>
          <w:rFonts w:ascii="Arial" w:cs="Arial" w:eastAsia="Arial" w:hAnsi="Arial"/>
          <w:sz w:val="22"/>
          <w:szCs w:val="22"/>
          <w:color w:val="auto"/>
        </w:rPr>
        <w:t>Notwithstanding anything in this Agreement to the contrary, any</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or benefits payable under this Agreement that is designated under this Agreement as payable upon Executive’s termination of employment shall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0" w:name="page221"/>
    <w:bookmarkEnd w:id="220"/>
    <w:p>
      <w:pPr>
        <w:jc w:val="both"/>
        <w:ind w:left="880"/>
        <w:spacing w:after="0" w:line="246" w:lineRule="auto"/>
        <w:rPr>
          <w:sz w:val="20"/>
          <w:szCs w:val="20"/>
          <w:color w:val="auto"/>
        </w:rPr>
      </w:pPr>
      <w:r>
        <w:rPr>
          <w:rFonts w:ascii="Arial" w:cs="Arial" w:eastAsia="Arial" w:hAnsi="Arial"/>
          <w:sz w:val="21"/>
          <w:szCs w:val="21"/>
          <w:color w:val="auto"/>
        </w:rPr>
        <w:t>payable only upon Executive’s “separation from service” with the Company within the meaning of Section 409A (a “</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xml:space="preserve">”) and, except as provided below, any such compensation or benefits described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not be paid, or, in the case of installments, shall not commence payment, until the thirtieth (30th) day following Executive’s Separation from Service (the “</w:t>
      </w:r>
      <w:r>
        <w:rPr>
          <w:rFonts w:ascii="Arial" w:cs="Arial" w:eastAsia="Arial" w:hAnsi="Arial"/>
          <w:sz w:val="21"/>
          <w:szCs w:val="21"/>
          <w:u w:val="single" w:color="auto"/>
          <w:color w:val="auto"/>
        </w:rPr>
        <w:t>First Payment Date</w:t>
      </w:r>
      <w:r>
        <w:rPr>
          <w:rFonts w:ascii="Arial" w:cs="Arial" w:eastAsia="Arial" w:hAnsi="Arial"/>
          <w:sz w:val="21"/>
          <w:szCs w:val="21"/>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84" w:lineRule="exact"/>
        <w:rPr>
          <w:sz w:val="20"/>
          <w:szCs w:val="20"/>
          <w:color w:val="auto"/>
        </w:rPr>
      </w:pPr>
    </w:p>
    <w:p>
      <w:pPr>
        <w:jc w:val="both"/>
        <w:ind w:left="880" w:firstLine="789"/>
        <w:spacing w:after="0" w:line="245" w:lineRule="auto"/>
        <w:tabs>
          <w:tab w:leader="none" w:pos="2649" w:val="left"/>
        </w:tabs>
        <w:numPr>
          <w:ilvl w:val="1"/>
          <w:numId w:val="233"/>
        </w:numPr>
        <w:rPr>
          <w:rFonts w:ascii="Arial" w:cs="Arial" w:eastAsia="Arial" w:hAnsi="Arial"/>
          <w:sz w:val="21"/>
          <w:szCs w:val="21"/>
          <w:color w:val="auto"/>
        </w:rPr>
      </w:pPr>
      <w:r>
        <w:rPr>
          <w:rFonts w:ascii="Arial" w:cs="Arial" w:eastAsia="Arial" w:hAnsi="Arial"/>
          <w:sz w:val="21"/>
          <w:szCs w:val="21"/>
          <w:i w:val="1"/>
          <w:iCs w:val="1"/>
          <w:color w:val="auto"/>
        </w:rPr>
        <w:t xml:space="preserve">Specified Employee. </w:t>
      </w:r>
      <w:r>
        <w:rPr>
          <w:rFonts w:ascii="Arial" w:cs="Arial" w:eastAsia="Arial" w:hAnsi="Arial"/>
          <w:sz w:val="21"/>
          <w:szCs w:val="21"/>
          <w:color w:val="auto"/>
        </w:rPr>
        <w:t>Notwithstanding anything in this Agreement to the contrary, if Executive is</w:t>
      </w:r>
      <w:r>
        <w:rPr>
          <w:rFonts w:ascii="Arial" w:cs="Arial" w:eastAsia="Arial" w:hAnsi="Arial"/>
          <w:sz w:val="21"/>
          <w:szCs w:val="21"/>
          <w:i w:val="1"/>
          <w:iCs w:val="1"/>
          <w:color w:val="auto"/>
        </w:rPr>
        <w:t xml:space="preserve"> </w:t>
      </w:r>
      <w:r>
        <w:rPr>
          <w:rFonts w:ascii="Arial" w:cs="Arial" w:eastAsia="Arial" w:hAnsi="Arial"/>
          <w:sz w:val="21"/>
          <w:szCs w:val="21"/>
          <w:color w:val="auto"/>
        </w:rPr>
        <w:t>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0" w:lineRule="exact"/>
        <w:rPr>
          <w:rFonts w:ascii="Arial" w:cs="Arial" w:eastAsia="Arial" w:hAnsi="Arial"/>
          <w:sz w:val="21"/>
          <w:szCs w:val="21"/>
          <w:color w:val="auto"/>
        </w:rPr>
      </w:pPr>
    </w:p>
    <w:p>
      <w:pPr>
        <w:jc w:val="both"/>
        <w:ind w:left="880" w:firstLine="789"/>
        <w:spacing w:after="0" w:line="246" w:lineRule="auto"/>
        <w:tabs>
          <w:tab w:leader="none" w:pos="2637" w:val="left"/>
        </w:tabs>
        <w:numPr>
          <w:ilvl w:val="1"/>
          <w:numId w:val="233"/>
        </w:numPr>
        <w:rPr>
          <w:rFonts w:ascii="Arial" w:cs="Arial" w:eastAsia="Arial" w:hAnsi="Arial"/>
          <w:sz w:val="21"/>
          <w:szCs w:val="21"/>
          <w:color w:val="auto"/>
        </w:rPr>
      </w:pPr>
      <w:r>
        <w:rPr>
          <w:rFonts w:ascii="Arial" w:cs="Arial" w:eastAsia="Arial" w:hAnsi="Arial"/>
          <w:sz w:val="21"/>
          <w:szCs w:val="21"/>
          <w:i w:val="1"/>
          <w:iCs w:val="1"/>
          <w:color w:val="auto"/>
        </w:rPr>
        <w:t xml:space="preserve">Expense Reimbursements. </w:t>
      </w:r>
      <w:r>
        <w:rPr>
          <w:rFonts w:ascii="Arial" w:cs="Arial" w:eastAsia="Arial" w:hAnsi="Arial"/>
          <w:sz w:val="21"/>
          <w:szCs w:val="21"/>
          <w:color w:val="auto"/>
        </w:rPr>
        <w:t>To the extent that any reimbursements under this Agreement are subject</w:t>
      </w:r>
      <w:r>
        <w:rPr>
          <w:rFonts w:ascii="Arial" w:cs="Arial" w:eastAsia="Arial" w:hAnsi="Arial"/>
          <w:sz w:val="21"/>
          <w:szCs w:val="21"/>
          <w:i w:val="1"/>
          <w:iCs w:val="1"/>
          <w:color w:val="auto"/>
        </w:rPr>
        <w:t xml:space="preserve"> </w:t>
      </w:r>
      <w:r>
        <w:rPr>
          <w:rFonts w:ascii="Arial" w:cs="Arial" w:eastAsia="Arial" w:hAnsi="Arial"/>
          <w:sz w:val="21"/>
          <w:szCs w:val="21"/>
          <w:color w:val="auto"/>
        </w:rPr>
        <w:t>to 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spacing w:after="0" w:line="184" w:lineRule="exact"/>
        <w:rPr>
          <w:rFonts w:ascii="Arial" w:cs="Arial" w:eastAsia="Arial" w:hAnsi="Arial"/>
          <w:sz w:val="21"/>
          <w:szCs w:val="21"/>
          <w:color w:val="auto"/>
        </w:rPr>
      </w:pPr>
    </w:p>
    <w:p>
      <w:pPr>
        <w:jc w:val="both"/>
        <w:ind w:left="880" w:firstLine="789"/>
        <w:spacing w:after="0" w:line="248" w:lineRule="auto"/>
        <w:tabs>
          <w:tab w:leader="none" w:pos="2577" w:val="left"/>
        </w:tabs>
        <w:numPr>
          <w:ilvl w:val="1"/>
          <w:numId w:val="233"/>
        </w:numPr>
        <w:rPr>
          <w:rFonts w:ascii="Arial" w:cs="Arial" w:eastAsia="Arial" w:hAnsi="Arial"/>
          <w:sz w:val="21"/>
          <w:szCs w:val="21"/>
          <w:color w:val="auto"/>
        </w:rPr>
      </w:pPr>
      <w:r>
        <w:rPr>
          <w:rFonts w:ascii="Arial" w:cs="Arial" w:eastAsia="Arial" w:hAnsi="Arial"/>
          <w:sz w:val="21"/>
          <w:szCs w:val="21"/>
          <w:i w:val="1"/>
          <w:iCs w:val="1"/>
          <w:color w:val="auto"/>
        </w:rPr>
        <w:t xml:space="preserve">Installments. </w:t>
      </w:r>
      <w:r>
        <w:rPr>
          <w:rFonts w:ascii="Arial" w:cs="Arial" w:eastAsia="Arial" w:hAnsi="Arial"/>
          <w:sz w:val="21"/>
          <w:szCs w:val="21"/>
          <w:color w:val="auto"/>
        </w:rPr>
        <w:t>Executive’s right to receive any installment payments under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70" w:lineRule="exact"/>
        <w:rPr>
          <w:rFonts w:ascii="Arial" w:cs="Arial" w:eastAsia="Arial" w:hAnsi="Arial"/>
          <w:sz w:val="21"/>
          <w:szCs w:val="21"/>
          <w:color w:val="auto"/>
        </w:rPr>
      </w:pPr>
    </w:p>
    <w:p>
      <w:pPr>
        <w:ind w:left="920" w:hanging="912"/>
        <w:spacing w:after="0"/>
        <w:tabs>
          <w:tab w:leader="none" w:pos="92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Executive Acknowledgement</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Executive acknowledges that Executive has read and understands this Agreement, is fully aware of its legal effect, has not acted in reliance upon any representations or promises made by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1" w:name="page222"/>
    <w:bookmarkEnd w:id="221"/>
    <w:p>
      <w:pPr>
        <w:spacing w:after="0" w:line="250" w:lineRule="auto"/>
        <w:rPr>
          <w:sz w:val="20"/>
          <w:szCs w:val="20"/>
          <w:color w:val="auto"/>
        </w:rPr>
      </w:pPr>
      <w:r>
        <w:rPr>
          <w:rFonts w:ascii="Arial" w:cs="Arial" w:eastAsia="Arial" w:hAnsi="Arial"/>
          <w:sz w:val="22"/>
          <w:szCs w:val="22"/>
          <w:color w:val="auto"/>
        </w:rPr>
        <w:t>the Company other than those contained in writing herein, and has entered into this Agreement freely based on Executive’s own judgment.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2" w:name="page223"/>
    <w:bookmarkEnd w:id="222"/>
    <w:p>
      <w:pPr>
        <w:spacing w:after="0"/>
        <w:rPr>
          <w:sz w:val="20"/>
          <w:szCs w:val="20"/>
          <w:color w:val="auto"/>
        </w:rPr>
      </w:pPr>
      <w:r>
        <w:rPr>
          <w:rFonts w:ascii="Arial" w:cs="Arial" w:eastAsia="Arial" w:hAnsi="Arial"/>
          <w:sz w:val="19"/>
          <w:szCs w:val="19"/>
          <w:color w:val="auto"/>
        </w:rPr>
        <w:t>IN WITNESS WHEREOF, the Parties have executed this Agreement on the date and year first above written.</w:t>
      </w:r>
    </w:p>
    <w:p>
      <w:pPr>
        <w:spacing w:after="0" w:line="23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SERES THERAPEUTICS, INC.</w:t>
      </w:r>
    </w:p>
    <w:p>
      <w:pPr>
        <w:spacing w:after="0" w:line="21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By: /s/ Eric D. Shaff</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-157480</wp:posOffset>
            </wp:positionV>
            <wp:extent cx="33515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Title: President, CEO</w:t>
      </w:r>
    </w:p>
    <w:p>
      <w:pPr>
        <w:spacing w:after="0" w:line="200" w:lineRule="exact"/>
        <w:rPr>
          <w:sz w:val="20"/>
          <w:szCs w:val="20"/>
          <w:color w:val="auto"/>
        </w:rPr>
      </w:pPr>
    </w:p>
    <w:p>
      <w:pPr>
        <w:spacing w:after="0" w:line="20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 Lisa von Moltke,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6985</wp:posOffset>
            </wp:positionV>
            <wp:extent cx="33515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Lisa von Moltke,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00" w:top="334" w:right="1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Separation Agreement and Release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Lisa von Moltke, M.D. (“</w:t>
      </w:r>
      <w:r>
        <w:rPr>
          <w:rFonts w:ascii="Arial" w:cs="Arial" w:eastAsia="Arial" w:hAnsi="Arial"/>
          <w:sz w:val="22"/>
          <w:szCs w:val="22"/>
          <w:u w:val="single" w:color="auto"/>
          <w:color w:val="auto"/>
        </w:rPr>
        <w:t>Executive</w:t>
      </w:r>
      <w:r>
        <w:rPr>
          <w:rFonts w:ascii="Arial" w:cs="Arial" w:eastAsia="Arial" w:hAnsi="Arial"/>
          <w:sz w:val="22"/>
          <w:szCs w:val="22"/>
          <w:color w:val="auto"/>
        </w:rPr>
        <w:t>”) and Seres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 Capitalized terms used but not defined in this Agreement shall have the meanings set forth in the Employment Agreement (as defined below).</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Parties have previously entered into that certain Amended and Restated Employment Agreement, dated as of _____________, 2021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w:t>
      </w:r>
    </w:p>
    <w:p>
      <w:pPr>
        <w:spacing w:after="0" w:line="17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WHEREAS, in connection with Executive’s termination of employment with the Company or a subsidiary or affiliate of the Company effective ________, 20__, the Parties wish to resolve any and all disputes, claims, complaints, grievances,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or Executive’s right to indemnification by the Company or any of its affiliates pursuant to contract or applicable law (collectively, the “</w:t>
      </w:r>
      <w:r>
        <w:rPr>
          <w:rFonts w:ascii="Arial" w:cs="Arial" w:eastAsia="Arial" w:hAnsi="Arial"/>
          <w:sz w:val="22"/>
          <w:szCs w:val="22"/>
          <w:u w:val="single" w:color="auto"/>
          <w:color w:val="auto"/>
        </w:rPr>
        <w:t>Retained Claims</w:t>
      </w:r>
      <w:r>
        <w:rPr>
          <w:rFonts w:ascii="Arial" w:cs="Arial" w:eastAsia="Arial" w:hAnsi="Arial"/>
          <w:sz w:val="22"/>
          <w:szCs w:val="22"/>
          <w:color w:val="auto"/>
        </w:rPr>
        <w:t>”).</w:t>
      </w:r>
    </w:p>
    <w:p>
      <w:pPr>
        <w:spacing w:after="0" w:line="18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5" w:lineRule="exact"/>
        <w:rPr>
          <w:sz w:val="20"/>
          <w:szCs w:val="20"/>
          <w:color w:val="auto"/>
        </w:rPr>
      </w:pPr>
    </w:p>
    <w:p>
      <w:pPr>
        <w:jc w:val="both"/>
        <w:ind w:firstLine="872"/>
        <w:spacing w:after="0" w:line="235" w:lineRule="auto"/>
        <w:tabs>
          <w:tab w:leader="none" w:pos="1674"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Severance Payments and Benefits; Salary and Benefits</w:t>
      </w:r>
      <w:r>
        <w:rPr>
          <w:rFonts w:ascii="Arial" w:cs="Arial" w:eastAsia="Arial" w:hAnsi="Arial"/>
          <w:sz w:val="22"/>
          <w:szCs w:val="22"/>
          <w:color w:val="auto"/>
        </w:rPr>
        <w:t>. The Company agrees to provide Executive with the severance payments and benefits described in Section 4(b) and/or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7" w:lineRule="exact"/>
        <w:rPr>
          <w:rFonts w:ascii="Arial" w:cs="Arial" w:eastAsia="Arial" w:hAnsi="Arial"/>
          <w:sz w:val="22"/>
          <w:szCs w:val="22"/>
          <w:color w:val="auto"/>
        </w:rPr>
      </w:pPr>
    </w:p>
    <w:p>
      <w:pPr>
        <w:jc w:val="both"/>
        <w:ind w:firstLine="872"/>
        <w:spacing w:after="0" w:line="275" w:lineRule="auto"/>
        <w:tabs>
          <w:tab w:leader="none" w:pos="1674"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Executive, on Executive’s own behalf and on behalf of any of Executive’s affiliated companies or entities and any of Executive’s or their respective heirs, family members, executors, agents, and assigns, other than with respect to the Retained Claims, hereby and forever releases the Releasees from, and agrees not to sue concerning,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4" w:name="page225"/>
    <w:bookmarkEnd w:id="224"/>
    <w:p>
      <w:pPr>
        <w:jc w:val="both"/>
        <w:spacing w:after="0" w:line="238" w:lineRule="auto"/>
        <w:rPr>
          <w:sz w:val="20"/>
          <w:szCs w:val="20"/>
          <w:color w:val="auto"/>
        </w:rPr>
      </w:pPr>
      <w:r>
        <w:rPr>
          <w:rFonts w:ascii="Arial" w:cs="Arial" w:eastAsia="Arial" w:hAnsi="Arial"/>
          <w:sz w:val="22"/>
          <w:szCs w:val="22"/>
          <w:color w:val="auto"/>
        </w:rPr>
        <w:t>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85" w:lineRule="exact"/>
        <w:rPr>
          <w:sz w:val="20"/>
          <w:szCs w:val="20"/>
          <w:color w:val="auto"/>
        </w:rPr>
      </w:pPr>
    </w:p>
    <w:p>
      <w:pPr>
        <w:ind w:right="20" w:firstLine="1735"/>
        <w:spacing w:after="0" w:line="274" w:lineRule="auto"/>
        <w:tabs>
          <w:tab w:leader="none" w:pos="2615"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and all claims relating to or arising from Executive’s employment or service relationship with the Company or any of its direct or indirect subsidiaries or affiliates and the termination of that relationship;</w:t>
      </w:r>
    </w:p>
    <w:p>
      <w:pPr>
        <w:spacing w:after="0" w:line="150"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84" w:lineRule="exact"/>
        <w:rPr>
          <w:rFonts w:ascii="Arial" w:cs="Arial" w:eastAsia="Arial" w:hAnsi="Arial"/>
          <w:sz w:val="22"/>
          <w:szCs w:val="22"/>
          <w:color w:val="auto"/>
        </w:rPr>
      </w:pPr>
    </w:p>
    <w:p>
      <w:pPr>
        <w:jc w:val="both"/>
        <w:ind w:firstLine="1735"/>
        <w:spacing w:after="0" w:line="235" w:lineRule="auto"/>
        <w:tabs>
          <w:tab w:leader="none" w:pos="2615"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7" w:lineRule="exact"/>
        <w:rPr>
          <w:rFonts w:ascii="Arial" w:cs="Arial" w:eastAsia="Arial" w:hAnsi="Arial"/>
          <w:sz w:val="22"/>
          <w:szCs w:val="22"/>
          <w:color w:val="auto"/>
        </w:rPr>
      </w:pPr>
    </w:p>
    <w:p>
      <w:pPr>
        <w:jc w:val="both"/>
        <w:ind w:firstLine="1735"/>
        <w:spacing w:after="0" w:line="235" w:lineRule="auto"/>
        <w:tabs>
          <w:tab w:leader="none" w:pos="262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06" w:lineRule="exact"/>
        <w:rPr>
          <w:rFonts w:ascii="Arial" w:cs="Arial" w:eastAsia="Arial" w:hAnsi="Arial"/>
          <w:sz w:val="22"/>
          <w:szCs w:val="22"/>
          <w:color w:val="auto"/>
        </w:rPr>
      </w:pPr>
    </w:p>
    <w:p>
      <w:pPr>
        <w:ind w:left="2600" w:hanging="865"/>
        <w:spacing w:after="0"/>
        <w:tabs>
          <w:tab w:leader="none" w:pos="260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and all claims arising out of any other laws and regulations relating to employment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employment discrimination;</w:t>
      </w:r>
    </w:p>
    <w:p>
      <w:pPr>
        <w:spacing w:after="0" w:line="188" w:lineRule="exact"/>
        <w:rPr>
          <w:rFonts w:ascii="Arial" w:cs="Arial" w:eastAsia="Arial" w:hAnsi="Arial"/>
          <w:sz w:val="21"/>
          <w:szCs w:val="21"/>
          <w:color w:val="auto"/>
        </w:rPr>
      </w:pPr>
    </w:p>
    <w:p>
      <w:pPr>
        <w:ind w:right="20" w:firstLine="1735"/>
        <w:spacing w:after="0" w:line="250" w:lineRule="auto"/>
        <w:tabs>
          <w:tab w:leader="none" w:pos="262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2"/>
          <w:szCs w:val="22"/>
          <w:color w:val="auto"/>
        </w:rPr>
      </w:pPr>
    </w:p>
    <w:p>
      <w:pPr>
        <w:ind w:left="2580" w:hanging="845"/>
        <w:spacing w:after="0"/>
        <w:tabs>
          <w:tab w:leader="none" w:pos="25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5" w:name="page226"/>
    <w:bookmarkEnd w:id="225"/>
    <w:p>
      <w:pPr>
        <w:jc w:val="both"/>
        <w:spacing w:after="0" w:line="270"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Executive’s right to receive an award for information provided to any such government agencies),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w:t>
      </w:r>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271" w:lineRule="auto"/>
        <w:tabs>
          <w:tab w:leader="none" w:pos="1674"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Executive is waiving and releasing any rights Executive may have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expressly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872"/>
        <w:spacing w:after="0" w:line="250" w:lineRule="auto"/>
        <w:tabs>
          <w:tab w:leader="none" w:pos="1674"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Post-Termination Obligations</w:t>
      </w:r>
      <w:r>
        <w:rPr>
          <w:rFonts w:ascii="Arial" w:cs="Arial" w:eastAsia="Arial" w:hAnsi="Arial"/>
          <w:sz w:val="22"/>
          <w:szCs w:val="22"/>
          <w:color w:val="auto"/>
        </w:rPr>
        <w:t>. Executive reaffirms Executive’s continuing obligations under the Proprietary Information Agreement between Executive and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6" w:name="page227"/>
    <w:bookmarkEnd w:id="226"/>
    <w:p>
      <w:pPr>
        <w:spacing w:after="0"/>
        <w:rPr>
          <w:sz w:val="20"/>
          <w:szCs w:val="20"/>
          <w:color w:val="auto"/>
        </w:rPr>
      </w:pPr>
      <w:r>
        <w:rPr>
          <w:rFonts w:ascii="Arial" w:cs="Arial" w:eastAsia="Arial" w:hAnsi="Arial"/>
          <w:sz w:val="19"/>
          <w:szCs w:val="19"/>
          <w:color w:val="auto"/>
        </w:rPr>
        <w:t>dated as of [_________], and, without limiting the foregoing, Executive remakes the non-competition covenants set forth in the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Proprietary Information Agreement as if set forth herein. In addition, Executive agrees to refrain from Disparaging (as defined below) the Company and its affiliates, including their respective services, technologies, practices, directors and officers. The Company agrees to instruct its officers and directors to refrain from Disparaging Executive. Nothing in this Section shall preclude any Party from making truthful statements that are reasonably necessary to comply with applicable law, regulation or legal process, or to defend or enforce a Party’s rights under this Agreement or the Employment Agreement. For purposes of this Agreement, “Disparaging” means making remarks, comments or statements, whether written or oral, that impugn the character, integrity, reputation or abilities of the individual or entity being disparaged.</w:t>
      </w:r>
    </w:p>
    <w:p>
      <w:pPr>
        <w:spacing w:after="0" w:line="159" w:lineRule="exact"/>
        <w:rPr>
          <w:sz w:val="20"/>
          <w:szCs w:val="20"/>
          <w:color w:val="auto"/>
        </w:rPr>
      </w:pPr>
    </w:p>
    <w:p>
      <w:pPr>
        <w:jc w:val="both"/>
        <w:ind w:firstLine="872"/>
        <w:spacing w:after="0" w:line="257" w:lineRule="auto"/>
        <w:tabs>
          <w:tab w:leader="none" w:pos="1674"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9" w:lineRule="exact"/>
        <w:rPr>
          <w:sz w:val="20"/>
          <w:szCs w:val="20"/>
          <w:color w:val="auto"/>
        </w:rPr>
      </w:pPr>
    </w:p>
    <w:p>
      <w:pPr>
        <w:ind w:firstLine="872"/>
        <w:spacing w:after="0" w:line="250" w:lineRule="auto"/>
        <w:tabs>
          <w:tab w:leader="none" w:pos="1620"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Executive and a duly authorized officer of the Company.</w:t>
      </w:r>
    </w:p>
    <w:p>
      <w:pPr>
        <w:spacing w:after="0" w:line="175" w:lineRule="exact"/>
        <w:rPr>
          <w:sz w:val="20"/>
          <w:szCs w:val="20"/>
          <w:color w:val="auto"/>
        </w:rPr>
      </w:pPr>
    </w:p>
    <w:p>
      <w:pPr>
        <w:ind w:firstLine="872"/>
        <w:spacing w:after="0" w:line="250" w:lineRule="auto"/>
        <w:tabs>
          <w:tab w:leader="none" w:pos="1674"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 This Agreement shall be subject to the provisions of Sections 9(a), 9(c) and 9(i) of the Employment Agreement.</w:t>
      </w:r>
    </w:p>
    <w:p>
      <w:pPr>
        <w:spacing w:after="0" w:line="174" w:lineRule="exact"/>
        <w:rPr>
          <w:rFonts w:ascii="Arial" w:cs="Arial" w:eastAsia="Arial" w:hAnsi="Arial"/>
          <w:sz w:val="22"/>
          <w:szCs w:val="22"/>
          <w:color w:val="auto"/>
        </w:rPr>
      </w:pPr>
    </w:p>
    <w:p>
      <w:pPr>
        <w:jc w:val="both"/>
        <w:ind w:firstLine="872"/>
        <w:spacing w:after="0"/>
        <w:tabs>
          <w:tab w:leader="none" w:pos="1674"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has seven business days after Executive signs this Agreement to revoke it and this Agreement will become effective upon the expiration of such seven business day period, so long as it has been signed by the Parties and has not been revoked by Executive before that date.</w:t>
      </w:r>
    </w:p>
    <w:p>
      <w:pPr>
        <w:spacing w:after="0" w:line="186" w:lineRule="exact"/>
        <w:rPr>
          <w:rFonts w:ascii="Arial" w:cs="Arial" w:eastAsia="Arial" w:hAnsi="Arial"/>
          <w:sz w:val="22"/>
          <w:szCs w:val="22"/>
          <w:color w:val="auto"/>
        </w:rPr>
      </w:pPr>
    </w:p>
    <w:p>
      <w:pPr>
        <w:jc w:val="both"/>
        <w:ind w:firstLine="872"/>
        <w:spacing w:after="0" w:line="271" w:lineRule="auto"/>
        <w:tabs>
          <w:tab w:leader="none" w:pos="1674"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Trade Secrets; Whistleblower Protections</w:t>
      </w:r>
      <w:r>
        <w:rPr>
          <w:rFonts w:ascii="Arial" w:cs="Arial" w:eastAsia="Arial" w:hAnsi="Arial"/>
          <w:sz w:val="19"/>
          <w:szCs w:val="19"/>
          <w:color w:val="auto"/>
        </w:rPr>
        <w:t>. In accordance with 18 U.S.C. §1833, notwithstanding anything to the contrary in this Agreement, the Employment Agreement, the Proprietary Information Agreement or any other agreement between Executive and the Company or any of its subsidiaries in effect as of the date Executive receives this Agreement (together, the “</w:t>
      </w:r>
      <w:r>
        <w:rPr>
          <w:rFonts w:ascii="Arial" w:cs="Arial" w:eastAsia="Arial" w:hAnsi="Arial"/>
          <w:sz w:val="19"/>
          <w:szCs w:val="19"/>
          <w:u w:val="single" w:color="auto"/>
          <w:color w:val="auto"/>
        </w:rPr>
        <w:t>Subject Documents</w:t>
      </w:r>
      <w:r>
        <w:rPr>
          <w:rFonts w:ascii="Arial" w:cs="Arial" w:eastAsia="Arial" w:hAnsi="Arial"/>
          <w:sz w:val="19"/>
          <w:szCs w:val="19"/>
          <w:color w:val="auto"/>
        </w:rPr>
        <w:t>”): (a) Executive will not be in breach of the Subject Documents,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7" w:name="page228"/>
    <w:bookmarkEnd w:id="227"/>
    <w:p>
      <w:pPr>
        <w:spacing w:after="0" w:line="250" w:lineRule="auto"/>
        <w:rPr>
          <w:sz w:val="20"/>
          <w:szCs w:val="20"/>
          <w:color w:val="auto"/>
        </w:rPr>
      </w:pPr>
      <w:r>
        <w:rPr>
          <w:rFonts w:ascii="Arial" w:cs="Arial" w:eastAsia="Arial" w:hAnsi="Arial"/>
          <w:sz w:val="22"/>
          <w:szCs w:val="22"/>
          <w:color w:val="auto"/>
        </w:rPr>
        <w:t>law or regulation or releases or restrains Executive’s right to receive an award for information provided to any such government agencies.</w:t>
      </w:r>
    </w:p>
    <w:p>
      <w:pPr>
        <w:spacing w:after="0" w:line="175" w:lineRule="exact"/>
        <w:rPr>
          <w:sz w:val="20"/>
          <w:szCs w:val="20"/>
          <w:color w:val="auto"/>
        </w:rPr>
      </w:pPr>
    </w:p>
    <w:p>
      <w:pPr>
        <w:jc w:val="both"/>
        <w:ind w:firstLine="872"/>
        <w:spacing w:after="0" w:line="246" w:lineRule="auto"/>
        <w:tabs>
          <w:tab w:leader="none" w:pos="1782" w:val="left"/>
        </w:tabs>
        <w:numPr>
          <w:ilvl w:val="0"/>
          <w:numId w:val="241"/>
        </w:numPr>
        <w:rPr>
          <w:rFonts w:ascii="Arial" w:cs="Arial" w:eastAsia="Arial" w:hAnsi="Arial"/>
          <w:sz w:val="21"/>
          <w:szCs w:val="21"/>
          <w:color w:val="auto"/>
        </w:rPr>
      </w:pPr>
      <w:r>
        <w:rPr>
          <w:rFonts w:ascii="Arial" w:cs="Arial" w:eastAsia="Arial" w:hAnsi="Arial"/>
          <w:sz w:val="21"/>
          <w:szCs w:val="21"/>
          <w:u w:val="single" w:color="auto"/>
          <w:color w:val="auto"/>
        </w:rPr>
        <w:t>Voluntary Execution of Agreement</w:t>
      </w:r>
      <w:r>
        <w:rPr>
          <w:rFonts w:ascii="Arial" w:cs="Arial" w:eastAsia="Arial" w:hAnsi="Arial"/>
          <w:sz w:val="21"/>
          <w:szCs w:val="21"/>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8" w:name="page229"/>
    <w:bookmarkEnd w:id="228"/>
    <w:p>
      <w:pPr>
        <w:ind w:left="88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65747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Lisa von Moltke, M.D.</w:t>
      </w:r>
    </w:p>
    <w:p>
      <w:pPr>
        <w:spacing w:after="0" w:line="182"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SERES THERAPEUTICS, INC.</w:t>
      </w:r>
    </w:p>
    <w:p>
      <w:pPr>
        <w:spacing w:after="0" w:line="14" w:lineRule="exact"/>
        <w:rPr>
          <w:sz w:val="20"/>
          <w:szCs w:val="20"/>
          <w:color w:val="auto"/>
        </w:rPr>
      </w:pPr>
    </w:p>
    <w:p>
      <w:pPr>
        <w:spacing w:after="0"/>
        <w:tabs>
          <w:tab w:leader="none" w:pos="63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-3810</wp:posOffset>
            </wp:positionV>
            <wp:extent cx="27514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-3810</wp:posOffset>
            </wp:positionV>
            <wp:extent cx="18345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690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60"/>
          </w:cols>
          <w:pgMar w:left="320" w:top="550" w:right="1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333-236824, 333-230092, 333-223514, 333-210171 and 333-205253) and Form S-3 (No.333-244401 and 333-237033) of Seres Therapeutics, Inc. of our report dated March 2, 2021 relating to the financial statements,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D. Shaff, certify that:</w:t>
      </w:r>
    </w:p>
    <w:p>
      <w:pPr>
        <w:spacing w:after="0" w:line="117" w:lineRule="exact"/>
        <w:rPr>
          <w:sz w:val="20"/>
          <w:szCs w:val="20"/>
          <w:color w:val="auto"/>
        </w:rPr>
      </w:pPr>
    </w:p>
    <w:p>
      <w:pPr>
        <w:ind w:left="780" w:hanging="183"/>
        <w:spacing w:after="0"/>
        <w:tabs>
          <w:tab w:leader="none" w:pos="7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260" w:firstLine="597"/>
        <w:spacing w:after="0" w:line="263" w:lineRule="auto"/>
        <w:tabs>
          <w:tab w:leader="none" w:pos="7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20" w:firstLine="597"/>
        <w:spacing w:after="0" w:line="308" w:lineRule="auto"/>
        <w:tabs>
          <w:tab w:leader="none" w:pos="76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597"/>
        <w:spacing w:after="0" w:line="263" w:lineRule="auto"/>
        <w:tabs>
          <w:tab w:leader="none" w:pos="7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00" w:right="340" w:firstLine="554"/>
        <w:spacing w:after="0" w:line="263" w:lineRule="auto"/>
        <w:tabs>
          <w:tab w:leader="none" w:pos="140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00" w:right="20" w:firstLine="554"/>
        <w:spacing w:after="0" w:line="263" w:lineRule="auto"/>
        <w:tabs>
          <w:tab w:leader="none" w:pos="141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00" w:right="140" w:firstLine="554"/>
        <w:spacing w:after="0" w:line="342" w:lineRule="auto"/>
        <w:tabs>
          <w:tab w:leader="none" w:pos="140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100" w:firstLine="554"/>
        <w:spacing w:after="0" w:line="263" w:lineRule="auto"/>
        <w:tabs>
          <w:tab w:leader="none" w:pos="141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97"/>
        <w:spacing w:after="0" w:line="308" w:lineRule="auto"/>
        <w:tabs>
          <w:tab w:leader="none" w:pos="76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360" w:firstLine="554"/>
        <w:spacing w:after="0" w:line="308" w:lineRule="auto"/>
        <w:tabs>
          <w:tab w:leader="none" w:pos="1402" w:val="left"/>
        </w:tabs>
        <w:numPr>
          <w:ilvl w:val="1"/>
          <w:numId w:val="2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40" w:firstLine="554"/>
        <w:spacing w:after="0" w:line="277" w:lineRule="auto"/>
        <w:tabs>
          <w:tab w:leader="none" w:pos="141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March 2, 2021</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Eric D. Shaff</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Marcus Chapman, certify that:</w:t>
      </w:r>
    </w:p>
    <w:p>
      <w:pPr>
        <w:spacing w:after="0" w:line="117" w:lineRule="exact"/>
        <w:rPr>
          <w:sz w:val="20"/>
          <w:szCs w:val="20"/>
          <w:color w:val="auto"/>
        </w:rPr>
      </w:pPr>
    </w:p>
    <w:p>
      <w:pPr>
        <w:ind w:left="780" w:hanging="183"/>
        <w:spacing w:after="0"/>
        <w:tabs>
          <w:tab w:leader="none" w:pos="7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260" w:firstLine="597"/>
        <w:spacing w:after="0" w:line="263" w:lineRule="auto"/>
        <w:tabs>
          <w:tab w:leader="none" w:pos="76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20" w:firstLine="597"/>
        <w:spacing w:after="0" w:line="308" w:lineRule="auto"/>
        <w:tabs>
          <w:tab w:leader="none" w:pos="76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597"/>
        <w:spacing w:after="0" w:line="263" w:lineRule="auto"/>
        <w:tabs>
          <w:tab w:leader="none" w:pos="76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00" w:right="340" w:firstLine="554"/>
        <w:spacing w:after="0" w:line="263" w:lineRule="auto"/>
        <w:tabs>
          <w:tab w:leader="none" w:pos="140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00" w:right="20" w:firstLine="554"/>
        <w:spacing w:after="0" w:line="263" w:lineRule="auto"/>
        <w:tabs>
          <w:tab w:leader="none" w:pos="141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00" w:right="140" w:firstLine="554"/>
        <w:spacing w:after="0" w:line="342" w:lineRule="auto"/>
        <w:tabs>
          <w:tab w:leader="none" w:pos="140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100" w:firstLine="554"/>
        <w:spacing w:after="0" w:line="263" w:lineRule="auto"/>
        <w:tabs>
          <w:tab w:leader="none" w:pos="141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97"/>
        <w:spacing w:after="0" w:line="308" w:lineRule="auto"/>
        <w:tabs>
          <w:tab w:leader="none" w:pos="76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360" w:firstLine="554"/>
        <w:spacing w:after="0" w:line="308" w:lineRule="auto"/>
        <w:tabs>
          <w:tab w:leader="none" w:pos="1402"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40" w:firstLine="554"/>
        <w:spacing w:after="0" w:line="277" w:lineRule="auto"/>
        <w:tabs>
          <w:tab w:leader="none" w:pos="141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March 2, 2021</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Chapman</w:t>
            </w: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Marcus Chapman</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Senior Vice President, Finance and Principal Financial and</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76" w:lineRule="exact"/>
        <w:rPr>
          <w:sz w:val="20"/>
          <w:szCs w:val="20"/>
          <w:color w:val="auto"/>
        </w:rPr>
      </w:pPr>
    </w:p>
    <w:p>
      <w:pPr>
        <w:ind w:left="1160" w:right="720" w:hanging="572"/>
        <w:spacing w:after="0" w:line="277" w:lineRule="auto"/>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2020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March 2,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222"/>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Eric D. Shaff</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 Marcus Chapman, Vice President, Finance and Principal Financial and Accounting Officer of Seres Therapeutics, Inc. (the “Company”), hereby certify, pursuant to 18 U.S.C. §1350, as adopted pursuant to §906 of the Sarbanes-Oxley Act of 2002, that, to the best of my knowledge:</w:t>
      </w:r>
    </w:p>
    <w:p>
      <w:pPr>
        <w:spacing w:after="0" w:line="52" w:lineRule="exact"/>
        <w:rPr>
          <w:sz w:val="20"/>
          <w:szCs w:val="20"/>
          <w:color w:val="auto"/>
        </w:rPr>
      </w:pPr>
    </w:p>
    <w:p>
      <w:pPr>
        <w:ind w:left="1160" w:right="660" w:hanging="572"/>
        <w:spacing w:after="0" w:line="277" w:lineRule="auto"/>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2020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March 2,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Chapman</w:t>
            </w:r>
          </w:p>
        </w:tc>
      </w:tr>
      <w:tr>
        <w:trPr>
          <w:trHeight w:val="222"/>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Marcus Chapman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Senior Vice President, Finance and Principal Financial and Accounting</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1."/>
      <w:numFmt w:val="decimal"/>
      <w:start w:val="109"/>
    </w:lvl>
  </w:abstractNum>
  <w:abstractNum w:abstractNumId="5">
    <w:nsid w:val="56438D15"/>
    <w:multiLevelType w:val="hybridMultilevel"/>
    <w:lvl w:ilvl="0">
      <w:lvlJc w:val="left"/>
      <w:lvlText w:val="•"/>
      <w:numFmt w:val="bullet"/>
      <w:start w:val="1"/>
    </w:lvl>
  </w:abstractNum>
  <w:abstractNum w:abstractNumId="6">
    <w:nsid w:val="519E3149"/>
    <w:multiLevelType w:val="hybridMultilevel"/>
    <w:lvl w:ilvl="0">
      <w:lvlJc w:val="left"/>
      <w:lvlText w:val="•"/>
      <w:numFmt w:val="bullet"/>
      <w:start w:val="1"/>
    </w:lvl>
  </w:abstractNum>
  <w:abstractNum w:abstractNumId="7">
    <w:nsid w:val="2C6E4AFD"/>
    <w:multiLevelType w:val="hybridMultilevel"/>
    <w:lvl w:ilvl="0">
      <w:lvlJc w:val="left"/>
      <w:lvlText w:val="•"/>
      <w:numFmt w:val="bullet"/>
      <w:start w:val="1"/>
    </w:lvl>
  </w:abstractNum>
  <w:abstractNum w:abstractNumId="8">
    <w:nsid w:val="17A1B582"/>
    <w:multiLevelType w:val="hybridMultilevel"/>
    <w:lvl w:ilvl="0">
      <w:lvlJc w:val="left"/>
      <w:lvlText w:val="%1)"/>
      <w:numFmt w:val="decimal"/>
      <w:start w:val="2"/>
    </w:lvl>
  </w:abstractNum>
  <w:abstractNum w:abstractNumId="9">
    <w:nsid w:val="4DF72E4E"/>
    <w:multiLevelType w:val="hybridMultilevel"/>
    <w:lvl w:ilvl="0">
      <w:lvlJc w:val="left"/>
      <w:lvlText w:val="•"/>
      <w:numFmt w:val="bullet"/>
      <w:start w:val="1"/>
    </w:lvl>
  </w:abstractNum>
  <w:abstractNum w:abstractNumId="10">
    <w:nsid w:val="5046B5A9"/>
    <w:multiLevelType w:val="hybridMultilevel"/>
    <w:lvl w:ilvl="0">
      <w:lvlJc w:val="left"/>
      <w:lvlText w:val="•"/>
      <w:numFmt w:val="bullet"/>
      <w:start w:val="1"/>
    </w:lvl>
  </w:abstractNum>
  <w:abstractNum w:abstractNumId="11">
    <w:nsid w:val="5D888A08"/>
    <w:multiLevelType w:val="hybridMultilevel"/>
    <w:lvl w:ilvl="0">
      <w:lvlJc w:val="left"/>
      <w:lvlText w:val="•"/>
      <w:numFmt w:val="bullet"/>
      <w:start w:val="1"/>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
      <w:numFmt w:val="bullet"/>
      <w:start w:val="1"/>
    </w:lvl>
  </w:abstractNum>
  <w:abstractNum w:abstractNumId="14">
    <w:nsid w:val="19E21BB2"/>
    <w:multiLevelType w:val="hybridMultilevel"/>
    <w:lvl w:ilvl="0">
      <w:lvlJc w:val="left"/>
      <w:lvlText w:val="•"/>
      <w:numFmt w:val="bullet"/>
      <w:start w:val="1"/>
    </w:lvl>
  </w:abstractNum>
  <w:abstractNum w:abstractNumId="15">
    <w:nsid w:val="75E0858A"/>
    <w:multiLevelType w:val="hybridMultilevel"/>
    <w:lvl w:ilvl="0">
      <w:lvlJc w:val="left"/>
      <w:lvlText w:val="•"/>
      <w:numFmt w:val="bullet"/>
      <w:start w:val="1"/>
    </w:lvl>
  </w:abstractNum>
  <w:abstractNum w:abstractNumId="16">
    <w:nsid w:val="57A61A29"/>
    <w:multiLevelType w:val="hybridMultilevel"/>
    <w:lvl w:ilvl="0">
      <w:lvlJc w:val="left"/>
      <w:lvlText w:val="•"/>
      <w:numFmt w:val="bullet"/>
      <w:start w:val="1"/>
    </w:lvl>
  </w:abstractNum>
  <w:abstractNum w:abstractNumId="17">
    <w:nsid w:val="5399C654"/>
    <w:multiLevelType w:val="hybridMultilevel"/>
    <w:lvl w:ilvl="0">
      <w:lvlJc w:val="left"/>
      <w:lvlText w:val="•"/>
      <w:numFmt w:val="bullet"/>
      <w:start w:val="1"/>
    </w:lvl>
  </w:abstractNum>
  <w:abstractNum w:abstractNumId="18">
    <w:nsid w:val="20EE1348"/>
    <w:multiLevelType w:val="hybridMultilevel"/>
    <w:lvl w:ilvl="0">
      <w:lvlJc w:val="left"/>
      <w:lvlText w:val="•"/>
      <w:numFmt w:val="bullet"/>
      <w:start w:val="1"/>
    </w:lvl>
  </w:abstractNum>
  <w:abstractNum w:abstractNumId="19">
    <w:nsid w:val="4427069A"/>
    <w:multiLevelType w:val="hybridMultilevel"/>
    <w:lvl w:ilvl="0">
      <w:lvlJc w:val="left"/>
      <w:lvlText w:val="•"/>
      <w:numFmt w:val="bullet"/>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
      <w:numFmt w:val="bullet"/>
      <w:start w:val="1"/>
    </w:lvl>
  </w:abstractNum>
  <w:abstractNum w:abstractNumId="22">
    <w:nsid w:val="704E1DD5"/>
    <w:multiLevelType w:val="hybridMultilevel"/>
    <w:lvl w:ilvl="0">
      <w:lvlJc w:val="left"/>
      <w:lvlText w:val="•"/>
      <w:numFmt w:val="bullet"/>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
      <w:numFmt w:val="bullet"/>
      <w:start w:val="1"/>
    </w:lvl>
  </w:abstractNum>
  <w:abstractNum w:abstractNumId="28">
    <w:nsid w:val="4BEE5A5B"/>
    <w:multiLevelType w:val="hybridMultilevel"/>
    <w:lvl w:ilvl="0">
      <w:lvlJc w:val="left"/>
      <w:lvlText w:val="•"/>
      <w:numFmt w:val="bullet"/>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
      <w:numFmt w:val="bullet"/>
      <w:start w:val="1"/>
    </w:lvl>
  </w:abstractNum>
  <w:abstractNum w:abstractNumId="32">
    <w:nsid w:val="24E99DD7"/>
    <w:multiLevelType w:val="hybridMultilevel"/>
    <w:lvl w:ilvl="0">
      <w:lvlJc w:val="left"/>
      <w:lvlText w:val="•"/>
      <w:numFmt w:val="bullet"/>
      <w:start w:val="1"/>
    </w:lvl>
  </w:abstractNum>
  <w:abstractNum w:abstractNumId="33">
    <w:nsid w:val="2A31B62D"/>
    <w:multiLevelType w:val="hybridMultilevel"/>
    <w:lvl w:ilvl="0">
      <w:lvlJc w:val="left"/>
      <w:lvlText w:val="•"/>
      <w:numFmt w:val="bullet"/>
      <w:start w:val="1"/>
    </w:lvl>
  </w:abstractNum>
  <w:abstractNum w:abstractNumId="34">
    <w:nsid w:val="1849C29B"/>
    <w:multiLevelType w:val="hybridMultilevel"/>
    <w:lvl w:ilvl="0">
      <w:lvlJc w:val="left"/>
      <w:lvlText w:val="%1."/>
      <w:numFmt w:val="decimal"/>
      <w:start w:val="155"/>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
      <w:numFmt w:val="bullet"/>
      <w:start w:val="1"/>
    </w:lvl>
  </w:abstractNum>
  <w:abstractNum w:abstractNumId="37">
    <w:nsid w:val="69E7F3E5"/>
    <w:multiLevelType w:val="hybridMultilevel"/>
    <w:lvl w:ilvl="0">
      <w:lvlJc w:val="left"/>
      <w:lvlText w:val="•"/>
      <w:numFmt w:val="bullet"/>
      <w:start w:val="1"/>
    </w:lvl>
  </w:abstractNum>
  <w:abstractNum w:abstractNumId="38">
    <w:nsid w:val="2A6DE806"/>
    <w:multiLevelType w:val="hybridMultilevel"/>
    <w:lvl w:ilvl="0">
      <w:lvlJc w:val="left"/>
      <w:lvlText w:val="•"/>
      <w:numFmt w:val="bullet"/>
      <w:start w:val="1"/>
    </w:lvl>
  </w:abstractNum>
  <w:abstractNum w:abstractNumId="39">
    <w:nsid w:val="1816F8C4"/>
    <w:multiLevelType w:val="hybridMultilevel"/>
    <w:lvl w:ilvl="0">
      <w:lvlJc w:val="left"/>
      <w:lvlText w:val="•"/>
      <w:numFmt w:val="bullet"/>
      <w:start w:val="1"/>
    </w:lvl>
  </w:abstractNum>
  <w:abstractNum w:abstractNumId="40">
    <w:nsid w:val="37DF2233"/>
    <w:multiLevelType w:val="hybridMultilevel"/>
    <w:lvl w:ilvl="0">
      <w:lvlJc w:val="left"/>
      <w:lvlText w:val="•"/>
      <w:numFmt w:val="bullet"/>
      <w:start w:val="1"/>
    </w:lvl>
  </w:abstractNum>
  <w:abstractNum w:abstractNumId="41">
    <w:nsid w:val="7AB49DAF"/>
    <w:multiLevelType w:val="hybridMultilevel"/>
    <w:lvl w:ilvl="0">
      <w:lvlJc w:val="left"/>
      <w:lvlText w:val="•"/>
      <w:numFmt w:val="bullet"/>
      <w:start w:val="1"/>
    </w:lvl>
  </w:abstractNum>
  <w:abstractNum w:abstractNumId="42">
    <w:nsid w:val="759F82CD"/>
    <w:multiLevelType w:val="hybridMultilevel"/>
    <w:lvl w:ilvl="0">
      <w:lvlJc w:val="left"/>
      <w:lvlText w:val="•"/>
      <w:numFmt w:val="bullet"/>
      <w:start w:val="1"/>
    </w:lvl>
  </w:abstractNum>
  <w:abstractNum w:abstractNumId="43">
    <w:nsid w:val="61E74EA3"/>
    <w:multiLevelType w:val="hybridMultilevel"/>
    <w:lvl w:ilvl="0">
      <w:lvlJc w:val="left"/>
      <w:lvlText w:val="•"/>
      <w:numFmt w:val="bullet"/>
      <w:start w:val="1"/>
    </w:lvl>
  </w:abstractNum>
  <w:abstractNum w:abstractNumId="44">
    <w:nsid w:val="597B4D84"/>
    <w:multiLevelType w:val="hybridMultilevel"/>
    <w:lvl w:ilvl="0">
      <w:lvlJc w:val="left"/>
      <w:lvlText w:val="•"/>
      <w:numFmt w:val="bullet"/>
      <w:start w:val="1"/>
    </w:lvl>
  </w:abstractNum>
  <w:abstractNum w:abstractNumId="45">
    <w:nsid w:val="F819E7F"/>
    <w:multiLevelType w:val="hybridMultilevel"/>
    <w:lvl w:ilvl="0">
      <w:lvlJc w:val="left"/>
      <w:lvlText w:val="•"/>
      <w:numFmt w:val="bullet"/>
      <w:start w:val="1"/>
    </w:lvl>
  </w:abstractNum>
  <w:abstractNum w:abstractNumId="46">
    <w:nsid w:val="57C7D42D"/>
    <w:multiLevelType w:val="hybridMultilevel"/>
    <w:lvl w:ilvl="0">
      <w:lvlJc w:val="left"/>
      <w:lvlText w:val="•"/>
      <w:numFmt w:val="bullet"/>
      <w:start w:val="1"/>
    </w:lvl>
  </w:abstractNum>
  <w:abstractNum w:abstractNumId="47">
    <w:nsid w:val="312167AD"/>
    <w:multiLevelType w:val="hybridMultilevel"/>
    <w:lvl w:ilvl="0">
      <w:lvlJc w:val="left"/>
      <w:lvlText w:val="•"/>
      <w:numFmt w:val="bullet"/>
      <w:start w:val="1"/>
    </w:lvl>
  </w:abstractNum>
  <w:abstractNum w:abstractNumId="48">
    <w:nsid w:val="631B64D4"/>
    <w:multiLevelType w:val="hybridMultilevel"/>
    <w:lvl w:ilvl="0">
      <w:lvlJc w:val="left"/>
      <w:lvlText w:val="•"/>
      <w:numFmt w:val="bullet"/>
      <w:start w:val="1"/>
    </w:lvl>
  </w:abstractNum>
  <w:abstractNum w:abstractNumId="49">
    <w:nsid w:val="78B5E776"/>
    <w:multiLevelType w:val="hybridMultilevel"/>
    <w:lvl w:ilvl="0">
      <w:lvlJc w:val="left"/>
      <w:lvlText w:val="•"/>
      <w:numFmt w:val="bullet"/>
      <w:start w:val="1"/>
    </w:lvl>
  </w:abstractNum>
  <w:abstractNum w:abstractNumId="50">
    <w:nsid w:val="75486E47"/>
    <w:multiLevelType w:val="hybridMultilevel"/>
    <w:lvl w:ilvl="0">
      <w:lvlJc w:val="left"/>
      <w:lvlText w:val="•"/>
      <w:numFmt w:val="bullet"/>
      <w:start w:val="1"/>
    </w:lvl>
  </w:abstractNum>
  <w:abstractNum w:abstractNumId="51">
    <w:nsid w:val="6E534CDE"/>
    <w:multiLevelType w:val="hybridMultilevel"/>
    <w:lvl w:ilvl="0">
      <w:lvlJc w:val="left"/>
      <w:lvlText w:val="(%1)"/>
      <w:numFmt w:val="lowerRoman"/>
      <w:start w:val="1"/>
    </w:lvl>
  </w:abstractNum>
  <w:abstractNum w:abstractNumId="52">
    <w:nsid w:val="1A0DDE32"/>
    <w:multiLevelType w:val="hybridMultilevel"/>
    <w:lvl w:ilvl="0">
      <w:lvlJc w:val="left"/>
      <w:lvlText w:val="•"/>
      <w:numFmt w:val="bullet"/>
      <w:start w:val="1"/>
    </w:lvl>
  </w:abstractNum>
  <w:abstractNum w:abstractNumId="53">
    <w:nsid w:val="65968C1C"/>
    <w:multiLevelType w:val="hybridMultilevel"/>
    <w:lvl w:ilvl="0">
      <w:lvlJc w:val="left"/>
      <w:lvlText w:val="•"/>
      <w:numFmt w:val="bullet"/>
      <w:start w:val="1"/>
    </w:lvl>
  </w:abstractNum>
  <w:abstractNum w:abstractNumId="54">
    <w:nsid w:val="46263DEC"/>
    <w:multiLevelType w:val="hybridMultilevel"/>
    <w:lvl w:ilvl="0">
      <w:lvlJc w:val="left"/>
      <w:lvlText w:val="•"/>
      <w:numFmt w:val="bullet"/>
      <w:start w:val="1"/>
    </w:lvl>
  </w:abstractNum>
  <w:abstractNum w:abstractNumId="55">
    <w:nsid w:val="260D8C4A"/>
    <w:multiLevelType w:val="hybridMultilevel"/>
    <w:lvl w:ilvl="0">
      <w:lvlJc w:val="left"/>
      <w:lvlText w:val="•"/>
      <w:numFmt w:val="bullet"/>
      <w:start w:val="1"/>
    </w:lvl>
  </w:abstractNum>
  <w:abstractNum w:abstractNumId="56">
    <w:nsid w:val="73D4D3C4"/>
    <w:multiLevelType w:val="hybridMultilevel"/>
    <w:lvl w:ilvl="0">
      <w:lvlJc w:val="left"/>
      <w:lvlText w:val="•"/>
      <w:numFmt w:val="bullet"/>
      <w:start w:val="1"/>
    </w:lvl>
  </w:abstractNum>
  <w:abstractNum w:abstractNumId="57">
    <w:nsid w:val="746F2E30"/>
    <w:multiLevelType w:val="hybridMultilevel"/>
    <w:lvl w:ilvl="0">
      <w:lvlJc w:val="left"/>
      <w:lvlText w:val="%1."/>
      <w:numFmt w:val="decimal"/>
      <w:start w:val="287"/>
    </w:lvl>
  </w:abstractNum>
  <w:abstractNum w:abstractNumId="58">
    <w:nsid w:val="6FDE8AF6"/>
    <w:multiLevelType w:val="hybridMultilevel"/>
    <w:lvl w:ilvl="0">
      <w:lvlJc w:val="left"/>
      <w:lvlText w:val="•"/>
      <w:numFmt w:val="bullet"/>
      <w:start w:val="1"/>
    </w:lvl>
  </w:abstractNum>
  <w:abstractNum w:abstractNumId="59">
    <w:nsid w:val="3FC32E20"/>
    <w:multiLevelType w:val="hybridMultilevel"/>
    <w:lvl w:ilvl="0">
      <w:lvlJc w:val="left"/>
      <w:lvlText w:val="•"/>
      <w:numFmt w:val="bullet"/>
      <w:start w:val="1"/>
    </w:lvl>
  </w:abstractNum>
  <w:abstractNum w:abstractNumId="60">
    <w:nsid w:val="49C0E823"/>
    <w:multiLevelType w:val="hybridMultilevel"/>
    <w:lvl w:ilvl="0">
      <w:lvlJc w:val="left"/>
      <w:lvlText w:val="•"/>
      <w:numFmt w:val="bullet"/>
      <w:start w:val="1"/>
    </w:lvl>
  </w:abstractNum>
  <w:abstractNum w:abstractNumId="61">
    <w:nsid w:val="14D53685"/>
    <w:multiLevelType w:val="hybridMultilevel"/>
    <w:lvl w:ilvl="0">
      <w:lvlJc w:val="left"/>
      <w:lvlText w:val="(%1)"/>
      <w:numFmt w:val="decimal"/>
      <w:start w:val="1"/>
    </w:lvl>
  </w:abstractNum>
  <w:abstractNum w:abstractNumId="62">
    <w:nsid w:val="230F856C"/>
    <w:multiLevelType w:val="hybridMultilevel"/>
    <w:lvl w:ilvl="0">
      <w:lvlJc w:val="left"/>
      <w:lvlText w:val="(%1)"/>
      <w:numFmt w:val="decimal"/>
      <w:start w:val="1"/>
    </w:lvl>
  </w:abstractNum>
  <w:abstractNum w:abstractNumId="63">
    <w:nsid w:val="6EAA85FB"/>
    <w:multiLevelType w:val="hybridMultilevel"/>
    <w:lvl w:ilvl="0">
      <w:lvlJc w:val="left"/>
      <w:lvlText w:val="*"/>
      <w:numFmt w:val="bullet"/>
      <w:start w:val="1"/>
    </w:lvl>
  </w:abstractNum>
  <w:abstractNum w:abstractNumId="64">
    <w:nsid w:val="3F06ECB2"/>
    <w:multiLevelType w:val="hybridMultilevel"/>
    <w:lvl w:ilvl="0">
      <w:lvlJc w:val="left"/>
      <w:lvlText w:val="**"/>
      <w:numFmt w:val="bullet"/>
      <w:start w:val="1"/>
    </w:lvl>
  </w:abstractNum>
  <w:abstractNum w:abstractNumId="65">
    <w:nsid w:val="3B594807"/>
    <w:multiLevelType w:val="hybridMultilevel"/>
    <w:lvl w:ilvl="0">
      <w:lvlJc w:val="left"/>
      <w:lvlText w:val="#"/>
      <w:numFmt w:val="bullet"/>
      <w:start w:val="1"/>
    </w:lvl>
  </w:abstractNum>
  <w:abstractNum w:abstractNumId="66">
    <w:nsid w:val="6CAA2304"/>
    <w:multiLevelType w:val="hybridMultilevel"/>
    <w:lvl w:ilvl="0">
      <w:lvlJc w:val="left"/>
      <w:lvlText w:val="^"/>
      <w:numFmt w:val="bullet"/>
      <w:start w:val="1"/>
    </w:lvl>
  </w:abstractNum>
  <w:abstractNum w:abstractNumId="67">
    <w:nsid w:val="3F7C2FF4"/>
    <w:multiLevelType w:val="hybridMultilevel"/>
    <w:lvl w:ilvl="0">
      <w:lvlJc w:val="left"/>
      <w:lvlText w:val="%1."/>
      <w:numFmt w:val="decimal"/>
      <w:start w:val="1"/>
    </w:lvl>
  </w:abstractNum>
  <w:abstractNum w:abstractNumId="68">
    <w:nsid w:val="25413BEC"/>
    <w:multiLevelType w:val="hybridMultilevel"/>
    <w:lvl w:ilvl="0">
      <w:lvlJc w:val="left"/>
      <w:lvlText w:val="%1."/>
      <w:numFmt w:val="decimal"/>
      <w:start w:val="2"/>
    </w:lvl>
  </w:abstractNum>
  <w:abstractNum w:abstractNumId="69">
    <w:nsid w:val="17180B0B"/>
    <w:multiLevelType w:val="hybridMultilevel"/>
    <w:lvl w:ilvl="0">
      <w:lvlJc w:val="left"/>
      <w:lvlText w:val="•"/>
      <w:numFmt w:val="bullet"/>
      <w:start w:val="1"/>
    </w:lvl>
  </w:abstractNum>
  <w:abstractNum w:abstractNumId="70">
    <w:nsid w:val="579328B9"/>
    <w:multiLevelType w:val="hybridMultilevel"/>
    <w:lvl w:ilvl="0">
      <w:lvlJc w:val="left"/>
      <w:lvlText w:val="(%1)"/>
      <w:numFmt w:val="lowerRoman"/>
      <w:start w:val="1"/>
    </w:lvl>
  </w:abstractNum>
  <w:abstractNum w:abstractNumId="71">
    <w:nsid w:val="5D205E20"/>
    <w:multiLevelType w:val="hybridMultilevel"/>
    <w:lvl w:ilvl="0">
      <w:lvlJc w:val="left"/>
      <w:lvlText w:val="•"/>
      <w:numFmt w:val="bullet"/>
      <w:start w:val="1"/>
    </w:lvl>
  </w:abstractNum>
  <w:abstractNum w:abstractNumId="72">
    <w:nsid w:val="11CCA8BA"/>
    <w:multiLevelType w:val="hybridMultilevel"/>
    <w:lvl w:ilvl="0">
      <w:lvlJc w:val="left"/>
      <w:lvlText w:val="%1."/>
      <w:numFmt w:val="decimal"/>
      <w:start w:val="3"/>
    </w:lvl>
  </w:abstractNum>
  <w:abstractNum w:abstractNumId="73">
    <w:nsid w:val="4D32AB86"/>
    <w:multiLevelType w:val="hybridMultilevel"/>
    <w:lvl w:ilvl="0">
      <w:lvlJc w:val="left"/>
      <w:lvlText w:val="%1."/>
      <w:numFmt w:val="decimal"/>
      <w:start w:val="4"/>
    </w:lvl>
  </w:abstractNum>
  <w:abstractNum w:abstractNumId="74">
    <w:nsid w:val="3F07ACC3"/>
    <w:multiLevelType w:val="hybridMultilevel"/>
    <w:lvl w:ilvl="0">
      <w:lvlJc w:val="left"/>
      <w:lvlText w:val="%1."/>
      <w:numFmt w:val="decimal"/>
      <w:start w:val="6"/>
    </w:lvl>
  </w:abstractNum>
  <w:abstractNum w:abstractNumId="75">
    <w:nsid w:val="6B47F63E"/>
    <w:multiLevelType w:val="hybridMultilevel"/>
    <w:lvl w:ilvl="0">
      <w:lvlJc w:val="left"/>
      <w:lvlText w:val="%1."/>
      <w:numFmt w:val="decimal"/>
      <w:start w:val="7"/>
    </w:lvl>
  </w:abstractNum>
  <w:abstractNum w:abstractNumId="76">
    <w:nsid w:val="5CB44A05"/>
    <w:multiLevelType w:val="hybridMultilevel"/>
    <w:lvl w:ilvl="0">
      <w:lvlJc w:val="left"/>
      <w:lvlText w:val="%1."/>
      <w:numFmt w:val="decimal"/>
      <w:start w:val="8"/>
    </w:lvl>
  </w:abstractNum>
  <w:abstractNum w:abstractNumId="77">
    <w:nsid w:val="16CF80F1"/>
    <w:multiLevelType w:val="hybridMultilevel"/>
    <w:lvl w:ilvl="0">
      <w:lvlJc w:val="left"/>
      <w:lvlText w:val="%1."/>
      <w:numFmt w:val="decimal"/>
      <w:start w:val="9"/>
    </w:lvl>
  </w:abstractNum>
  <w:abstractNum w:abstractNumId="78">
    <w:nsid w:val="1C695DEC"/>
    <w:multiLevelType w:val="hybridMultilevel"/>
    <w:lvl w:ilvl="0">
      <w:lvlJc w:val="left"/>
      <w:lvlText w:val="%1."/>
      <w:numFmt w:val="decimal"/>
      <w:start w:val="10"/>
    </w:lvl>
  </w:abstractNum>
  <w:abstractNum w:abstractNumId="79">
    <w:nsid w:val="3FCFAED9"/>
    <w:multiLevelType w:val="hybridMultilevel"/>
    <w:lvl w:ilvl="0">
      <w:lvlJc w:val="left"/>
      <w:lvlText w:val="%1."/>
      <w:numFmt w:val="decimal"/>
      <w:start w:val="11"/>
    </w:lvl>
  </w:abstractNum>
  <w:abstractNum w:abstractNumId="80">
    <w:nsid w:val="F856867"/>
    <w:multiLevelType w:val="hybridMultilevel"/>
    <w:lvl w:ilvl="0">
      <w:lvlJc w:val="left"/>
      <w:lvlText w:val="%1."/>
      <w:numFmt w:val="decimal"/>
      <w:start w:val="12"/>
    </w:lvl>
  </w:abstractNum>
  <w:abstractNum w:abstractNumId="81">
    <w:nsid w:val="11B1CC33"/>
    <w:multiLevelType w:val="hybridMultilevel"/>
    <w:lvl w:ilvl="0">
      <w:lvlJc w:val="left"/>
      <w:lvlText w:val="%1."/>
      <w:numFmt w:val="decimal"/>
      <w:start w:val="13"/>
    </w:lvl>
  </w:abstractNum>
  <w:abstractNum w:abstractNumId="82">
    <w:nsid w:val="2E22FBB7"/>
    <w:multiLevelType w:val="hybridMultilevel"/>
    <w:lvl w:ilvl="0">
      <w:lvlJc w:val="left"/>
      <w:lvlText w:val="%1."/>
      <w:numFmt w:val="decimal"/>
      <w:start w:val="14"/>
    </w:lvl>
  </w:abstractNum>
  <w:abstractNum w:abstractNumId="83">
    <w:nsid w:val="29934699"/>
    <w:multiLevelType w:val="hybridMultilevel"/>
    <w:lvl w:ilvl="0">
      <w:lvlJc w:val="left"/>
      <w:lvlText w:val="%1."/>
      <w:numFmt w:val="decimal"/>
      <w:start w:val="15"/>
    </w:lvl>
  </w:abstractNum>
  <w:abstractNum w:abstractNumId="84">
    <w:nsid w:val="77485850"/>
    <w:multiLevelType w:val="hybridMultilevel"/>
    <w:lvl w:ilvl="0">
      <w:lvlJc w:val="left"/>
      <w:lvlText w:val="%1."/>
      <w:numFmt w:val="decimal"/>
      <w:start w:val="16"/>
    </w:lvl>
  </w:abstractNum>
  <w:abstractNum w:abstractNumId="85">
    <w:nsid w:val="744939A3"/>
    <w:multiLevelType w:val="hybridMultilevel"/>
    <w:lvl w:ilvl="0">
      <w:lvlJc w:val="left"/>
      <w:lvlText w:val="%1."/>
      <w:numFmt w:val="decimal"/>
      <w:start w:val="17"/>
    </w:lvl>
  </w:abstractNum>
  <w:abstractNum w:abstractNumId="86">
    <w:nsid w:val="4FA0D2E3"/>
    <w:multiLevelType w:val="hybridMultilevel"/>
    <w:lvl w:ilvl="0">
      <w:lvlJc w:val="left"/>
      <w:lvlText w:val="•"/>
      <w:numFmt w:val="bullet"/>
      <w:start w:val="1"/>
    </w:lvl>
  </w:abstractNum>
  <w:abstractNum w:abstractNumId="87">
    <w:nsid w:val="6B1D2C14"/>
    <w:multiLevelType w:val="hybridMultilevel"/>
    <w:lvl w:ilvl="0">
      <w:lvlJc w:val="left"/>
      <w:lvlText w:val="%1."/>
      <w:numFmt w:val="upperLetter"/>
      <w:start w:val="9"/>
    </w:lvl>
  </w:abstractNum>
  <w:abstractNum w:abstractNumId="88">
    <w:nsid w:val="68B867D3"/>
    <w:multiLevelType w:val="hybridMultilevel"/>
    <w:lvl w:ilvl="0">
      <w:lvlJc w:val="left"/>
      <w:lvlText w:val="%1."/>
      <w:numFmt w:val="upperLetter"/>
      <w:start w:val="35"/>
    </w:lvl>
  </w:abstractNum>
  <w:abstractNum w:abstractNumId="89">
    <w:nsid w:val="3F7F5DD9"/>
    <w:multiLevelType w:val="hybridMultilevel"/>
    <w:lvl w:ilvl="0">
      <w:lvlJc w:val="left"/>
      <w:lvlText w:val="%1."/>
      <w:numFmt w:val="upperLetter"/>
      <w:start w:val="61"/>
    </w:lvl>
  </w:abstractNum>
  <w:abstractNum w:abstractNumId="90">
    <w:nsid w:val="2AE05A34"/>
    <w:multiLevelType w:val="hybridMultilevel"/>
    <w:lvl w:ilvl="0">
      <w:lvlJc w:val="left"/>
      <w:lvlText w:val="(%1)"/>
      <w:numFmt w:val="lowerLetter"/>
      <w:start w:val="1"/>
    </w:lvl>
  </w:abstractNum>
  <w:abstractNum w:abstractNumId="91">
    <w:nsid w:val="32794FF7"/>
    <w:multiLevelType w:val="hybridMultilevel"/>
    <w:lvl w:ilvl="0">
      <w:lvlJc w:val="left"/>
      <w:lvlText w:val="(%1)"/>
      <w:numFmt w:val="lowerLetter"/>
      <w:start w:val="1"/>
    </w:lvl>
  </w:abstractNum>
  <w:abstractNum w:abstractNumId="92">
    <w:nsid w:val="5454945E"/>
    <w:multiLevelType w:val="hybridMultilevel"/>
    <w:lvl w:ilvl="0">
      <w:lvlJc w:val="left"/>
      <w:lvlText w:val="(%1)"/>
      <w:numFmt w:val="lowerLetter"/>
      <w:start w:val="5"/>
    </w:lvl>
  </w:abstractNum>
  <w:abstractNum w:abstractNumId="93">
    <w:nsid w:val="4DEFDFA0"/>
    <w:multiLevelType w:val="hybridMultilevel"/>
    <w:lvl w:ilvl="0">
      <w:lvlJc w:val="left"/>
      <w:lvlText w:val="%1."/>
      <w:numFmt w:val="upperLetter"/>
      <w:start w:val="22"/>
    </w:lvl>
  </w:abstractNum>
  <w:abstractNum w:abstractNumId="94">
    <w:nsid w:val="2123D5F2"/>
    <w:multiLevelType w:val="hybridMultilevel"/>
    <w:lvl w:ilvl="0">
      <w:lvlJc w:val="left"/>
      <w:lvlText w:val="(%1)"/>
      <w:numFmt w:val="lowerLetter"/>
      <w:start w:val="1"/>
    </w:lvl>
  </w:abstractNum>
  <w:abstractNum w:abstractNumId="95">
    <w:nsid w:val="135B8110"/>
    <w:multiLevelType w:val="hybridMultilevel"/>
    <w:lvl w:ilvl="0">
      <w:lvlJc w:val="left"/>
      <w:lvlText w:val="(%1)"/>
      <w:numFmt w:val="lowerRoman"/>
      <w:start w:val="1"/>
    </w:lvl>
  </w:abstractNum>
  <w:abstractNum w:abstractNumId="96">
    <w:nsid w:val="94927A8"/>
    <w:multiLevelType w:val="hybridMultilevel"/>
    <w:lvl w:ilvl="0">
      <w:lvlJc w:val="left"/>
      <w:lvlText w:val="(%1)"/>
      <w:numFmt w:val="lowerRoman"/>
      <w:start w:val="3"/>
    </w:lvl>
  </w:abstractNum>
  <w:abstractNum w:abstractNumId="97">
    <w:nsid w:val="DCDF8F6"/>
    <w:multiLevelType w:val="hybridMultilevel"/>
    <w:lvl w:ilvl="0">
      <w:lvlJc w:val="left"/>
      <w:lvlText w:val="(%1)"/>
      <w:numFmt w:val="lowerLetter"/>
      <w:start w:val="1"/>
    </w:lvl>
  </w:abstractNum>
  <w:abstractNum w:abstractNumId="98">
    <w:nsid w:val="52D7B105"/>
    <w:multiLevelType w:val="hybridMultilevel"/>
    <w:lvl w:ilvl="0">
      <w:lvlJc w:val="left"/>
      <w:lvlText w:val="(%1)"/>
      <w:numFmt w:val="lowerRoman"/>
      <w:start w:val="1"/>
    </w:lvl>
  </w:abstractNum>
  <w:abstractNum w:abstractNumId="99">
    <w:nsid w:val="2E8A6394"/>
    <w:multiLevelType w:val="hybridMultilevel"/>
    <w:lvl w:ilvl="0">
      <w:lvlJc w:val="left"/>
      <w:lvlText w:val="(%1)"/>
      <w:numFmt w:val="lowerLetter"/>
      <w:start w:val="3"/>
    </w:lvl>
  </w:abstractNum>
  <w:abstractNum w:abstractNumId="100">
    <w:nsid w:val="24E60401"/>
    <w:multiLevelType w:val="hybridMultilevel"/>
    <w:lvl w:ilvl="0">
      <w:lvlJc w:val="left"/>
      <w:lvlText w:val="(%1)"/>
      <w:numFmt w:val="lowerRoman"/>
      <w:start w:val="1"/>
    </w:lvl>
  </w:abstractNum>
  <w:abstractNum w:abstractNumId="101">
    <w:nsid w:val="2A6AD9BE"/>
    <w:multiLevelType w:val="hybridMultilevel"/>
    <w:lvl w:ilvl="0">
      <w:lvlJc w:val="left"/>
      <w:lvlText w:val="(%1)"/>
      <w:numFmt w:val="lowerLetter"/>
      <w:start w:val="1"/>
    </w:lvl>
  </w:abstractNum>
  <w:abstractNum w:abstractNumId="102">
    <w:nsid w:val="BAAC1B4"/>
    <w:multiLevelType w:val="hybridMultilevel"/>
    <w:lvl w:ilvl="0">
      <w:lvlJc w:val="left"/>
      <w:lvlText w:val="(%1)"/>
      <w:numFmt w:val="lowerRoman"/>
      <w:start w:val="1"/>
    </w:lvl>
  </w:abstractNum>
  <w:abstractNum w:abstractNumId="103">
    <w:nsid w:val="36B2ACBC"/>
    <w:multiLevelType w:val="hybridMultilevel"/>
    <w:lvl w:ilvl="0">
      <w:lvlJc w:val="left"/>
      <w:lvlText w:val="(%1)"/>
      <w:numFmt w:val="lowerLetter"/>
      <w:start w:val="3"/>
    </w:lvl>
  </w:abstractNum>
  <w:abstractNum w:abstractNumId="104">
    <w:nsid w:val="779D8544"/>
    <w:multiLevelType w:val="hybridMultilevel"/>
    <w:lvl w:ilvl="0">
      <w:lvlJc w:val="left"/>
      <w:lvlText w:val="(%1)"/>
      <w:numFmt w:val="lowerLetter"/>
      <w:start w:val="9"/>
    </w:lvl>
  </w:abstractNum>
  <w:abstractNum w:abstractNumId="105">
    <w:nsid w:val="4AB26E78"/>
    <w:multiLevelType w:val="hybridMultilevel"/>
    <w:lvl w:ilvl="0">
      <w:lvlJc w:val="left"/>
      <w:lvlText w:val="(%1)"/>
      <w:numFmt w:val="lowerLetter"/>
      <w:start w:val="1"/>
    </w:lvl>
  </w:abstractNum>
  <w:abstractNum w:abstractNumId="106">
    <w:nsid w:val="21FAA2FA"/>
    <w:multiLevelType w:val="hybridMultilevel"/>
    <w:lvl w:ilvl="0">
      <w:lvlJc w:val="left"/>
      <w:lvlText w:val="(%1)"/>
      <w:numFmt w:val="lowerLetter"/>
      <w:start w:val="6"/>
    </w:lvl>
  </w:abstractNum>
  <w:abstractNum w:abstractNumId="107">
    <w:nsid w:val="5451CF49"/>
    <w:multiLevelType w:val="hybridMultilevel"/>
    <w:lvl w:ilvl="0">
      <w:lvlJc w:val="left"/>
      <w:lvlText w:val="%1."/>
      <w:numFmt w:val="upperLetter"/>
      <w:start w:val="24"/>
    </w:lvl>
  </w:abstractNum>
  <w:abstractNum w:abstractNumId="108">
    <w:nsid w:val="6181EF69"/>
    <w:multiLevelType w:val="hybridMultilevel"/>
    <w:lvl w:ilvl="0">
      <w:lvlJc w:val="left"/>
      <w:lvlText w:val="(%1)"/>
      <w:numFmt w:val="lowerLetter"/>
      <w:start w:val="1"/>
    </w:lvl>
  </w:abstractNum>
  <w:abstractNum w:abstractNumId="109">
    <w:nsid w:val="3E6400E6"/>
    <w:multiLevelType w:val="hybridMultilevel"/>
    <w:lvl w:ilvl="0">
      <w:lvlJc w:val="left"/>
      <w:lvlText w:val="(%1)"/>
      <w:numFmt w:val="lowerRoman"/>
      <w:start w:val="1"/>
    </w:lvl>
  </w:abstractNum>
  <w:abstractNum w:abstractNumId="110">
    <w:nsid w:val="14217E23"/>
    <w:multiLevelType w:val="hybridMultilevel"/>
    <w:lvl w:ilvl="0">
      <w:lvlJc w:val="left"/>
      <w:lvlText w:val="(%1)"/>
      <w:numFmt w:val="lowerRoman"/>
      <w:start w:val="3"/>
    </w:lvl>
  </w:abstractNum>
  <w:abstractNum w:abstractNumId="111">
    <w:nsid w:val="710757D0"/>
    <w:multiLevelType w:val="hybridMultilevel"/>
    <w:lvl w:ilvl="0">
      <w:lvlJc w:val="left"/>
      <w:lvlText w:val="(%1)"/>
      <w:numFmt w:val="lowerLetter"/>
      <w:start w:val="7"/>
    </w:lvl>
  </w:abstractNum>
  <w:abstractNum w:abstractNumId="112">
    <w:nsid w:val="5015CD1A"/>
    <w:multiLevelType w:val="hybridMultilevel"/>
    <w:lvl w:ilvl="0">
      <w:lvlJc w:val="left"/>
      <w:lvlText w:val="(%1)"/>
      <w:numFmt w:val="lowerLetter"/>
      <w:start w:val="11"/>
    </w:lvl>
  </w:abstractNum>
  <w:abstractNum w:abstractNumId="113">
    <w:nsid w:val="424479DA"/>
    <w:multiLevelType w:val="hybridMultilevel"/>
    <w:lvl w:ilvl="0">
      <w:lvlJc w:val="left"/>
      <w:lvlText w:val="(%1)"/>
      <w:numFmt w:val="lowerLetter"/>
      <w:start w:val="1"/>
    </w:lvl>
  </w:abstractNum>
  <w:abstractNum w:abstractNumId="114">
    <w:nsid w:val="1A9A9E69"/>
    <w:multiLevelType w:val="hybridMultilevel"/>
    <w:lvl w:ilvl="0">
      <w:lvlJc w:val="left"/>
      <w:lvlText w:val="(%1)"/>
      <w:numFmt w:val="lowerLetter"/>
      <w:start w:val="4"/>
    </w:lvl>
  </w:abstractNum>
  <w:abstractNum w:abstractNumId="115">
    <w:nsid w:val="475E256A"/>
    <w:multiLevelType w:val="hybridMultilevel"/>
    <w:lvl w:ilvl="0">
      <w:lvlJc w:val="left"/>
      <w:lvlText w:val="(%1)"/>
      <w:numFmt w:val="lowerRoman"/>
      <w:start w:val="1"/>
    </w:lvl>
  </w:abstractNum>
  <w:abstractNum w:abstractNumId="116">
    <w:nsid w:val="368DB37E"/>
    <w:multiLevelType w:val="hybridMultilevel"/>
    <w:lvl w:ilvl="0">
      <w:lvlJc w:val="left"/>
      <w:lvlText w:val="(%1)"/>
      <w:numFmt w:val="lowerRoman"/>
      <w:start w:val="1"/>
    </w:lvl>
  </w:abstractNum>
  <w:abstractNum w:abstractNumId="117">
    <w:nsid w:val="6A3B714C"/>
    <w:multiLevelType w:val="hybridMultilevel"/>
    <w:lvl w:ilvl="0">
      <w:lvlJc w:val="left"/>
      <w:lvlText w:val="(%1)"/>
      <w:numFmt w:val="lowerRoman"/>
      <w:start w:val="3"/>
    </w:lvl>
  </w:abstractNum>
  <w:abstractNum w:abstractNumId="118">
    <w:nsid w:val="327B517E"/>
    <w:multiLevelType w:val="hybridMultilevel"/>
    <w:lvl w:ilvl="0">
      <w:lvlJc w:val="left"/>
      <w:lvlText w:val="(%1)"/>
      <w:numFmt w:val="upperLetter"/>
      <w:start w:val="1"/>
    </w:lvl>
  </w:abstractNum>
  <w:abstractNum w:abstractNumId="119">
    <w:nsid w:val="1F461B51"/>
    <w:multiLevelType w:val="hybridMultilevel"/>
    <w:lvl w:ilvl="0">
      <w:lvlJc w:val="left"/>
      <w:lvlText w:val="(%1)"/>
      <w:numFmt w:val="lowerLetter"/>
      <w:start w:val="7"/>
    </w:lvl>
  </w:abstractNum>
  <w:abstractNum w:abstractNumId="120">
    <w:nsid w:val="29BACF25"/>
    <w:multiLevelType w:val="hybridMultilevel"/>
    <w:lvl w:ilvl="0">
      <w:lvlJc w:val="left"/>
      <w:lvlText w:val="(%1)"/>
      <w:numFmt w:val="lowerLetter"/>
      <w:start w:val="21"/>
    </w:lvl>
  </w:abstractNum>
  <w:abstractNum w:abstractNumId="121">
    <w:nsid w:val="5D5BABB3"/>
    <w:multiLevelType w:val="hybridMultilevel"/>
    <w:lvl w:ilvl="0">
      <w:lvlJc w:val="left"/>
      <w:lvlText w:val="(%1)"/>
      <w:numFmt w:val="lowerLetter"/>
      <w:start w:val="27"/>
    </w:lvl>
  </w:abstractNum>
  <w:abstractNum w:abstractNumId="122">
    <w:nsid w:val="51BF6B48"/>
    <w:multiLevelType w:val="hybridMultilevel"/>
    <w:lvl w:ilvl="0">
      <w:lvlJc w:val="left"/>
      <w:lvlText w:val="(%1)"/>
      <w:numFmt w:val="lowerLetter"/>
      <w:start w:val="33"/>
    </w:lvl>
    <w:lvl w:ilvl="1">
      <w:lvlJc w:val="left"/>
      <w:lvlText w:val="*"/>
      <w:numFmt w:val="bullet"/>
      <w:start w:val="1"/>
    </w:lvl>
  </w:abstractNum>
  <w:abstractNum w:abstractNumId="123">
    <w:nsid w:val="7E0F6384"/>
    <w:multiLevelType w:val="hybridMultilevel"/>
    <w:lvl w:ilvl="0">
      <w:lvlJc w:val="left"/>
      <w:lvlText w:val="(%1)"/>
      <w:numFmt w:val="lowerLetter"/>
      <w:start w:val="1"/>
    </w:lvl>
  </w:abstractNum>
  <w:abstractNum w:abstractNumId="124">
    <w:nsid w:val="2B4B8B53"/>
    <w:multiLevelType w:val="hybridMultilevel"/>
    <w:lvl w:ilvl="0">
      <w:lvlJc w:val="left"/>
      <w:lvlText w:val="(%1)"/>
      <w:numFmt w:val="lowerLetter"/>
      <w:start w:val="1"/>
    </w:lvl>
  </w:abstractNum>
  <w:abstractNum w:abstractNumId="125">
    <w:nsid w:val="72E3413A"/>
    <w:multiLevelType w:val="hybridMultilevel"/>
    <w:lvl w:ilvl="0">
      <w:lvlJc w:val="left"/>
      <w:lvlText w:val="(%1)"/>
      <w:numFmt w:val="lowerLetter"/>
      <w:start w:val="2"/>
    </w:lvl>
  </w:abstractNum>
  <w:abstractNum w:abstractNumId="126">
    <w:nsid w:val="116AE494"/>
    <w:multiLevelType w:val="hybridMultilevel"/>
    <w:lvl w:ilvl="0">
      <w:lvlJc w:val="left"/>
      <w:lvlText w:val="(%1)"/>
      <w:numFmt w:val="lowerLetter"/>
      <w:start w:val="1"/>
    </w:lvl>
  </w:abstractNum>
  <w:abstractNum w:abstractNumId="127">
    <w:nsid w:val="3494B2FB"/>
    <w:multiLevelType w:val="hybridMultilevel"/>
    <w:lvl w:ilvl="0">
      <w:lvlJc w:val="left"/>
      <w:lvlText w:val="(%1)"/>
      <w:numFmt w:val="lowerLetter"/>
      <w:start w:val="1"/>
    </w:lvl>
  </w:abstractNum>
  <w:abstractNum w:abstractNumId="128">
    <w:nsid w:val="B13A31"/>
    <w:multiLevelType w:val="hybridMultilevel"/>
    <w:lvl w:ilvl="0">
      <w:lvlJc w:val="left"/>
      <w:lvlText w:val="(%1)"/>
      <w:numFmt w:val="lowerLetter"/>
      <w:start w:val="2"/>
    </w:lvl>
  </w:abstractNum>
  <w:abstractNum w:abstractNumId="129">
    <w:nsid w:val="64429599"/>
    <w:multiLevelType w:val="hybridMultilevel"/>
    <w:lvl w:ilvl="0">
      <w:lvlJc w:val="left"/>
      <w:lvlText w:val="(%1)"/>
      <w:numFmt w:val="lowerLetter"/>
      <w:start w:val="1"/>
    </w:lvl>
  </w:abstractNum>
  <w:abstractNum w:abstractNumId="130">
    <w:nsid w:val="631F1690"/>
    <w:multiLevelType w:val="hybridMultilevel"/>
    <w:lvl w:ilvl="0">
      <w:lvlJc w:val="left"/>
      <w:lvlText w:val="%1"/>
      <w:numFmt w:val="lowerRoman"/>
      <w:start w:val="1"/>
    </w:lvl>
    <w:lvl w:ilvl="1">
      <w:lvlJc w:val="left"/>
      <w:lvlText w:val="(%2)"/>
      <w:numFmt w:val="lowerLetter"/>
      <w:start w:val="1"/>
    </w:lvl>
  </w:abstractNum>
  <w:abstractNum w:abstractNumId="131">
    <w:nsid w:val="25973E32"/>
    <w:multiLevelType w:val="hybridMultilevel"/>
    <w:lvl w:ilvl="0">
      <w:lvlJc w:val="left"/>
      <w:lvlText w:val="(%1)"/>
      <w:numFmt w:val="lowerRoman"/>
      <w:start w:val="1"/>
    </w:lvl>
    <w:lvl w:ilvl="1">
      <w:lvlJc w:val="left"/>
      <w:lvlText w:val="%2"/>
      <w:numFmt w:val="lowerLetter"/>
      <w:start w:val="1"/>
    </w:lvl>
  </w:abstractNum>
  <w:abstractNum w:abstractNumId="132">
    <w:nsid w:val="EAD6F57"/>
    <w:multiLevelType w:val="hybridMultilevel"/>
    <w:lvl w:ilvl="0">
      <w:lvlJc w:val="left"/>
      <w:lvlText w:val="(%1)"/>
      <w:numFmt w:val="lowerRoman"/>
      <w:start w:val="3"/>
    </w:lvl>
  </w:abstractNum>
  <w:abstractNum w:abstractNumId="133">
    <w:nsid w:val="6EC9D844"/>
    <w:multiLevelType w:val="hybridMultilevel"/>
    <w:lvl w:ilvl="0">
      <w:lvlJc w:val="left"/>
      <w:lvlText w:val="(%1)"/>
      <w:numFmt w:val="lowerLetter"/>
      <w:start w:val="1"/>
    </w:lvl>
  </w:abstractNum>
  <w:abstractNum w:abstractNumId="134">
    <w:nsid w:val="5C49EAEE"/>
    <w:multiLevelType w:val="hybridMultilevel"/>
    <w:lvl w:ilvl="0">
      <w:lvlJc w:val="left"/>
      <w:lvlText w:val="(%1)"/>
      <w:numFmt w:val="lowerLetter"/>
      <w:start w:val="3"/>
    </w:lvl>
  </w:abstractNum>
  <w:abstractNum w:abstractNumId="135">
    <w:nsid w:val="64AF49B"/>
    <w:multiLevelType w:val="hybridMultilevel"/>
    <w:lvl w:ilvl="0">
      <w:lvlJc w:val="left"/>
      <w:lvlText w:val="(%1)"/>
      <w:numFmt w:val="lowerLetter"/>
      <w:start w:val="1"/>
    </w:lvl>
  </w:abstractNum>
  <w:abstractNum w:abstractNumId="136">
    <w:nsid w:val="397C46BC"/>
    <w:multiLevelType w:val="hybridMultilevel"/>
    <w:lvl w:ilvl="0">
      <w:lvlJc w:val="left"/>
      <w:lvlText w:val="(%1)"/>
      <w:numFmt w:val="lowerLetter"/>
      <w:start w:val="1"/>
    </w:lvl>
  </w:abstractNum>
  <w:abstractNum w:abstractNumId="137">
    <w:nsid w:val="7E448DE9"/>
    <w:multiLevelType w:val="hybridMultilevel"/>
    <w:lvl w:ilvl="0">
      <w:lvlJc w:val="left"/>
      <w:lvlText w:val="(%1)"/>
      <w:numFmt w:val="upperLetter"/>
      <w:start w:val="1"/>
    </w:lvl>
  </w:abstractNum>
  <w:abstractNum w:abstractNumId="138">
    <w:nsid w:val="5A9CC3E5"/>
    <w:multiLevelType w:val="hybridMultilevel"/>
    <w:lvl w:ilvl="0">
      <w:lvlJc w:val="left"/>
      <w:lvlText w:val="(%1)"/>
      <w:numFmt w:val="lowerLetter"/>
      <w:start w:val="1"/>
    </w:lvl>
  </w:abstractNum>
  <w:abstractNum w:abstractNumId="139">
    <w:nsid w:val="1AFE3625"/>
    <w:multiLevelType w:val="hybridMultilevel"/>
    <w:lvl w:ilvl="0">
      <w:lvlJc w:val="left"/>
      <w:lvlText w:val="(%1)"/>
      <w:numFmt w:val="lowerLetter"/>
      <w:start w:val="1"/>
    </w:lvl>
    <w:lvl w:ilvl="1">
      <w:lvlJc w:val="left"/>
      <w:lvlText w:val="*"/>
      <w:numFmt w:val="bullet"/>
      <w:start w:val="1"/>
    </w:lvl>
  </w:abstractNum>
  <w:abstractNum w:abstractNumId="140">
    <w:nsid w:val="3CA88ECF"/>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41">
    <w:nsid w:val="6EBE4208"/>
    <w:multiLevelType w:val="hybridMultilevel"/>
    <w:lvl w:ilvl="0">
      <w:lvlJc w:val="left"/>
      <w:lvlText w:val="%1"/>
      <w:numFmt w:val="upperLetter"/>
      <w:start w:val="1"/>
    </w:lvl>
    <w:lvl w:ilvl="1">
      <w:lvlJc w:val="left"/>
      <w:lvlText w:val="%2."/>
      <w:numFmt w:val="upperLetter"/>
      <w:start w:val="3"/>
    </w:lvl>
  </w:abstractNum>
  <w:abstractNum w:abstractNumId="142">
    <w:nsid w:val="C058DF5"/>
    <w:multiLevelType w:val="hybridMultilevel"/>
    <w:lvl w:ilvl="0">
      <w:lvlJc w:val="left"/>
      <w:lvlText w:val="%1."/>
      <w:numFmt w:val="upperLetter"/>
      <w:start w:val="35"/>
    </w:lvl>
    <w:lvl w:ilvl="1">
      <w:lvlJc w:val="left"/>
      <w:lvlText w:val="%2"/>
      <w:numFmt w:val="upperLetter"/>
      <w:start w:val="1"/>
    </w:lvl>
  </w:abstractNum>
  <w:abstractNum w:abstractNumId="143">
    <w:nsid w:val="CBE5BE9"/>
    <w:multiLevelType w:val="hybridMultilevel"/>
    <w:lvl w:ilvl="0">
      <w:lvlJc w:val="left"/>
      <w:lvlText w:val="%1."/>
      <w:numFmt w:val="upperLetter"/>
      <w:start w:val="1"/>
    </w:lvl>
  </w:abstractNum>
  <w:abstractNum w:abstractNumId="144">
    <w:nsid w:val="3102BBE2"/>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145">
    <w:nsid w:val="26A02C5E"/>
    <w:multiLevelType w:val="hybridMultilevel"/>
    <w:lvl w:ilvl="0">
      <w:lvlJc w:val="left"/>
      <w:lvlText w:val="%1."/>
      <w:numFmt w:val="upperLetter"/>
      <w:start w:val="1"/>
    </w:lvl>
  </w:abstractNum>
  <w:abstractNum w:abstractNumId="146">
    <w:nsid w:val="541C8153"/>
    <w:multiLevelType w:val="hybridMultilevel"/>
    <w:lvl w:ilvl="0">
      <w:lvlJc w:val="left"/>
      <w:lvlText w:val="%1."/>
      <w:numFmt w:val="decimal"/>
      <w:start w:val="1"/>
    </w:lvl>
    <w:lvl w:ilvl="1">
      <w:lvlJc w:val="left"/>
      <w:lvlText w:val="(%2)"/>
      <w:numFmt w:val="lowerLetter"/>
      <w:start w:val="1"/>
    </w:lvl>
  </w:abstractNum>
  <w:abstractNum w:abstractNumId="147">
    <w:nsid w:val="67906F60"/>
    <w:multiLevelType w:val="hybridMultilevel"/>
    <w:lvl w:ilvl="0">
      <w:lvlJc w:val="left"/>
      <w:lvlText w:val="%1."/>
      <w:numFmt w:val="decimal"/>
      <w:start w:val="2"/>
    </w:lvl>
    <w:lvl w:ilvl="1">
      <w:lvlJc w:val="left"/>
      <w:lvlText w:val="(%2)"/>
      <w:numFmt w:val="lowerLetter"/>
      <w:start w:val="1"/>
    </w:lvl>
  </w:abstractNum>
  <w:abstractNum w:abstractNumId="148">
    <w:nsid w:val="10DB9DAA"/>
    <w:multiLevelType w:val="hybridMultilevel"/>
    <w:lvl w:ilvl="0">
      <w:lvlJc w:val="left"/>
      <w:lvlText w:val="%1."/>
      <w:numFmt w:val="decimal"/>
      <w:start w:val="3"/>
    </w:lvl>
  </w:abstractNum>
  <w:abstractNum w:abstractNumId="149">
    <w:nsid w:val="697D2D2"/>
    <w:multiLevelType w:val="hybridMultilevel"/>
    <w:lvl w:ilvl="0">
      <w:lvlJc w:val="left"/>
      <w:lvlText w:val="(%1)"/>
      <w:numFmt w:val="lowerLetter"/>
      <w:start w:val="1"/>
    </w:lvl>
    <w:lvl w:ilvl="1">
      <w:lvlJc w:val="left"/>
      <w:lvlText w:val="(%2)"/>
      <w:numFmt w:val="lowerRoman"/>
      <w:start w:val="1"/>
    </w:lvl>
  </w:abstractNum>
  <w:abstractNum w:abstractNumId="150">
    <w:nsid w:val="6D68AB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1">
    <w:nsid w:val="3A966CD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2">
    <w:nsid w:val="63F37E85"/>
    <w:multiLevelType w:val="hybridMultilevel"/>
    <w:lvl w:ilvl="0">
      <w:lvlJc w:val="left"/>
      <w:lvlText w:val="%1"/>
      <w:numFmt w:val="lowerLetter"/>
      <w:start w:val="1"/>
    </w:lvl>
    <w:lvl w:ilvl="1">
      <w:lvlJc w:val="left"/>
      <w:lvlText w:val="(%2)"/>
      <w:numFmt w:val="lowerLetter"/>
      <w:start w:val="61"/>
    </w:lvl>
  </w:abstractNum>
  <w:abstractNum w:abstractNumId="153">
    <w:nsid w:val="5895F5FA"/>
    <w:multiLevelType w:val="hybridMultilevel"/>
    <w:lvl w:ilvl="0">
      <w:lvlJc w:val="left"/>
      <w:lvlText w:val="(%1)"/>
      <w:numFmt w:val="lowerLetter"/>
      <w:start w:val="3"/>
    </w:lvl>
    <w:lvl w:ilvl="1">
      <w:lvlJc w:val="left"/>
      <w:lvlText w:val="(%2)"/>
      <w:numFmt w:val="lowerLetter"/>
      <w:start w:val="9"/>
    </w:lvl>
  </w:abstractNum>
  <w:abstractNum w:abstractNumId="154">
    <w:nsid w:val="38A5D054"/>
    <w:multiLevelType w:val="hybridMultilevel"/>
    <w:lvl w:ilvl="0">
      <w:lvlJc w:val="left"/>
      <w:lvlText w:val="(%1)"/>
      <w:numFmt w:val="lowerRoman"/>
      <w:start w:val="2"/>
    </w:lvl>
  </w:abstractNum>
  <w:abstractNum w:abstractNumId="155">
    <w:nsid w:val="F3F09D8"/>
    <w:multiLevelType w:val="hybridMultilevel"/>
    <w:lvl w:ilvl="0">
      <w:lvlJc w:val="left"/>
      <w:lvlText w:val="%1"/>
      <w:numFmt w:val="decimal"/>
      <w:start w:val="1"/>
    </w:lvl>
    <w:lvl w:ilvl="1">
      <w:lvlJc w:val="left"/>
      <w:lvlText w:val="(%2)"/>
      <w:numFmt w:val="lowerLetter"/>
      <w:start w:val="4"/>
    </w:lvl>
  </w:abstractNum>
  <w:abstractNum w:abstractNumId="156">
    <w:nsid w:val="4B793735"/>
    <w:multiLevelType w:val="hybridMultilevel"/>
    <w:lvl w:ilvl="0">
      <w:lvlJc w:val="left"/>
      <w:lvlText w:val="%1."/>
      <w:numFmt w:val="decimal"/>
      <w:start w:val="5"/>
    </w:lvl>
    <w:lvl w:ilvl="1">
      <w:lvlJc w:val="left"/>
      <w:lvlText w:val="%2"/>
      <w:numFmt w:val="lowerLetter"/>
      <w:start w:val="1"/>
    </w:lvl>
  </w:abstractNum>
  <w:abstractNum w:abstractNumId="157">
    <w:nsid w:val="4A10B4E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8">
    <w:nsid w:val="43D3BCD4"/>
    <w:multiLevelType w:val="hybridMultilevel"/>
    <w:lvl w:ilvl="0">
      <w:lvlJc w:val="left"/>
      <w:lvlText w:val="(%1)"/>
      <w:numFmt w:val="lowerRoman"/>
      <w:start w:val="3"/>
    </w:lvl>
  </w:abstractNum>
  <w:abstractNum w:abstractNumId="159">
    <w:nsid w:val="4C2A7166"/>
    <w:multiLevelType w:val="hybridMultilevel"/>
    <w:lvl w:ilvl="0">
      <w:lvlJc w:val="left"/>
      <w:lvlText w:val="(%1)"/>
      <w:numFmt w:val="lowerLetter"/>
      <w:start w:val="2"/>
    </w:lvl>
  </w:abstractNum>
  <w:abstractNum w:abstractNumId="160">
    <w:nsid w:val="2E534A82"/>
    <w:multiLevelType w:val="hybridMultilevel"/>
    <w:lvl w:ilvl="0">
      <w:lvlJc w:val="left"/>
      <w:lvlText w:val="%1"/>
      <w:numFmt w:val="lowerLetter"/>
      <w:start w:val="1"/>
    </w:lvl>
    <w:lvl w:ilvl="1">
      <w:lvlJc w:val="left"/>
      <w:lvlText w:val="(%2)"/>
      <w:numFmt w:val="lowerLetter"/>
      <w:start w:val="6"/>
    </w:lvl>
  </w:abstractNum>
  <w:abstractNum w:abstractNumId="161">
    <w:nsid w:val="26F2D364"/>
    <w:multiLevelType w:val="hybridMultilevel"/>
    <w:lvl w:ilvl="0">
      <w:lvlJc w:val="left"/>
      <w:lvlText w:val="(%1)"/>
      <w:numFmt w:val="lowerLetter"/>
      <w:start w:val="35"/>
    </w:lvl>
    <w:lvl w:ilvl="1">
      <w:lvlJc w:val="left"/>
      <w:lvlText w:val="%2"/>
      <w:numFmt w:val="lowerLetter"/>
      <w:start w:val="1"/>
    </w:lvl>
  </w:abstractNum>
  <w:abstractNum w:abstractNumId="162">
    <w:nsid w:val="71C1AF98"/>
    <w:multiLevelType w:val="hybridMultilevel"/>
    <w:lvl w:ilvl="0">
      <w:lvlJc w:val="left"/>
      <w:lvlText w:val="%1."/>
      <w:numFmt w:val="decimal"/>
      <w:start w:val="8"/>
    </w:lvl>
    <w:lvl w:ilvl="1">
      <w:lvlJc w:val="left"/>
      <w:lvlText w:val="(%2)"/>
      <w:numFmt w:val="lowerLetter"/>
      <w:start w:val="1"/>
    </w:lvl>
  </w:abstractNum>
  <w:abstractNum w:abstractNumId="163">
    <w:nsid w:val="3D00B9D9"/>
    <w:multiLevelType w:val="hybridMultilevel"/>
    <w:lvl w:ilvl="0">
      <w:lvlJc w:val="left"/>
      <w:lvlText w:val="%1"/>
      <w:numFmt w:val="lowerLetter"/>
      <w:start w:val="1"/>
    </w:lvl>
    <w:lvl w:ilvl="1">
      <w:lvlJc w:val="left"/>
      <w:lvlText w:val="(%2)"/>
      <w:numFmt w:val="lowerLetter"/>
      <w:start w:val="3"/>
    </w:lvl>
  </w:abstractNum>
  <w:abstractNum w:abstractNumId="164">
    <w:nsid w:val="15BCABA8"/>
    <w:multiLevelType w:val="hybridMultilevel"/>
    <w:lvl w:ilvl="0">
      <w:lvlJc w:val="left"/>
      <w:lvlText w:val="(%1)"/>
      <w:numFmt w:val="lowerLetter"/>
      <w:start w:val="35"/>
    </w:lvl>
    <w:lvl w:ilvl="1">
      <w:lvlJc w:val="left"/>
      <w:lvlText w:val="(%2)"/>
      <w:numFmt w:val="lowerLetter"/>
      <w:start w:val="4"/>
    </w:lvl>
  </w:abstractNum>
  <w:abstractNum w:abstractNumId="165">
    <w:nsid w:val="4E0B9A8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6">
    <w:nsid w:val="434BAE75"/>
    <w:multiLevelType w:val="hybridMultilevel"/>
    <w:lvl w:ilvl="0">
      <w:lvlJc w:val="left"/>
      <w:lvlText w:val="(%1)"/>
      <w:numFmt w:val="lowerLetter"/>
      <w:start w:val="6"/>
    </w:lvl>
  </w:abstractNum>
  <w:abstractNum w:abstractNumId="167">
    <w:nsid w:val="4F38F265"/>
    <w:multiLevelType w:val="hybridMultilevel"/>
    <w:lvl w:ilvl="0">
      <w:lvlJc w:val="left"/>
      <w:lvlText w:val="(%1)"/>
      <w:numFmt w:val="lowerLetter"/>
      <w:start w:val="10"/>
    </w:lvl>
    <w:lvl w:ilvl="1">
      <w:lvlJc w:val="left"/>
      <w:lvlText w:val="(%2)"/>
      <w:numFmt w:val="lowerRoman"/>
      <w:start w:val="1"/>
    </w:lvl>
  </w:abstractNum>
  <w:abstractNum w:abstractNumId="168">
    <w:nsid w:val="4C502870"/>
    <w:multiLevelType w:val="hybridMultilevel"/>
    <w:lvl w:ilvl="0">
      <w:lvlJc w:val="left"/>
      <w:lvlText w:val="%1"/>
      <w:numFmt w:val="decimal"/>
      <w:start w:val="1"/>
    </w:lvl>
    <w:lvl w:ilvl="1">
      <w:lvlJc w:val="left"/>
      <w:lvlText w:val="(%2)"/>
      <w:numFmt w:val="lowerRoman"/>
      <w:start w:val="3"/>
    </w:lvl>
  </w:abstractNum>
  <w:abstractNum w:abstractNumId="169">
    <w:nsid w:val="1DE8725A"/>
    <w:multiLevelType w:val="hybridMultilevel"/>
    <w:lvl w:ilvl="0">
      <w:lvlJc w:val="left"/>
      <w:lvlText w:val="%1."/>
      <w:numFmt w:val="decimal"/>
      <w:start w:val="10"/>
    </w:lvl>
    <w:lvl w:ilvl="1">
      <w:lvlJc w:val="left"/>
      <w:lvlText w:val="%2"/>
      <w:numFmt w:val="lowerRoman"/>
      <w:start w:val="1"/>
    </w:lvl>
  </w:abstractNum>
  <w:abstractNum w:abstractNumId="170">
    <w:nsid w:val="6A37288A"/>
    <w:multiLevelType w:val="hybridMultilevel"/>
    <w:lvl w:ilvl="0">
      <w:lvlJc w:val="left"/>
      <w:lvlText w:val="%1."/>
      <w:numFmt w:val="decimal"/>
      <w:start w:val="1"/>
    </w:lvl>
  </w:abstractNum>
  <w:abstractNum w:abstractNumId="171">
    <w:nsid w:val="8F8B73F"/>
    <w:multiLevelType w:val="hybridMultilevel"/>
    <w:lvl w:ilvl="0">
      <w:lvlJc w:val="left"/>
      <w:lvlText w:val="(%1)"/>
      <w:numFmt w:val="lowerLetter"/>
      <w:start w:val="1"/>
    </w:lvl>
  </w:abstractNum>
  <w:abstractNum w:abstractNumId="172">
    <w:nsid w:val="CA6B462"/>
    <w:multiLevelType w:val="hybridMultilevel"/>
    <w:lvl w:ilvl="0">
      <w:lvlJc w:val="left"/>
      <w:lvlText w:val="%1."/>
      <w:numFmt w:val="decimal"/>
      <w:start w:val="3"/>
    </w:lvl>
  </w:abstractNum>
  <w:abstractNum w:abstractNumId="173">
    <w:nsid w:val="763CB680"/>
    <w:multiLevelType w:val="hybridMultilevel"/>
    <w:lvl w:ilvl="0">
      <w:lvlJc w:val="left"/>
      <w:lvlText w:val="%1."/>
      <w:numFmt w:val="decimal"/>
      <w:start w:val="5"/>
    </w:lvl>
  </w:abstractNum>
  <w:abstractNum w:abstractNumId="174">
    <w:nsid w:val="15B71329"/>
    <w:multiLevelType w:val="hybridMultilevel"/>
    <w:lvl w:ilvl="0">
      <w:lvlJc w:val="left"/>
      <w:lvlText w:val="6"/>
      <w:numFmt w:val="bullet"/>
      <w:start w:val="1"/>
    </w:lvl>
  </w:abstractNum>
  <w:abstractNum w:abstractNumId="175">
    <w:nsid w:val="3DA97044"/>
    <w:multiLevelType w:val="hybridMultilevel"/>
    <w:lvl w:ilvl="0">
      <w:lvlJc w:val="left"/>
      <w:lvlText w:val="%1."/>
      <w:numFmt w:val="decimal"/>
      <w:start w:val="7"/>
    </w:lvl>
  </w:abstractNum>
  <w:abstractNum w:abstractNumId="176">
    <w:nsid w:val="1CDCE2DE"/>
    <w:multiLevelType w:val="hybridMultilevel"/>
    <w:lvl w:ilvl="0">
      <w:lvlJc w:val="left"/>
      <w:lvlText w:val="%1."/>
      <w:numFmt w:val="decimal"/>
      <w:start w:val="10"/>
    </w:lvl>
  </w:abstractNum>
  <w:abstractNum w:abstractNumId="177">
    <w:nsid w:val="69D3947C"/>
    <w:multiLevelType w:val="hybridMultilevel"/>
    <w:lvl w:ilvl="0">
      <w:lvlJc w:val="left"/>
      <w:lvlText w:val="%1."/>
      <w:numFmt w:val="upperLetter"/>
      <w:start w:val="1"/>
    </w:lvl>
  </w:abstractNum>
  <w:abstractNum w:abstractNumId="178">
    <w:nsid w:val="2539DFA5"/>
    <w:multiLevelType w:val="hybridMultilevel"/>
    <w:lvl w:ilvl="0">
      <w:lvlJc w:val="left"/>
      <w:lvlText w:val="%1."/>
      <w:numFmt w:val="decimal"/>
      <w:start w:val="1"/>
    </w:lvl>
    <w:lvl w:ilvl="1">
      <w:lvlJc w:val="left"/>
      <w:lvlText w:val="(%2)"/>
      <w:numFmt w:val="lowerLetter"/>
      <w:start w:val="1"/>
    </w:lvl>
  </w:abstractNum>
  <w:abstractNum w:abstractNumId="179">
    <w:nsid w:val="2DB88089"/>
    <w:multiLevelType w:val="hybridMultilevel"/>
    <w:lvl w:ilvl="0">
      <w:lvlJc w:val="left"/>
      <w:lvlText w:val="%1."/>
      <w:numFmt w:val="decimal"/>
      <w:start w:val="2"/>
    </w:lvl>
    <w:lvl w:ilvl="1">
      <w:lvlJc w:val="left"/>
      <w:lvlText w:val="(%2)"/>
      <w:numFmt w:val="lowerLetter"/>
      <w:start w:val="1"/>
    </w:lvl>
  </w:abstractNum>
  <w:abstractNum w:abstractNumId="180">
    <w:nsid w:val="706B674E"/>
    <w:multiLevelType w:val="hybridMultilevel"/>
    <w:lvl w:ilvl="0">
      <w:lvlJc w:val="left"/>
      <w:lvlText w:val="%1."/>
      <w:numFmt w:val="decimal"/>
      <w:start w:val="3"/>
    </w:lvl>
  </w:abstractNum>
  <w:abstractNum w:abstractNumId="181">
    <w:nsid w:val="2C106A57"/>
    <w:multiLevelType w:val="hybridMultilevel"/>
    <w:lvl w:ilvl="0">
      <w:lvlJc w:val="left"/>
      <w:lvlText w:val="(%1)"/>
      <w:numFmt w:val="lowerLetter"/>
      <w:start w:val="1"/>
    </w:lvl>
    <w:lvl w:ilvl="1">
      <w:lvlJc w:val="left"/>
      <w:lvlText w:val="(%2)"/>
      <w:numFmt w:val="lowerRoman"/>
      <w:start w:val="1"/>
    </w:lvl>
  </w:abstractNum>
  <w:abstractNum w:abstractNumId="182">
    <w:nsid w:val="684EED5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3">
    <w:nsid w:val="545EE5D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4">
    <w:nsid w:val="4A66051"/>
    <w:multiLevelType w:val="hybridMultilevel"/>
    <w:lvl w:ilvl="0">
      <w:lvlJc w:val="left"/>
      <w:lvlText w:val="%1"/>
      <w:numFmt w:val="lowerLetter"/>
      <w:start w:val="1"/>
    </w:lvl>
    <w:lvl w:ilvl="1">
      <w:lvlJc w:val="left"/>
      <w:lvlText w:val="(%2)"/>
      <w:numFmt w:val="lowerLetter"/>
      <w:start w:val="61"/>
    </w:lvl>
  </w:abstractNum>
  <w:abstractNum w:abstractNumId="185">
    <w:nsid w:val="20F4BDAD"/>
    <w:multiLevelType w:val="hybridMultilevel"/>
    <w:lvl w:ilvl="0">
      <w:lvlJc w:val="left"/>
      <w:lvlText w:val="(%1)"/>
      <w:numFmt w:val="lowerLetter"/>
      <w:start w:val="3"/>
    </w:lvl>
    <w:lvl w:ilvl="1">
      <w:lvlJc w:val="left"/>
      <w:lvlText w:val="(%2)"/>
      <w:numFmt w:val="lowerLetter"/>
      <w:start w:val="9"/>
    </w:lvl>
  </w:abstractNum>
  <w:abstractNum w:abstractNumId="186">
    <w:nsid w:val="639DEFAC"/>
    <w:multiLevelType w:val="hybridMultilevel"/>
    <w:lvl w:ilvl="0">
      <w:lvlJc w:val="left"/>
      <w:lvlText w:val="(%1)"/>
      <w:numFmt w:val="lowerRoman"/>
      <w:start w:val="2"/>
    </w:lvl>
  </w:abstractNum>
  <w:abstractNum w:abstractNumId="187">
    <w:nsid w:val="501F9786"/>
    <w:multiLevelType w:val="hybridMultilevel"/>
    <w:lvl w:ilvl="0">
      <w:lvlJc w:val="left"/>
      <w:lvlText w:val="%1"/>
      <w:numFmt w:val="decimal"/>
      <w:start w:val="1"/>
    </w:lvl>
    <w:lvl w:ilvl="1">
      <w:lvlJc w:val="left"/>
      <w:lvlText w:val="(%2)"/>
      <w:numFmt w:val="lowerLetter"/>
      <w:start w:val="4"/>
    </w:lvl>
  </w:abstractNum>
  <w:abstractNum w:abstractNumId="188">
    <w:nsid w:val="6B057295"/>
    <w:multiLevelType w:val="hybridMultilevel"/>
    <w:lvl w:ilvl="0">
      <w:lvlJc w:val="left"/>
      <w:lvlText w:val="%1."/>
      <w:numFmt w:val="decimal"/>
      <w:start w:val="5"/>
    </w:lvl>
    <w:lvl w:ilvl="1">
      <w:lvlJc w:val="left"/>
      <w:lvlText w:val="%2"/>
      <w:numFmt w:val="lowerLetter"/>
      <w:start w:val="1"/>
    </w:lvl>
  </w:abstractNum>
  <w:abstractNum w:abstractNumId="189">
    <w:nsid w:val="2771AC8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0">
    <w:nsid w:val="1C4A08EC"/>
    <w:multiLevelType w:val="hybridMultilevel"/>
    <w:lvl w:ilvl="0">
      <w:lvlJc w:val="left"/>
      <w:lvlText w:val="(%1)"/>
      <w:numFmt w:val="lowerRoman"/>
      <w:start w:val="3"/>
    </w:lvl>
  </w:abstractNum>
  <w:abstractNum w:abstractNumId="191">
    <w:nsid w:val="1958BD17"/>
    <w:multiLevelType w:val="hybridMultilevel"/>
    <w:lvl w:ilvl="0">
      <w:lvlJc w:val="left"/>
      <w:lvlText w:val="(%1)"/>
      <w:numFmt w:val="lowerLetter"/>
      <w:start w:val="2"/>
    </w:lvl>
  </w:abstractNum>
  <w:abstractNum w:abstractNumId="192">
    <w:nsid w:val="4E647FE4"/>
    <w:multiLevelType w:val="hybridMultilevel"/>
    <w:lvl w:ilvl="0">
      <w:lvlJc w:val="left"/>
      <w:lvlText w:val="%1"/>
      <w:numFmt w:val="lowerLetter"/>
      <w:start w:val="1"/>
    </w:lvl>
    <w:lvl w:ilvl="1">
      <w:lvlJc w:val="left"/>
      <w:lvlText w:val="(%2)"/>
      <w:numFmt w:val="lowerLetter"/>
      <w:start w:val="6"/>
    </w:lvl>
  </w:abstractNum>
  <w:abstractNum w:abstractNumId="193">
    <w:nsid w:val="E0BB885"/>
    <w:multiLevelType w:val="hybridMultilevel"/>
    <w:lvl w:ilvl="0">
      <w:lvlJc w:val="left"/>
      <w:lvlText w:val="(%1)"/>
      <w:numFmt w:val="lowerLetter"/>
      <w:start w:val="35"/>
    </w:lvl>
    <w:lvl w:ilvl="1">
      <w:lvlJc w:val="left"/>
      <w:lvlText w:val="%2"/>
      <w:numFmt w:val="lowerLetter"/>
      <w:start w:val="1"/>
    </w:lvl>
  </w:abstractNum>
  <w:abstractNum w:abstractNumId="194">
    <w:nsid w:val="565976F1"/>
    <w:multiLevelType w:val="hybridMultilevel"/>
    <w:lvl w:ilvl="0">
      <w:lvlJc w:val="left"/>
      <w:lvlText w:val="%1."/>
      <w:numFmt w:val="decimal"/>
      <w:start w:val="8"/>
    </w:lvl>
    <w:lvl w:ilvl="1">
      <w:lvlJc w:val="left"/>
      <w:lvlText w:val="(%2)"/>
      <w:numFmt w:val="lowerLetter"/>
      <w:start w:val="1"/>
    </w:lvl>
  </w:abstractNum>
  <w:abstractNum w:abstractNumId="195">
    <w:nsid w:val="64212B8C"/>
    <w:multiLevelType w:val="hybridMultilevel"/>
    <w:lvl w:ilvl="0">
      <w:lvlJc w:val="left"/>
      <w:lvlText w:val="%1"/>
      <w:numFmt w:val="lowerLetter"/>
      <w:start w:val="1"/>
    </w:lvl>
    <w:lvl w:ilvl="1">
      <w:lvlJc w:val="left"/>
      <w:lvlText w:val="(%2)"/>
      <w:numFmt w:val="lowerLetter"/>
      <w:start w:val="3"/>
    </w:lvl>
  </w:abstractNum>
  <w:abstractNum w:abstractNumId="196">
    <w:nsid w:val="5C17530C"/>
    <w:multiLevelType w:val="hybridMultilevel"/>
    <w:lvl w:ilvl="0">
      <w:lvlJc w:val="left"/>
      <w:lvlText w:val="(%1)"/>
      <w:numFmt w:val="lowerLetter"/>
      <w:start w:val="35"/>
    </w:lvl>
    <w:lvl w:ilvl="1">
      <w:lvlJc w:val="left"/>
      <w:lvlText w:val="(%2)"/>
      <w:numFmt w:val="lowerLetter"/>
      <w:start w:val="4"/>
    </w:lvl>
  </w:abstractNum>
  <w:abstractNum w:abstractNumId="197">
    <w:nsid w:val="19A5256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8">
    <w:nsid w:val="335A1DF1"/>
    <w:multiLevelType w:val="hybridMultilevel"/>
    <w:lvl w:ilvl="0">
      <w:lvlJc w:val="left"/>
      <w:lvlText w:val="(%1)"/>
      <w:numFmt w:val="lowerLetter"/>
      <w:start w:val="4"/>
    </w:lvl>
  </w:abstractNum>
  <w:abstractNum w:abstractNumId="199">
    <w:nsid w:val="28677B7C"/>
    <w:multiLevelType w:val="hybridMultilevel"/>
    <w:lvl w:ilvl="0">
      <w:lvlJc w:val="left"/>
      <w:lvlText w:val="(%1)"/>
      <w:numFmt w:val="lowerLetter"/>
      <w:start w:val="10"/>
    </w:lvl>
    <w:lvl w:ilvl="1">
      <w:lvlJc w:val="left"/>
      <w:lvlText w:val="(%2)"/>
      <w:numFmt w:val="lowerRoman"/>
      <w:start w:val="1"/>
    </w:lvl>
  </w:abstractNum>
  <w:abstractNum w:abstractNumId="200">
    <w:nsid w:val="378D97C0"/>
    <w:multiLevelType w:val="hybridMultilevel"/>
    <w:lvl w:ilvl="0">
      <w:lvlJc w:val="left"/>
      <w:lvlText w:val="%1"/>
      <w:numFmt w:val="decimal"/>
      <w:start w:val="1"/>
    </w:lvl>
    <w:lvl w:ilvl="1">
      <w:lvlJc w:val="left"/>
      <w:lvlText w:val="(%2)"/>
      <w:numFmt w:val="lowerRoman"/>
      <w:start w:val="3"/>
    </w:lvl>
  </w:abstractNum>
  <w:abstractNum w:abstractNumId="201">
    <w:nsid w:val="1D91467C"/>
    <w:multiLevelType w:val="hybridMultilevel"/>
    <w:lvl w:ilvl="0">
      <w:lvlJc w:val="left"/>
      <w:lvlText w:val="%1."/>
      <w:numFmt w:val="decimal"/>
      <w:start w:val="10"/>
    </w:lvl>
    <w:lvl w:ilvl="1">
      <w:lvlJc w:val="left"/>
      <w:lvlText w:val="%2"/>
      <w:numFmt w:val="lowerRoman"/>
      <w:start w:val="1"/>
    </w:lvl>
  </w:abstractNum>
  <w:abstractNum w:abstractNumId="202">
    <w:nsid w:val="316032BB"/>
    <w:multiLevelType w:val="hybridMultilevel"/>
    <w:lvl w:ilvl="0">
      <w:lvlJc w:val="left"/>
      <w:lvlText w:val="%1."/>
      <w:numFmt w:val="decimal"/>
      <w:start w:val="1"/>
    </w:lvl>
  </w:abstractNum>
  <w:abstractNum w:abstractNumId="203">
    <w:nsid w:val="44344C22"/>
    <w:multiLevelType w:val="hybridMultilevel"/>
    <w:lvl w:ilvl="0">
      <w:lvlJc w:val="left"/>
      <w:lvlText w:val="(%1)"/>
      <w:numFmt w:val="lowerLetter"/>
      <w:start w:val="1"/>
    </w:lvl>
  </w:abstractNum>
  <w:abstractNum w:abstractNumId="204">
    <w:nsid w:val="13CDFCFC"/>
    <w:multiLevelType w:val="hybridMultilevel"/>
    <w:lvl w:ilvl="0">
      <w:lvlJc w:val="left"/>
      <w:lvlText w:val="%1."/>
      <w:numFmt w:val="decimal"/>
      <w:start w:val="3"/>
    </w:lvl>
  </w:abstractNum>
  <w:abstractNum w:abstractNumId="205">
    <w:nsid w:val="471745E4"/>
    <w:multiLevelType w:val="hybridMultilevel"/>
    <w:lvl w:ilvl="0">
      <w:lvlJc w:val="left"/>
      <w:lvlText w:val="%1."/>
      <w:numFmt w:val="decimal"/>
      <w:start w:val="5"/>
    </w:lvl>
  </w:abstractNum>
  <w:abstractNum w:abstractNumId="206">
    <w:nsid w:val="1DDBC66"/>
    <w:multiLevelType w:val="hybridMultilevel"/>
    <w:lvl w:ilvl="0">
      <w:lvlJc w:val="left"/>
      <w:lvlText w:val="6"/>
      <w:numFmt w:val="bullet"/>
      <w:start w:val="1"/>
    </w:lvl>
  </w:abstractNum>
  <w:abstractNum w:abstractNumId="207">
    <w:nsid w:val="30AADFDA"/>
    <w:multiLevelType w:val="hybridMultilevel"/>
    <w:lvl w:ilvl="0">
      <w:lvlJc w:val="left"/>
      <w:lvlText w:val="%1."/>
      <w:numFmt w:val="decimal"/>
      <w:start w:val="7"/>
    </w:lvl>
  </w:abstractNum>
  <w:abstractNum w:abstractNumId="208">
    <w:nsid w:val="30EADA61"/>
    <w:multiLevelType w:val="hybridMultilevel"/>
    <w:lvl w:ilvl="0">
      <w:lvlJc w:val="left"/>
      <w:lvlText w:val="%1."/>
      <w:numFmt w:val="decimal"/>
      <w:start w:val="10"/>
    </w:lvl>
  </w:abstractNum>
  <w:abstractNum w:abstractNumId="209">
    <w:nsid w:val="27179C0B"/>
    <w:multiLevelType w:val="hybridMultilevel"/>
    <w:lvl w:ilvl="0">
      <w:lvlJc w:val="left"/>
      <w:lvlText w:val="%1."/>
      <w:numFmt w:val="upperLetter"/>
      <w:start w:val="1"/>
    </w:lvl>
  </w:abstractNum>
  <w:abstractNum w:abstractNumId="210">
    <w:nsid w:val="5E636063"/>
    <w:multiLevelType w:val="hybridMultilevel"/>
    <w:lvl w:ilvl="0">
      <w:lvlJc w:val="left"/>
      <w:lvlText w:val="%1."/>
      <w:numFmt w:val="decimal"/>
      <w:start w:val="1"/>
    </w:lvl>
    <w:lvl w:ilvl="1">
      <w:lvlJc w:val="left"/>
      <w:lvlText w:val="(%2)"/>
      <w:numFmt w:val="lowerLetter"/>
      <w:start w:val="1"/>
    </w:lvl>
  </w:abstractNum>
  <w:abstractNum w:abstractNumId="211">
    <w:nsid w:val="215641AF"/>
    <w:multiLevelType w:val="hybridMultilevel"/>
    <w:lvl w:ilvl="0">
      <w:lvlJc w:val="left"/>
      <w:lvlText w:val="%1."/>
      <w:numFmt w:val="decimal"/>
      <w:start w:val="2"/>
    </w:lvl>
    <w:lvl w:ilvl="1">
      <w:lvlJc w:val="left"/>
      <w:lvlText w:val="(%2)"/>
      <w:numFmt w:val="lowerLetter"/>
      <w:start w:val="1"/>
    </w:lvl>
  </w:abstractNum>
  <w:abstractNum w:abstractNumId="212">
    <w:nsid w:val="53280662"/>
    <w:multiLevelType w:val="hybridMultilevel"/>
    <w:lvl w:ilvl="0">
      <w:lvlJc w:val="left"/>
      <w:lvlText w:val="%1."/>
      <w:numFmt w:val="decimal"/>
      <w:start w:val="3"/>
    </w:lvl>
  </w:abstractNum>
  <w:abstractNum w:abstractNumId="213">
    <w:nsid w:val="46B24DBC"/>
    <w:multiLevelType w:val="hybridMultilevel"/>
    <w:lvl w:ilvl="0">
      <w:lvlJc w:val="left"/>
      <w:lvlText w:val="(%1)"/>
      <w:numFmt w:val="lowerLetter"/>
      <w:start w:val="1"/>
    </w:lvl>
    <w:lvl w:ilvl="1">
      <w:lvlJc w:val="left"/>
      <w:lvlText w:val="(%2)"/>
      <w:numFmt w:val="lowerRoman"/>
      <w:start w:val="1"/>
    </w:lvl>
  </w:abstractNum>
  <w:abstractNum w:abstractNumId="214">
    <w:nsid w:val="75B5278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5">
    <w:nsid w:val="57CE66B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16">
    <w:nsid w:val="67A70B69"/>
    <w:multiLevelType w:val="hybridMultilevel"/>
    <w:lvl w:ilvl="0">
      <w:lvlJc w:val="left"/>
      <w:lvlText w:val="%1"/>
      <w:numFmt w:val="lowerLetter"/>
      <w:start w:val="1"/>
    </w:lvl>
    <w:lvl w:ilvl="1">
      <w:lvlJc w:val="left"/>
      <w:lvlText w:val="(%2)"/>
      <w:numFmt w:val="lowerRoman"/>
      <w:start w:val="2"/>
    </w:lvl>
  </w:abstractNum>
  <w:abstractNum w:abstractNumId="217">
    <w:nsid w:val="5953172F"/>
    <w:multiLevelType w:val="hybridMultilevel"/>
    <w:lvl w:ilvl="0">
      <w:lvlJc w:val="left"/>
      <w:lvlText w:val="(%1)"/>
      <w:numFmt w:val="lowerLetter"/>
      <w:start w:val="3"/>
    </w:lvl>
    <w:lvl w:ilvl="1">
      <w:lvlJc w:val="left"/>
      <w:lvlText w:val="(%2)"/>
      <w:numFmt w:val="lowerRoman"/>
      <w:start w:val="1"/>
    </w:lvl>
  </w:abstractNum>
  <w:abstractNum w:abstractNumId="218">
    <w:nsid w:val="27EDFE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19">
    <w:nsid w:val="52AC7DF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20">
    <w:nsid w:val="C4C3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21">
    <w:nsid w:val="4438072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22">
    <w:nsid w:val="6C053B16"/>
    <w:multiLevelType w:val="hybridMultilevel"/>
    <w:lvl w:ilvl="0">
      <w:lvlJc w:val="left"/>
      <w:lvlText w:val="(%1)"/>
      <w:numFmt w:val="lowerRoman"/>
      <w:start w:val="2"/>
    </w:lvl>
  </w:abstractNum>
  <w:abstractNum w:abstractNumId="223">
    <w:nsid w:val="4F294393"/>
    <w:multiLevelType w:val="hybridMultilevel"/>
    <w:lvl w:ilvl="0">
      <w:lvlJc w:val="left"/>
      <w:lvlText w:val="(%1)"/>
      <w:numFmt w:val="lowerLetter"/>
      <w:start w:val="2"/>
    </w:lvl>
  </w:abstractNum>
  <w:abstractNum w:abstractNumId="224">
    <w:nsid w:val="5243BFAC"/>
    <w:multiLevelType w:val="hybridMultilevel"/>
    <w:lvl w:ilvl="0">
      <w:lvlJc w:val="left"/>
      <w:lvlText w:val="%1"/>
      <w:numFmt w:val="lowerLetter"/>
      <w:start w:val="1"/>
    </w:lvl>
    <w:lvl w:ilvl="1">
      <w:lvlJc w:val="left"/>
      <w:lvlText w:val="(%2)"/>
      <w:numFmt w:val="lowerLetter"/>
      <w:start w:val="6"/>
    </w:lvl>
  </w:abstractNum>
  <w:abstractNum w:abstractNumId="225">
    <w:nsid w:val="425EB207"/>
    <w:multiLevelType w:val="hybridMultilevel"/>
    <w:lvl w:ilvl="0">
      <w:lvlJc w:val="left"/>
      <w:lvlText w:val="(%1)"/>
      <w:numFmt w:val="lowerLetter"/>
      <w:start w:val="35"/>
    </w:lvl>
    <w:lvl w:ilvl="1">
      <w:lvlJc w:val="left"/>
      <w:lvlText w:val="%2"/>
      <w:numFmt w:val="lowerLetter"/>
      <w:start w:val="1"/>
    </w:lvl>
  </w:abstractNum>
  <w:abstractNum w:abstractNumId="226">
    <w:nsid w:val="334A6F1F"/>
    <w:multiLevelType w:val="hybridMultilevel"/>
    <w:lvl w:ilvl="0">
      <w:lvlJc w:val="left"/>
      <w:lvlText w:val="%1."/>
      <w:numFmt w:val="decimal"/>
      <w:start w:val="8"/>
    </w:lvl>
    <w:lvl w:ilvl="1">
      <w:lvlJc w:val="left"/>
      <w:lvlText w:val="(%2)"/>
      <w:numFmt w:val="lowerLetter"/>
      <w:start w:val="1"/>
    </w:lvl>
  </w:abstractNum>
  <w:abstractNum w:abstractNumId="227">
    <w:nsid w:val="2E5B12B8"/>
    <w:multiLevelType w:val="hybridMultilevel"/>
    <w:lvl w:ilvl="0">
      <w:lvlJc w:val="left"/>
      <w:lvlText w:val="%1"/>
      <w:numFmt w:val="lowerLetter"/>
      <w:start w:val="1"/>
    </w:lvl>
    <w:lvl w:ilvl="1">
      <w:lvlJc w:val="left"/>
      <w:lvlText w:val="(%2)"/>
      <w:numFmt w:val="lowerLetter"/>
      <w:start w:val="3"/>
    </w:lvl>
  </w:abstractNum>
  <w:abstractNum w:abstractNumId="228">
    <w:nsid w:val="5C03D76D"/>
    <w:multiLevelType w:val="hybridMultilevel"/>
    <w:lvl w:ilvl="0">
      <w:lvlJc w:val="left"/>
      <w:lvlText w:val="(%1)"/>
      <w:numFmt w:val="lowerLetter"/>
      <w:start w:val="35"/>
    </w:lvl>
    <w:lvl w:ilvl="1">
      <w:lvlJc w:val="left"/>
      <w:lvlText w:val="(%2)"/>
      <w:numFmt w:val="lowerLetter"/>
      <w:start w:val="4"/>
    </w:lvl>
  </w:abstractNum>
  <w:abstractNum w:abstractNumId="229">
    <w:nsid w:val="66A48D1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30">
    <w:nsid w:val="56C28E34"/>
    <w:multiLevelType w:val="hybridMultilevel"/>
    <w:lvl w:ilvl="0">
      <w:lvlJc w:val="left"/>
      <w:lvlText w:val="(%1)"/>
      <w:numFmt w:val="lowerLetter"/>
      <w:start w:val="4"/>
    </w:lvl>
  </w:abstractNum>
  <w:abstractNum w:abstractNumId="231">
    <w:nsid w:val="13916F2D"/>
    <w:multiLevelType w:val="hybridMultilevel"/>
    <w:lvl w:ilvl="0">
      <w:lvlJc w:val="left"/>
      <w:lvlText w:val="(%1)"/>
      <w:numFmt w:val="lowerLetter"/>
      <w:start w:val="10"/>
    </w:lvl>
    <w:lvl w:ilvl="1">
      <w:lvlJc w:val="left"/>
      <w:lvlText w:val="(%2)"/>
      <w:numFmt w:val="lowerRoman"/>
      <w:start w:val="1"/>
    </w:lvl>
  </w:abstractNum>
  <w:abstractNum w:abstractNumId="232">
    <w:nsid w:val="435D38D"/>
    <w:multiLevelType w:val="hybridMultilevel"/>
    <w:lvl w:ilvl="0">
      <w:lvlJc w:val="left"/>
      <w:lvlText w:val="%1"/>
      <w:numFmt w:val="decimal"/>
      <w:start w:val="1"/>
    </w:lvl>
    <w:lvl w:ilvl="1">
      <w:lvlJc w:val="left"/>
      <w:lvlText w:val="(%2)"/>
      <w:numFmt w:val="lowerRoman"/>
      <w:start w:val="3"/>
    </w:lvl>
  </w:abstractNum>
  <w:abstractNum w:abstractNumId="233">
    <w:nsid w:val="822C0EF"/>
    <w:multiLevelType w:val="hybridMultilevel"/>
    <w:lvl w:ilvl="0">
      <w:lvlJc w:val="left"/>
      <w:lvlText w:val="%1."/>
      <w:numFmt w:val="decimal"/>
      <w:start w:val="10"/>
    </w:lvl>
    <w:lvl w:ilvl="1">
      <w:lvlJc w:val="left"/>
      <w:lvlText w:val="%2"/>
      <w:numFmt w:val="lowerRoman"/>
      <w:start w:val="1"/>
    </w:lvl>
  </w:abstractNum>
  <w:abstractNum w:abstractNumId="234">
    <w:nsid w:val="57C5BB4F"/>
    <w:multiLevelType w:val="hybridMultilevel"/>
    <w:lvl w:ilvl="0">
      <w:lvlJc w:val="left"/>
      <w:lvlText w:val="%1."/>
      <w:numFmt w:val="decimal"/>
      <w:start w:val="1"/>
    </w:lvl>
  </w:abstractNum>
  <w:abstractNum w:abstractNumId="235">
    <w:nsid w:val="1803D089"/>
    <w:multiLevelType w:val="hybridMultilevel"/>
    <w:lvl w:ilvl="0">
      <w:lvlJc w:val="left"/>
      <w:lvlText w:val="(%1)"/>
      <w:numFmt w:val="lowerLetter"/>
      <w:start w:val="1"/>
    </w:lvl>
  </w:abstractNum>
  <w:abstractNum w:abstractNumId="236">
    <w:nsid w:val="4F3A06D4"/>
    <w:multiLevelType w:val="hybridMultilevel"/>
    <w:lvl w:ilvl="0">
      <w:lvlJc w:val="left"/>
      <w:lvlText w:val="%1."/>
      <w:numFmt w:val="decimal"/>
      <w:start w:val="3"/>
    </w:lvl>
  </w:abstractNum>
  <w:abstractNum w:abstractNumId="237">
    <w:nsid w:val="59A377B6"/>
    <w:multiLevelType w:val="hybridMultilevel"/>
    <w:lvl w:ilvl="0">
      <w:lvlJc w:val="left"/>
      <w:lvlText w:val="%1."/>
      <w:numFmt w:val="decimal"/>
      <w:start w:val="5"/>
    </w:lvl>
  </w:abstractNum>
  <w:abstractNum w:abstractNumId="238">
    <w:nsid w:val="48AEB063"/>
    <w:multiLevelType w:val="hybridMultilevel"/>
    <w:lvl w:ilvl="0">
      <w:lvlJc w:val="left"/>
      <w:lvlText w:val="6"/>
      <w:numFmt w:val="bullet"/>
      <w:start w:val="1"/>
    </w:lvl>
  </w:abstractNum>
  <w:abstractNum w:abstractNumId="239">
    <w:nsid w:val="24E135"/>
    <w:multiLevelType w:val="hybridMultilevel"/>
    <w:lvl w:ilvl="0">
      <w:lvlJc w:val="left"/>
      <w:lvlText w:val="%1."/>
      <w:numFmt w:val="decimal"/>
      <w:start w:val="7"/>
    </w:lvl>
  </w:abstractNum>
  <w:abstractNum w:abstractNumId="240">
    <w:nsid w:val="BB13C1"/>
    <w:multiLevelType w:val="hybridMultilevel"/>
    <w:lvl w:ilvl="0">
      <w:lvlJc w:val="left"/>
      <w:lvlText w:val="%1."/>
      <w:numFmt w:val="decimal"/>
      <w:start w:val="10"/>
    </w:lvl>
  </w:abstractNum>
  <w:abstractNum w:abstractNumId="241">
    <w:nsid w:val="271210C7"/>
    <w:multiLevelType w:val="hybridMultilevel"/>
    <w:lvl w:ilvl="0">
      <w:lvlJc w:val="left"/>
      <w:lvlText w:val="%1."/>
      <w:numFmt w:val="decimal"/>
      <w:start w:val="1"/>
    </w:lvl>
    <w:lvl w:ilvl="1">
      <w:lvlJc w:val="left"/>
      <w:lvlText w:val="(%2)"/>
      <w:numFmt w:val="lowerLetter"/>
      <w:start w:val="1"/>
    </w:lvl>
  </w:abstractNum>
  <w:abstractNum w:abstractNumId="242">
    <w:nsid w:val="217B22E4"/>
    <w:multiLevelType w:val="hybridMultilevel"/>
    <w:lvl w:ilvl="0">
      <w:lvlJc w:val="left"/>
      <w:lvlText w:val="%1."/>
      <w:numFmt w:val="decimal"/>
      <w:start w:val="1"/>
    </w:lvl>
    <w:lvl w:ilvl="1">
      <w:lvlJc w:val="left"/>
      <w:lvlText w:val="(%2)"/>
      <w:numFmt w:val="lowerLetter"/>
      <w:start w:val="1"/>
    </w:lvl>
  </w:abstractNum>
  <w:abstractNum w:abstractNumId="243">
    <w:nsid w:val="53E31A24"/>
    <w:multiLevelType w:val="hybridMultilevel"/>
    <w:lvl w:ilvl="0">
      <w:lvlJc w:val="left"/>
      <w:lvlText w:val="(%1)"/>
      <w:numFmt w:val="decimal"/>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119" Type="http://schemas.openxmlformats.org/officeDocument/2006/relationships/hyperlink" Target="http://www.sec.gov/Archives/edgar/data/1609809/000119312515242845/d48188dex31.htm" TargetMode="External"/><Relationship Id="rId120" Type="http://schemas.openxmlformats.org/officeDocument/2006/relationships/hyperlink" Target="http://www.sec.gov/Archives/edgar/data/1609809/000119312515242845/d48188dex32.htm" TargetMode="External"/><Relationship Id="rId121" Type="http://schemas.openxmlformats.org/officeDocument/2006/relationships/hyperlink" Target="http://www.sec.gov/Archives/edgar/data/1609809/000119312515224101/d816354dex42.htm" TargetMode="External"/><Relationship Id="rId122" Type="http://schemas.openxmlformats.org/officeDocument/2006/relationships/hyperlink" Target="http://www.sec.gov/Archives/edgar/data/1609809/000119312515224101/d816354dex103.htm" TargetMode="External"/><Relationship Id="rId123" Type="http://schemas.openxmlformats.org/officeDocument/2006/relationships/hyperlink" Target="http://www.sec.gov/Archives/edgar/data/1609809/000119312515202059/d816354dex101.htm" TargetMode="External"/><Relationship Id="rId124" Type="http://schemas.openxmlformats.org/officeDocument/2006/relationships/hyperlink" Target="http://www.sec.gov/Archives/edgar/data/1609809/000119312515202059/d816354dex1013.htm" TargetMode="External"/><Relationship Id="rId125" Type="http://schemas.openxmlformats.org/officeDocument/2006/relationships/hyperlink" Target="http://www.sec.gov/Archives/edgar/data/1609809/000156459016014692/mcrb-ex1013_656.htm" TargetMode="External"/><Relationship Id="rId126" Type="http://schemas.openxmlformats.org/officeDocument/2006/relationships/hyperlink" Target="http://www.sec.gov/Archives/edgar/data/1609809/000156459019040255/mcrb-ex103_278.htm" TargetMode="External"/><Relationship Id="rId127" Type="http://schemas.openxmlformats.org/officeDocument/2006/relationships/hyperlink" Target="http://www.sec.gov/Archives/edgar/data/1609809/000119312519009357/d641078dex102.htm" TargetMode="External"/><Relationship Id="rId128" Type="http://schemas.openxmlformats.org/officeDocument/2006/relationships/hyperlink" Target="http://www.sec.gov/Archives/edgar/data/1609809/000156459016024023/mcrb-ex101_354.htm" TargetMode="External"/><Relationship Id="rId129" Type="http://schemas.openxmlformats.org/officeDocument/2006/relationships/hyperlink" Target="http://www.sec.gov/Archives/edgar/data/1609809/000156459019029069/mcrb-ex101_111.htm" TargetMode="External"/><Relationship Id="rId130" Type="http://schemas.openxmlformats.org/officeDocument/2006/relationships/hyperlink" Target="http://www.sec.gov/Archives/edgar/data/1609809/000156459019040255/mcrb-ex101_104.htm" TargetMode="External"/><Relationship Id="rId133" Type="http://schemas.openxmlformats.org/officeDocument/2006/relationships/hyperlink" Target="http://www.sec.gov/Archives/edgar/data/1609809/000119312519283493/d819403dex101.htm" TargetMode="External"/><Relationship Id="rId134" Type="http://schemas.openxmlformats.org/officeDocument/2006/relationships/hyperlink" Target="http://www.sec.gov/Archives/edgar/data/0001609809/000156459020033715/mcrb-ex102_259.htm" TargetMode="External"/><Relationship Id="rId135" Type="http://schemas.openxmlformats.org/officeDocument/2006/relationships/hyperlink" Target="http://www.sec.gov/Archives/edgar/data/1609809/000156459016019550/mcrb-ex101_534.htm" TargetMode="External"/><Relationship Id="rId136" Type="http://schemas.openxmlformats.org/officeDocument/2006/relationships/hyperlink" Target="http://www.sec.gov/Archives/edgar/data/1609809/000156459019006423/mcrb-ex1022_331.htm" TargetMode="External"/><Relationship Id="rId137" Type="http://schemas.openxmlformats.org/officeDocument/2006/relationships/hyperlink" Target="http://www.sec.gov/Archives/edgar/data/1609809/000156459019006423/mcrb-ex1023_291.htm" TargetMode="External"/><Relationship Id="rId138" Type="http://schemas.openxmlformats.org/officeDocument/2006/relationships/hyperlink" Target="http://www.sec.gov/Archives/edgar/data/0001609809/000119312520220584/d87599dex101.htm" TargetMode="External"/><Relationship Id="rId139" Type="http://schemas.openxmlformats.org/officeDocument/2006/relationships/hyperlink" Target="http://www.sec.gov/Archives/edgar/data/0001609809/000156459020008002/mcrb-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2021-03-02T08:30:36Z</dcterms:created>
  <dcterms:modified xsi:type="dcterms:W3CDTF">2021-03-02T08:30:36Z</dcterms:modified>
</cp:coreProperties>
</file>