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Shaff Eric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SERES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CAMBRIDGE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Seres Therapeutics, Inc.</w:t>
              </w:r>
            </w:hyperlink>
            <w:r>
              <w:rPr/>
              <w:t xml:space="preserve"> [ </w:t>
            </w:r>
            <w:r>
              <w:rPr>
                <w:rFonts w:ascii="Times;serif" w:hAnsi="Times;serif"/>
                <w:color w:val="0000FF"/>
                <w:sz w:val="24"/>
                <w:shd w:fill="FFFFFF" w:val="clear"/>
              </w:rPr>
              <w:t>MCRB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12,762</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12,499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Rule 10b5-1 instruction adopted by the reporting person on March 2, 2023, solely with the intent to cover taxes in connection with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vested and settled as to 25% of the restricted stock units on February 15, 2024. The remainder of the restricted stock units have vested and settled or will vest and settle in 12 equal quarterly installments thereafter. The restricted stock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vested and settled as to 25% of the restricted stock units on February 15, 2025. The remainder of the restricted stock units have vested and settled or will vest and settle in 12 equal quarterly installments thereafter. The restricted stock units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 DesRosier, Attorney-in-Fact for Eric D. Shaff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3734" TargetMode="External"/><Relationship Id="rId5" Type="http://schemas.openxmlformats.org/officeDocument/2006/relationships/hyperlink" Target="http://www.sec.gov/cgi-bin/browse-edgar?action=getcompany&amp;CIK=0001609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4051</Characters>
  <CharactersWithSpaces>4716</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