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Graves Kurt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and becomes exercisable on the earlier to occur of (i) July 8, 2027 or (ii) the day immediately prior to the first annual meeting of the Company's stockholders occurring after July 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6337"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3276</Characters>
  <CharactersWithSpaces>3820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