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Fraser Claire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SERES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CAMBRIDGE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Seres Therapeutics, Inc.</w:t>
              </w:r>
            </w:hyperlink>
            <w:r>
              <w:rPr/>
              <w:t xml:space="preserve"> [ </w:t>
            </w:r>
            <w:r>
              <w:rPr>
                <w:rFonts w:ascii="Times;serif" w:hAnsi="Times;serif"/>
                <w:color w:val="0000FF"/>
                <w:sz w:val="24"/>
                <w:shd w:fill="FFFFFF" w:val="clear"/>
              </w:rPr>
              <w:t>MCRB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and becomes exercisable on the earlier to occur of (i) July 8, 2027 or (ii) the day immediately prior to the first annual meeting of the Company's stockholders occurring after July 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J. DesRosier,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2031" TargetMode="External"/><Relationship Id="rId5" Type="http://schemas.openxmlformats.org/officeDocument/2006/relationships/hyperlink" Target="http://www.sec.gov/cgi-bin/browse-edgar?action=getcompany&amp;CIK=00016098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3278</Characters>
  <CharactersWithSpaces>3822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