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5"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SCHEDULE 14A</w:t>
      </w:r>
    </w:p>
    <w:p>
      <w:pPr>
        <w:spacing w:after="0" w:line="3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(Rule 14a-101)</w:t>
      </w:r>
    </w:p>
    <w:p>
      <w:pPr>
        <w:spacing w:after="0" w:line="7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77"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SCHEDULE 14A INFORMATION</w:t>
      </w:r>
    </w:p>
    <w:p>
      <w:pPr>
        <w:spacing w:after="0" w:line="7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23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4"/>
          <w:szCs w:val="24"/>
          <w:color w:val="auto"/>
        </w:rPr>
      </w:pPr>
    </w:p>
    <w:p>
      <w:pPr>
        <w:ind w:left="120"/>
        <w:spacing w:after="0" w:line="161" w:lineRule="exact"/>
        <w:tabs>
          <w:tab w:leader="none" w:pos="280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3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0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32" w:lineRule="exact"/>
        <w:rPr>
          <w:rFonts w:ascii="MS PGothic" w:cs="MS PGothic" w:eastAsia="MS PGothic" w:hAnsi="MS PGothic"/>
          <w:sz w:val="14"/>
          <w:szCs w:val="1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40"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36"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36" w:lineRule="exact"/>
        <w:rPr>
          <w:rFonts w:ascii="MS PGothic" w:cs="MS PGothic" w:eastAsia="MS PGothic" w:hAnsi="MS PGothic"/>
          <w:sz w:val="14"/>
          <w:szCs w:val="1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SERES THERAPEUTICS, INC.</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02" w:lineRule="exact"/>
        <w:rPr>
          <w:sz w:val="24"/>
          <w:szCs w:val="24"/>
          <w:color w:val="auto"/>
        </w:rPr>
      </w:pPr>
    </w:p>
    <w:p>
      <w:pPr>
        <w:jc w:val="center"/>
        <w:ind w:right="-259"/>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98"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the appropriate box):</w:t>
      </w:r>
    </w:p>
    <w:p>
      <w:pPr>
        <w:spacing w:after="0" w:line="96"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6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63" w:lineRule="exact"/>
        <w:rPr>
          <w:rFonts w:ascii="MS PGothic" w:cs="MS PGothic" w:eastAsia="MS PGothic" w:hAnsi="MS PGothic"/>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09"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09" w:lineRule="exact"/>
        <w:rPr>
          <w:rFonts w:ascii="Arial" w:cs="Arial" w:eastAsia="Arial" w:hAnsi="Arial"/>
          <w:sz w:val="14"/>
          <w:szCs w:val="14"/>
          <w:color w:val="auto"/>
        </w:rPr>
      </w:pPr>
    </w:p>
    <w:p>
      <w:pPr>
        <w:ind w:left="1220" w:right="80" w:hanging="537"/>
        <w:spacing w:after="0" w:line="253" w:lineRule="auto"/>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79"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09"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17" w:lineRule="exact"/>
        <w:rPr>
          <w:rFonts w:ascii="Arial" w:cs="Arial" w:eastAsia="Arial" w:hAnsi="Arial"/>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680" w:hanging="564"/>
        <w:spacing w:after="0" w:line="253" w:lineRule="auto"/>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MS PGothic" w:cs="MS PGothic" w:eastAsia="MS PGothic" w:hAnsi="MS PGothic"/>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09"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09"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09"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-1906905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-1735455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-1470025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-1298575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-1127125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-449580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-278130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-106680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64135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167005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235585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20" w:top="230" w:right="5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2040255</wp:posOffset>
            </wp:positionV>
            <wp:extent cx="6995160" cy="4406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Seres Therapeutics, Inc.</w:t>
      </w:r>
    </w:p>
    <w:p>
      <w:pPr>
        <w:spacing w:after="0" w:line="200" w:lineRule="exact"/>
        <w:rPr>
          <w:sz w:val="20"/>
          <w:szCs w:val="20"/>
          <w:color w:val="auto"/>
        </w:rPr>
      </w:pPr>
    </w:p>
    <w:p>
      <w:pPr>
        <w:spacing w:after="0" w:line="210" w:lineRule="exact"/>
        <w:rPr>
          <w:sz w:val="20"/>
          <w:szCs w:val="20"/>
          <w:color w:val="auto"/>
        </w:rPr>
      </w:pPr>
    </w:p>
    <w:p>
      <w:pPr>
        <w:ind w:left="680"/>
        <w:spacing w:after="0"/>
        <w:rPr>
          <w:sz w:val="20"/>
          <w:szCs w:val="20"/>
          <w:color w:val="auto"/>
        </w:rPr>
      </w:pPr>
      <w:r>
        <w:rPr>
          <w:rFonts w:ascii="Arial" w:cs="Arial" w:eastAsia="Arial" w:hAnsi="Arial"/>
          <w:sz w:val="65"/>
          <w:szCs w:val="65"/>
          <w:color w:val="auto"/>
        </w:rPr>
        <w:t>PROXY</w:t>
      </w:r>
    </w:p>
    <w:p>
      <w:pPr>
        <w:ind w:left="680"/>
        <w:spacing w:after="0"/>
        <w:rPr>
          <w:sz w:val="20"/>
          <w:szCs w:val="20"/>
          <w:color w:val="auto"/>
        </w:rPr>
      </w:pPr>
      <w:r>
        <w:rPr>
          <w:rFonts w:ascii="Arial" w:cs="Arial" w:eastAsia="Arial" w:hAnsi="Arial"/>
          <w:sz w:val="65"/>
          <w:szCs w:val="65"/>
          <w:color w:val="auto"/>
        </w:rPr>
        <w:t>STATEMENT</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53"/>
          <w:szCs w:val="53"/>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18, 2020</w:t>
      </w:r>
    </w:p>
    <w:p>
      <w:pPr>
        <w:ind w:left="680"/>
        <w:spacing w:after="0"/>
        <w:rPr>
          <w:sz w:val="20"/>
          <w:szCs w:val="20"/>
          <w:color w:val="auto"/>
        </w:rPr>
      </w:pPr>
      <w:r>
        <w:rPr>
          <w:rFonts w:ascii="Arial" w:cs="Arial" w:eastAsia="Arial" w:hAnsi="Arial"/>
          <w:sz w:val="13"/>
          <w:szCs w:val="13"/>
          <w:color w:val="auto"/>
        </w:rPr>
        <w:t>8:00 a.m. Eastern Time</w:t>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SERES THERAPEUTICS, INC.</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200 SIDNEY STREET</w:t>
      </w:r>
    </w:p>
    <w:p>
      <w:pPr>
        <w:ind w:left="120"/>
        <w:spacing w:after="0"/>
        <w:rPr>
          <w:sz w:val="20"/>
          <w:szCs w:val="20"/>
          <w:color w:val="auto"/>
        </w:rPr>
      </w:pPr>
      <w:r>
        <w:rPr>
          <w:rFonts w:ascii="Arial" w:cs="Arial" w:eastAsia="Arial" w:hAnsi="Arial"/>
          <w:sz w:val="13"/>
          <w:szCs w:val="13"/>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30, 2020</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104"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You are cordially invited to attend the 2020 Annual Meeting of Stockholders of Seres Therapeutics, Inc. at 8:00 a.m. Eastern time, on Thursday, June 18, 2020. As part of our effort to maintain a safe and healthy environment for our directors, members of management and stockholders who wish to attend the Annual Meeting, in light of the outbreak of the novel coronavirus disease, COVID-19, we have decided to hold the Annual Meeting entirely online this year. You will be able to attend the Annual Meeting online and submit your questions during the meeting by visiting www.virtualshareholdermeeting.com/MCRB2020.</w:t>
      </w:r>
    </w:p>
    <w:p>
      <w:pPr>
        <w:spacing w:after="0" w:line="94"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Please see the section called “Who Can Attend the 2020 Annual Meeting of Stockholders?” on page 3 of the proxy statement for more information about how to attend the meeting online.</w:t>
      </w:r>
    </w:p>
    <w:p>
      <w:pPr>
        <w:spacing w:after="0" w:line="9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Annual Meeting. Therefore, I urge you to promptly vote and submit your proxy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You may also vote online during the Annual Meeting. Instructions on how to vote during the meeting will be available at www.virtualshareholdermeeting.com/MCRB2020.</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support.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1551305" cy="1346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Eric D. Shaff</w:t>
      </w:r>
    </w:p>
    <w:p>
      <w:pPr>
        <w:ind w:left="1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938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Notice of Annual Meeting of Stockholders</w:t>
              </w:r>
            </w:hyperlink>
          </w:p>
        </w:tc>
        <w:tc>
          <w:tcPr>
            <w:tcW w:w="1580" w:type="dxa"/>
            <w:vAlign w:val="bottom"/>
          </w:tcPr>
          <w:p>
            <w:pPr>
              <w:spacing w:after="0"/>
              <w:rPr>
                <w:sz w:val="20"/>
                <w:szCs w:val="20"/>
                <w:color w:val="auto"/>
              </w:rPr>
            </w:pPr>
          </w:p>
        </w:tc>
      </w:tr>
      <w:tr>
        <w:trPr>
          <w:trHeight w:val="296"/>
        </w:trPr>
        <w:tc>
          <w:tcPr>
            <w:tcW w:w="9380" w:type="dxa"/>
            <w:vAlign w:val="bottom"/>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Proxy Statement</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Proposals</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Recommendations of the Board</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17"/>
        </w:trPr>
        <w:tc>
          <w:tcPr>
            <w:tcW w:w="9380" w:type="dxa"/>
            <w:vAlign w:val="bottom"/>
          </w:tcPr>
          <w:p>
            <w:pPr>
              <w:ind w:left="7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Information About This Proxy Statement</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1"/>
        </w:trPr>
        <w:tc>
          <w:tcPr>
            <w:tcW w:w="938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Questions and Answers About the 2020 Annual Meeting of Stockholders</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4"/>
        </w:trPr>
        <w:tc>
          <w:tcPr>
            <w:tcW w:w="9380" w:type="dxa"/>
            <w:vAlign w:val="bottom"/>
          </w:tcPr>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Proposals to be Voted On</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3"/>
        </w:trPr>
        <w:tc>
          <w:tcPr>
            <w:tcW w:w="9380" w:type="dxa"/>
            <w:vAlign w:val="bottom"/>
          </w:tcPr>
          <w:p>
            <w:pPr>
              <w:ind w:left="720"/>
              <w:spacing w:after="0" w:line="202" w:lineRule="exact"/>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 xml:space="preserve">Proposal 1: </w:t>
              </w:r>
              <w:r>
                <w:rPr>
                  <w:rFonts w:ascii="Arial" w:cs="Arial" w:eastAsia="Arial" w:hAnsi="Arial"/>
                  <w:sz w:val="18"/>
                  <w:szCs w:val="18"/>
                  <w:u w:val="single" w:color="auto"/>
                  <w:color w:val="0000EE"/>
                </w:rPr>
                <w:t>Election of Directors</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39"/>
        </w:trPr>
        <w:tc>
          <w:tcPr>
            <w:tcW w:w="9380" w:type="dxa"/>
            <w:vAlign w:val="bottom"/>
          </w:tcPr>
          <w:p>
            <w:pPr>
              <w:ind w:left="720"/>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 xml:space="preserve">Proposal 2: </w:t>
              </w:r>
              <w:r>
                <w:rPr>
                  <w:rFonts w:ascii="Arial" w:cs="Arial" w:eastAsia="Arial" w:hAnsi="Arial"/>
                  <w:sz w:val="18"/>
                  <w:szCs w:val="18"/>
                  <w:u w:val="single" w:color="auto"/>
                  <w:color w:val="0000EE"/>
                </w:rPr>
                <w:t>Ratification of Appointment of Independent Registered Public Accounting Firm</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1"/>
        </w:trPr>
        <w:tc>
          <w:tcPr>
            <w:tcW w:w="9380" w:type="dxa"/>
            <w:vAlign w:val="bottom"/>
          </w:tcPr>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Report of the Audit Committee of the Board of Directors</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9380" w:type="dxa"/>
            <w:vAlign w:val="bottom"/>
          </w:tcPr>
          <w:p>
            <w:pPr>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Independent Registered Public Accounting Firm Fees and Other Matters</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1"/>
        </w:trPr>
        <w:tc>
          <w:tcPr>
            <w:tcW w:w="9380" w:type="dxa"/>
            <w:vAlign w:val="bottom"/>
          </w:tcPr>
          <w:p>
            <w:pPr>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Executive Officers</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6"/>
        </w:trPr>
        <w:tc>
          <w:tcPr>
            <w:tcW w:w="9380" w:type="dxa"/>
            <w:vAlign w:val="bottom"/>
          </w:tcPr>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Corporate Governance</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General</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Board Composition</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Director Independence</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Director Candidates</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Communications from Stockholders</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Board Role in Risk Oversight</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Annual Board Evaluation</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Code of Ethics</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Anti-Hedging Policy</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17"/>
        </w:trPr>
        <w:tc>
          <w:tcPr>
            <w:tcW w:w="9380" w:type="dxa"/>
            <w:vAlign w:val="bottom"/>
          </w:tcPr>
          <w:p>
            <w:pPr>
              <w:ind w:left="7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Attendance by Members of the Board of Directors at Meetings</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6"/>
        </w:trPr>
        <w:tc>
          <w:tcPr>
            <w:tcW w:w="9380" w:type="dxa"/>
            <w:vAlign w:val="bottom"/>
          </w:tcPr>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Committees of the Board</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Audit Committee</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Compensation Committee</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17"/>
        </w:trPr>
        <w:tc>
          <w:tcPr>
            <w:tcW w:w="9380" w:type="dxa"/>
            <w:vAlign w:val="bottom"/>
          </w:tcPr>
          <w:p>
            <w:pPr>
              <w:ind w:left="7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Nominating and Corporate Governance Committee</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6"/>
        </w:trPr>
        <w:tc>
          <w:tcPr>
            <w:tcW w:w="9380" w:type="dxa"/>
            <w:vAlign w:val="bottom"/>
          </w:tcPr>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Executive and Director Compensation</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Executive Compensation</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2019 Summary Compensation Table</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Narrative Disclosure to Summary Compensation Table</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Outstanding Equity Awards at 2019 Fiscal Year End</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Employment and Separation Agreements</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Director Compensation</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9380" w:type="dxa"/>
            <w:vAlign w:val="bottom"/>
          </w:tcPr>
          <w:p>
            <w:pPr>
              <w:ind w:left="720"/>
              <w:spacing w:after="0" w:line="202" w:lineRule="exact"/>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2019 Director Compensation Table</w:t>
              </w:r>
            </w:hyperlink>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17"/>
        </w:trPr>
        <w:tc>
          <w:tcPr>
            <w:tcW w:w="9380" w:type="dxa"/>
            <w:vAlign w:val="bottom"/>
          </w:tcPr>
          <w:p>
            <w:pPr>
              <w:ind w:left="7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Equity Compensation Plan Information</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938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Security Ownership of Certain Beneficial Owners and Management</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938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Certain Relationships</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9380" w:type="dxa"/>
            <w:vAlign w:val="bottom"/>
          </w:tcPr>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Delinquent Section 16(a) Reports</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9380" w:type="dxa"/>
            <w:vAlign w:val="bottom"/>
          </w:tcPr>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Compensation Committee Interlocks and Insider Participation</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938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Stockholders’ Proposals</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938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Other Matters</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938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Solicitation of Proxies</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1"/>
        </w:trPr>
        <w:tc>
          <w:tcPr>
            <w:tcW w:w="938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Seres’ Annual Report on Form 10-K</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Be Held Thursday, 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SERES THERAPEUTICS, INC.</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200 SIDNEY STREET</w:t>
      </w:r>
    </w:p>
    <w:p>
      <w:pPr>
        <w:ind w:left="120"/>
        <w:spacing w:after="0"/>
        <w:rPr>
          <w:sz w:val="20"/>
          <w:szCs w:val="20"/>
          <w:color w:val="auto"/>
        </w:rPr>
      </w:pPr>
      <w:r>
        <w:rPr>
          <w:rFonts w:ascii="Arial" w:cs="Arial" w:eastAsia="Arial" w:hAnsi="Arial"/>
          <w:sz w:val="13"/>
          <w:szCs w:val="13"/>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Annual Meeting of Stockholders (the “Annual Meeting”) of Seres Therapeutics, Inc., a Delaware corporation (the “Company”), will be held at 8:00 a.m. Eastern time on Thursday, June 18, 2020. The Annual Meeting will be a completely virtual meeting, which will be conducted via live webcast. You will be able to attend the Annual Meeting online and submit your questions during the meeting by visiting www.virtualshareholdermeeting.com/MCRB2020 and entering your 16-digit control number included on your Notice of Internet Availability of Proxy Materials (“Internet Notice”), your proxy card or on the instructions that accompanied your proxy materials. The Annual Meeting will be held for the following purposes:</w:t>
      </w:r>
    </w:p>
    <w:p>
      <w:pPr>
        <w:spacing w:after="0" w:line="97" w:lineRule="exact"/>
        <w:rPr>
          <w:sz w:val="20"/>
          <w:szCs w:val="20"/>
          <w:color w:val="auto"/>
        </w:rPr>
      </w:pPr>
    </w:p>
    <w:p>
      <w:pPr>
        <w:ind w:left="560"/>
        <w:spacing w:after="0" w:line="246" w:lineRule="auto"/>
        <w:rPr>
          <w:sz w:val="20"/>
          <w:szCs w:val="20"/>
          <w:color w:val="auto"/>
        </w:rPr>
      </w:pPr>
      <w:r>
        <w:rPr>
          <w:rFonts w:ascii="Arial" w:cs="Arial" w:eastAsia="Arial" w:hAnsi="Arial"/>
          <w:sz w:val="18"/>
          <w:szCs w:val="18"/>
          <w:color w:val="auto"/>
        </w:rPr>
        <w:t>To elect Stephen A. Berenson, Richard N. Kender, and Meryl S. Zausner as Class II Directors to serve until the 2023 Annual Meeting of Stockholders, and until their respective successors shall have been duly elected and qualified;</w:t>
      </w:r>
    </w:p>
    <w:p>
      <w:pPr>
        <w:spacing w:after="0" w:line="35" w:lineRule="exact"/>
        <w:rPr>
          <w:sz w:val="20"/>
          <w:szCs w:val="20"/>
          <w:color w:val="auto"/>
        </w:rPr>
      </w:pPr>
    </w:p>
    <w:p>
      <w:pPr>
        <w:ind w:left="560" w:right="280"/>
        <w:spacing w:after="0" w:line="246" w:lineRule="auto"/>
        <w:rPr>
          <w:sz w:val="20"/>
          <w:szCs w:val="20"/>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2020; and</w:t>
      </w:r>
    </w:p>
    <w:p>
      <w:pPr>
        <w:spacing w:after="0" w:line="35" w:lineRule="exact"/>
        <w:rPr>
          <w:sz w:val="20"/>
          <w:szCs w:val="20"/>
          <w:color w:val="auto"/>
        </w:rPr>
      </w:pPr>
    </w:p>
    <w:p>
      <w:pPr>
        <w:ind w:left="560" w:right="96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89"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Holders of record of our Common Stock as of the close of business on April 21, 2020 are entitled to notice of and to vote at the Annual Meeting, or any continuation, postponement or adjournment of the Annual Meeting. To participate in the Annual Meeting, including to vote via the Internet, you will need the 16-digit control number included on your Internet Notice, your proxy card or on the instructions that accompanied your proxy materials. A complete list of these stockholders will be open to the examination of any stockholder for a purpose germane to the meeting by sending an email to info@serestherapeutics.com, stating the purpose of the request and providing proof of ownership of our Common Stock for a period of ten days prior to the Annual Meeting and will be available on the bottom of your screen during the Annual Meeting after entering your 16-digit control number. The Annual Meeting may be continued or adjourned from time to time without notice other than by announcement at the Annual Meeting.</w:t>
      </w:r>
    </w:p>
    <w:p>
      <w:pPr>
        <w:spacing w:after="0" w:line="78" w:lineRule="exact"/>
        <w:rPr>
          <w:sz w:val="20"/>
          <w:szCs w:val="20"/>
          <w:color w:val="auto"/>
        </w:rPr>
      </w:pPr>
    </w:p>
    <w:p>
      <w:pPr>
        <w:ind w:left="120" w:right="40"/>
        <w:spacing w:after="0"/>
        <w:rPr>
          <w:sz w:val="20"/>
          <w:szCs w:val="20"/>
          <w:color w:val="auto"/>
        </w:rPr>
      </w:pPr>
      <w:r>
        <w:rPr>
          <w:rFonts w:ascii="Arial" w:cs="Arial" w:eastAsia="Arial" w:hAnsi="Arial"/>
          <w:sz w:val="18"/>
          <w:szCs w:val="18"/>
          <w:b w:val="1"/>
          <w:bCs w:val="1"/>
          <w:color w:val="auto"/>
        </w:rPr>
        <w:t>It is important that your shares be represented regardless of the number of shares you may hold. Whether or not you plan to attend the Annual Meeting webcast, we urge you to vote your shares via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Note that, in light of possible disruptions in mail service related to the novel coronavirus outbreak, we encourage stockholders to submit their proxy over the Internet. Submitting your proxy now will not prevent you from voting your shares at the Annual Meeting if you desire to do so, as your proxy is revocable at your option.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1920240"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02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Thomas J. DesRosier</w:t>
      </w:r>
    </w:p>
    <w:p>
      <w:pPr>
        <w:ind w:left="120"/>
        <w:spacing w:after="0"/>
        <w:rPr>
          <w:sz w:val="20"/>
          <w:szCs w:val="20"/>
          <w:color w:val="auto"/>
        </w:rPr>
      </w:pPr>
      <w:r>
        <w:rPr>
          <w:rFonts w:ascii="Arial" w:cs="Arial" w:eastAsia="Arial" w:hAnsi="Arial"/>
          <w:sz w:val="18"/>
          <w:szCs w:val="18"/>
          <w:color w:val="auto"/>
        </w:rPr>
        <w:t>Secretary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Cambridge, Massachusetts</w:t>
      </w:r>
    </w:p>
    <w:p>
      <w:pPr>
        <w:ind w:left="120"/>
        <w:spacing w:after="0"/>
        <w:rPr>
          <w:sz w:val="20"/>
          <w:szCs w:val="20"/>
          <w:color w:val="auto"/>
        </w:rPr>
      </w:pPr>
      <w:r>
        <w:rPr>
          <w:rFonts w:ascii="Arial" w:cs="Arial" w:eastAsia="Arial" w:hAnsi="Arial"/>
          <w:sz w:val="18"/>
          <w:szCs w:val="18"/>
          <w:color w:val="auto"/>
        </w:rPr>
        <w:t>April 30, 2020</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SERES THERAPEUTICS, INC.</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200 SIDNEY STREET</w:t>
      </w:r>
    </w:p>
    <w:p>
      <w:pPr>
        <w:ind w:left="120"/>
        <w:spacing w:after="0"/>
        <w:rPr>
          <w:sz w:val="20"/>
          <w:szCs w:val="20"/>
          <w:color w:val="auto"/>
        </w:rPr>
      </w:pPr>
      <w:r>
        <w:rPr>
          <w:rFonts w:ascii="Arial" w:cs="Arial" w:eastAsia="Arial" w:hAnsi="Arial"/>
          <w:sz w:val="13"/>
          <w:szCs w:val="13"/>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Seres Therapeutics, Inc. of proxies to be voted at our Annual Meeting of Stockholders to be held on Thursday, June 18, 2020 (the “Annual Meeting”), at 8:00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www.virtualshareholdermeeting.com/MCRB2020 and entering your 16-digit control number included on your Notice of Internet Availability of Proxy Materials (the “Internet Notice”), on your proxy card or on the instructions that accompanied your proxy materials. Holders of record of shares of our common stock (our “Common Stock”), as of the close of business on April 21, 2020 (the “Record Date”), will be entitled to notice of and to vote at the Annual Meeting and any continuation, postponement, or adjournment of the Annual Meeting. As of the Record Date, there were 72,212,602 shares of Common Stock outstanding and entitled to vote at the Annual Meeting. Each share of Common Stock is entitled to one vote on any matter presented to stockholders at the Annual Meeting.</w:t>
      </w:r>
    </w:p>
    <w:p>
      <w:pPr>
        <w:spacing w:after="0" w:line="98"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This proxy statement and our Annual Report to Stockholders for the year ended December 31, 2019 (the “2019 Annual Report”) will be released on or about April 30, 2020 to our stockholders on the Record Date.</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proxy statement, “Seres”, “Company”, “we”, “us”, and “our” refer to Seres Therapeutics, Inc.</w:t>
      </w:r>
    </w:p>
    <w:p>
      <w:pPr>
        <w:spacing w:after="0" w:line="82" w:lineRule="exact"/>
        <w:rPr>
          <w:sz w:val="20"/>
          <w:szCs w:val="20"/>
          <w:color w:val="auto"/>
        </w:rPr>
      </w:pPr>
    </w:p>
    <w:p>
      <w:pPr>
        <w:ind w:left="120" w:right="4100"/>
        <w:spacing w:after="0" w:line="301"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THURSDAY, JUNE 18, 2020</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Proxy Statement and our 2019 Annual Report to Stockholders are available at http://www.proxyvote.com/</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Annual Meeting, our stockholders will be asked:</w:t>
      </w:r>
    </w:p>
    <w:p>
      <w:pPr>
        <w:spacing w:after="0" w:line="104" w:lineRule="exact"/>
        <w:rPr>
          <w:sz w:val="20"/>
          <w:szCs w:val="20"/>
          <w:color w:val="auto"/>
        </w:rPr>
      </w:pPr>
    </w:p>
    <w:p>
      <w:pPr>
        <w:ind w:left="560" w:right="20"/>
        <w:spacing w:after="0" w:line="246" w:lineRule="auto"/>
        <w:rPr>
          <w:sz w:val="20"/>
          <w:szCs w:val="20"/>
          <w:color w:val="auto"/>
        </w:rPr>
      </w:pPr>
      <w:r>
        <w:rPr>
          <w:rFonts w:ascii="Arial" w:cs="Arial" w:eastAsia="Arial" w:hAnsi="Arial"/>
          <w:sz w:val="18"/>
          <w:szCs w:val="18"/>
          <w:color w:val="auto"/>
        </w:rPr>
        <w:t>To elect Stephen A. Berenson, Richard N. Kender, and Meryl S. Zausner as Class II Directors to serve until the 2023 Annual Meeting of Stockholders, and until their respective successors shall have been duly elected and qualified;</w:t>
      </w:r>
    </w:p>
    <w:p>
      <w:pPr>
        <w:spacing w:after="0" w:line="35" w:lineRule="exact"/>
        <w:rPr>
          <w:sz w:val="20"/>
          <w:szCs w:val="20"/>
          <w:color w:val="auto"/>
        </w:rPr>
      </w:pPr>
    </w:p>
    <w:p>
      <w:pPr>
        <w:ind w:left="560" w:right="300"/>
        <w:spacing w:after="0" w:line="246" w:lineRule="auto"/>
        <w:rPr>
          <w:sz w:val="20"/>
          <w:szCs w:val="20"/>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2020; and</w:t>
      </w:r>
    </w:p>
    <w:p>
      <w:pPr>
        <w:spacing w:after="0" w:line="35" w:lineRule="exact"/>
        <w:rPr>
          <w:sz w:val="20"/>
          <w:szCs w:val="20"/>
          <w:color w:val="auto"/>
        </w:rPr>
      </w:pPr>
    </w:p>
    <w:p>
      <w:pPr>
        <w:ind w:left="560" w:right="98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89"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Stockholders at an annual meeting will only be able to consider proposals or nominations specified in the Notice of Annual Meeting or brought before the meeting by or at the direction of our Board of Directors or by a stockholder of record on the Record Date for the meeting who is entitled to vote at the meeting and who has delivered timely written notice in proper form to our Corporate Secretary of the stockholder’s intention to bring such business before the meeting. As of the date of this proxy statement, 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Our Board of Directors (the “Board of Directors” or the “Board”) recommends that you vote your shares of Common Stock as indicated below. If you return a properly completed proxy card, or vote your shares by Internet, your shares will be voted on your behalf as you direct. If not otherwise specified, shares of Common Stock represented by proxies will be voted, and the Board of Directors recommends that you vote:</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election of Stephen A. Berenson, Richard N. Kender, and Meryl S. Zausner as Class II Directors; and</w:t>
      </w:r>
    </w:p>
    <w:p>
      <w:pPr>
        <w:spacing w:after="0" w:line="50" w:lineRule="exact"/>
        <w:rPr>
          <w:sz w:val="20"/>
          <w:szCs w:val="20"/>
          <w:color w:val="auto"/>
        </w:rPr>
      </w:pPr>
    </w:p>
    <w:p>
      <w:pPr>
        <w:ind w:left="560" w:right="20"/>
        <w:spacing w:after="0" w:line="246" w:lineRule="auto"/>
        <w:rPr>
          <w:sz w:val="20"/>
          <w:szCs w:val="20"/>
          <w:color w:val="auto"/>
        </w:rPr>
      </w:pPr>
      <w:r>
        <w:rPr>
          <w:rFonts w:ascii="Arial" w:cs="Arial" w:eastAsia="Arial" w:hAnsi="Arial"/>
          <w:sz w:val="18"/>
          <w:szCs w:val="18"/>
          <w:color w:val="auto"/>
        </w:rPr>
        <w:t>FOR the ratification of the appointment of PricewaterhouseCoopers LLP as our independent registered public accounting firm for the fiscal year ending December 31, 2020.</w:t>
      </w:r>
    </w:p>
    <w:p>
      <w:pPr>
        <w:spacing w:after="0" w:line="89"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8"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 because our Board is soliciting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to vote your shares of Common Stock at the Annual Meeting. This proxy statement includes information that we are required to provide to you under the rules of the Securities and Exchange Commission (“SEC”) and that is designed to assist you in voting your shares.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Notice of Internet Availability of Proxy Materials. </w:t>
      </w:r>
      <w:r>
        <w:rPr>
          <w:rFonts w:ascii="Arial" w:cs="Arial" w:eastAsia="Arial" w:hAnsi="Arial"/>
          <w:sz w:val="18"/>
          <w:szCs w:val="18"/>
          <w:color w:val="auto"/>
        </w:rPr>
        <w:t>As permitted by SEC rules, we are making this proxy statement and our 2019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available to our stockholders electronically via the Internet. On or about April 30, 2020, we mailed to our stockholders an Internet Notice containing instructions on how to access this proxy statement and our 2019 Annual Report and vote online. If you received an Internet Notice by mail, you will not receive a printed copy of the proxy materials unless you specifically request them. Instead, the Internet Notice instructs you on how to access and review all of the important information contained in the proxy statement and 2019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72"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w:t>
      </w:r>
      <w:r>
        <w:rPr>
          <w:rFonts w:ascii="Arial" w:cs="Arial" w:eastAsia="Arial" w:hAnsi="Arial"/>
          <w:sz w:val="18"/>
          <w:szCs w:val="18"/>
          <w:b w:val="1"/>
          <w:bCs w:val="1"/>
          <w:color w:val="auto"/>
        </w:rPr>
        <w:t xml:space="preserve"> </w:t>
      </w:r>
      <w:r>
        <w:rPr>
          <w:rFonts w:ascii="Arial" w:cs="Arial" w:eastAsia="Arial" w:hAnsi="Arial"/>
          <w:sz w:val="18"/>
          <w:szCs w:val="18"/>
          <w:color w:val="auto"/>
        </w:rPr>
        <w:t>vote are contained on the proxy card included in the materials.</w:t>
      </w:r>
    </w:p>
    <w:p>
      <w:pPr>
        <w:spacing w:after="0" w:line="46" w:lineRule="exact"/>
        <w:rPr>
          <w:sz w:val="20"/>
          <w:szCs w:val="20"/>
          <w:color w:val="auto"/>
        </w:rPr>
      </w:pPr>
    </w:p>
    <w:p>
      <w:pPr>
        <w:ind w:left="120" w:right="20"/>
        <w:spacing w:after="0"/>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The SEC’s rules permit us to deliver a single Internet Notice or set of proxy materials to one address shared by two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of 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contact Broadridge Financial Solutions, Inc. at 1-866-540-7095 or in writing at Broadridge, Householding Department, 51 Mercedes Way, Edgewood, New York 11717.</w:t>
      </w:r>
    </w:p>
    <w:p>
      <w:pPr>
        <w:spacing w:after="0" w:line="94"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If you are currently a stockholder sharing an address with another stockholder and wish to receive only one copy of future Internet Notices or proxy materials for your household, please contact Broadridge at the above phone number or address.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Questions and Answers about the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Record Date for the Annual Meeting is April 21, 2020.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72,212,602 shares of Common Stock outstanding and entitled to vote at the Annual Meeting.</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please refer to the information from your bank, broker or other nominee on how to submit your voting instructions.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in person, or by remote communication, or represented by proxy, of the holders of a majority in voting power of the Common Stock issued and outstanding and entitled to vote on the Record Date will constitute a quorum.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WHO CAN ATTEND THE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You may attend the Annual Meeting only if you are a Seres stockholder who is entitled to vote at the Annual Meeting, or if you hold a valid proxy for the Annual Meeting. You may attend and participate in the Annual Meeting by visiting the following website: www.virtualshareholdermeeting.com/MCRB2020.</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meeting webcast will begin promptly at 8:00 a.m. Eastern Time. We encourage you to access the meeting prior to the start time.</w:t>
      </w:r>
    </w:p>
    <w:p>
      <w:pPr>
        <w:ind w:left="120"/>
        <w:spacing w:after="0"/>
        <w:rPr>
          <w:sz w:val="20"/>
          <w:szCs w:val="20"/>
          <w:color w:val="auto"/>
        </w:rPr>
      </w:pPr>
      <w:r>
        <w:rPr>
          <w:rFonts w:ascii="Arial" w:cs="Arial" w:eastAsia="Arial" w:hAnsi="Arial"/>
          <w:sz w:val="18"/>
          <w:szCs w:val="18"/>
          <w:color w:val="auto"/>
        </w:rPr>
        <w:t>Online check-in will begin at 7:55 a.m. Eastern Time, and you should allow ample time for the check-in procedures.</w:t>
      </w:r>
    </w:p>
    <w:p>
      <w:pPr>
        <w:spacing w:after="0" w:line="104"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To attend and participate in the Annual Meeting, you will need the 16-digit control number included on your Internet Notice, on your proxy card or on the instructions that accompanied your proxy materials. If your bank or broker holds your shares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p>
    <w:p>
      <w:pPr>
        <w:spacing w:after="0" w:line="294" w:lineRule="exact"/>
        <w:rPr>
          <w:sz w:val="20"/>
          <w:szCs w:val="20"/>
          <w:color w:val="auto"/>
        </w:rPr>
      </w:pPr>
    </w:p>
    <w:p>
      <w:pPr>
        <w:ind w:left="120" w:right="560"/>
        <w:spacing w:after="0" w:line="284" w:lineRule="auto"/>
        <w:rPr>
          <w:sz w:val="20"/>
          <w:szCs w:val="20"/>
          <w:color w:val="auto"/>
        </w:rPr>
      </w:pPr>
      <w:r>
        <w:rPr>
          <w:rFonts w:ascii="Arial" w:cs="Arial" w:eastAsia="Arial" w:hAnsi="Arial"/>
          <w:sz w:val="13"/>
          <w:szCs w:val="13"/>
          <w:b w:val="1"/>
          <w:bCs w:val="1"/>
          <w:color w:val="auto"/>
        </w:rPr>
        <w:t>WHAT IF DURING THE CHECK-IN TIME OR DURING THE ANNUAL MEETING I HAVE TECHNICAL DIFFICULTIES OR TROUBLE ACCESSING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4" w:lineRule="exact"/>
        <w:rPr>
          <w:sz w:val="20"/>
          <w:szCs w:val="20"/>
          <w:color w:val="auto"/>
        </w:rPr>
      </w:pPr>
    </w:p>
    <w:p>
      <w:pPr>
        <w:jc w:val="both"/>
        <w:ind w:left="120" w:right="460"/>
        <w:spacing w:after="0"/>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WHY HOLD A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As part of our effort to maintain a safe and healthy environment for our directors, members of management and stockholders who wish to attend the Annual Meeting, in light of the novel coronavirus disease, COVID-19, we believe that hosting a virtual meeting is in the best interest of the Company and its stockholders and enables increased stockholder attendance and participation because stockholders can participate from any location around the world. Stockholders will have the same rights and opportunities to participate as they would have at an in-person meeting.</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If a quorum is not present at the scheduled time of the Annual Meeting, (i) the Chairperson of the Annual Meeting or (ii) a majority in voting power of the stockholders present in person, or by remote communication, or represented by proxy, may adjourn the Annual Meeting until a quorum is present or represented.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via the Internet, or, if you received printed copies of the proxy materials, by signing, dating and returning the enclosed proxy card in the enclosed envelope.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We recommend that stockholders vote by proxy even if they plan to attend the Annual Meeting and vote online during the meeting. If you are a stockholder of record, there are two ways to vote by proxy:</w:t>
      </w:r>
    </w:p>
    <w:p>
      <w:pPr>
        <w:spacing w:after="0" w:line="102" w:lineRule="exact"/>
        <w:rPr>
          <w:sz w:val="20"/>
          <w:szCs w:val="20"/>
          <w:color w:val="auto"/>
        </w:rPr>
      </w:pPr>
    </w:p>
    <w:p>
      <w:pPr>
        <w:ind w:left="980" w:right="120" w:hanging="432"/>
        <w:spacing w:after="0" w:line="24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Internet—You can vote over the Internet at www.proxyvote.com by following the instructions on the Internet Notice or proxy card; or</w:t>
      </w:r>
    </w:p>
    <w:p>
      <w:pPr>
        <w:spacing w:after="0" w:line="48" w:lineRule="exact"/>
        <w:rPr>
          <w:rFonts w:ascii="Arial" w:cs="Arial" w:eastAsia="Arial" w:hAnsi="Arial"/>
          <w:sz w:val="18"/>
          <w:szCs w:val="18"/>
          <w:color w:val="auto"/>
        </w:rPr>
      </w:pPr>
    </w:p>
    <w:p>
      <w:pPr>
        <w:ind w:left="980" w:hanging="43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Mail—You can vote by mail by signing, dating and mailing the proxy card, which you may have received by mail.</w:t>
      </w:r>
    </w:p>
    <w:p>
      <w:pPr>
        <w:spacing w:after="0" w:line="104"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Internet voting facilities for stockholders of record will be available 24 hours a day and will close at 11:59 p.m. Eastern Time on June 17, 2020 (other than the voting which occurs during the meeting).</w:t>
      </w:r>
    </w:p>
    <w:p>
      <w:pPr>
        <w:spacing w:after="0" w:line="8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If your shares are held in street name through a bank or broker, you will receive instructions on how to vote from the bank or broker. You must follow their instructions in order for your shares to be voted. Internet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117" w:lineRule="exact"/>
        <w:rPr>
          <w:sz w:val="20"/>
          <w:szCs w:val="20"/>
          <w:color w:val="auto"/>
        </w:rPr>
      </w:pPr>
    </w:p>
    <w:p>
      <w:pPr>
        <w:ind w:left="980" w:hanging="43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giving written notice of revocation to the Secretary of Seres prior to the Annual Meeting; or</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voting online during the Annual Meeting.</w:t>
      </w:r>
    </w:p>
    <w:p>
      <w:pPr>
        <w:spacing w:after="0" w:line="104" w:lineRule="exact"/>
        <w:rPr>
          <w:sz w:val="20"/>
          <w:szCs w:val="20"/>
          <w:color w:val="auto"/>
        </w:rPr>
      </w:pPr>
    </w:p>
    <w:p>
      <w:pPr>
        <w:jc w:val="both"/>
        <w:ind w:left="120" w:right="280"/>
        <w:spacing w:after="0"/>
        <w:rPr>
          <w:sz w:val="20"/>
          <w:szCs w:val="20"/>
          <w:color w:val="auto"/>
        </w:rPr>
      </w:pPr>
      <w:r>
        <w:rPr>
          <w:rFonts w:ascii="Arial" w:cs="Arial" w:eastAsia="Arial" w:hAnsi="Arial"/>
          <w:sz w:val="18"/>
          <w:szCs w:val="18"/>
          <w:color w:val="auto"/>
        </w:rPr>
        <w:t>Your most recent proxy card or Internet proxy is the one that is counted. Your attendance at the Annual Meeting by itself will not revoke your proxy unless you give written notice of revocation to the Secretary before your proxy is voted or you vote online during the Annual Meeting.</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online during the Annual Meeting by obtaining your 16-digit control number or otherwise voting through the bank or broker.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 recommendations of our Board of Directors. Our Board of Directors’ recommendations are indicated on page 2 of this proxy statement, as well as with the description of each proposal in this proxy statement.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95" w:lineRule="exact"/>
        <w:rPr>
          <w:sz w:val="20"/>
          <w:szCs w:val="20"/>
          <w:color w:val="auto"/>
        </w:rPr>
      </w:pPr>
    </w:p>
    <w:p>
      <w:pPr>
        <w:ind w:left="120" w:right="400"/>
        <w:spacing w:after="0" w:line="284" w:lineRule="auto"/>
        <w:rPr>
          <w:sz w:val="20"/>
          <w:szCs w:val="20"/>
          <w:color w:val="auto"/>
        </w:rPr>
      </w:pPr>
      <w:r>
        <w:rPr>
          <w:rFonts w:ascii="Arial" w:cs="Arial" w:eastAsia="Arial" w:hAnsi="Arial"/>
          <w:sz w:val="13"/>
          <w:szCs w:val="13"/>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2920" w:type="dxa"/>
            <w:vAlign w:val="bottom"/>
            <w:shd w:val="clear" w:color="auto" w:fill="E5E5E5"/>
          </w:tcPr>
          <w:p>
            <w:pPr>
              <w:spacing w:after="0"/>
              <w:rPr>
                <w:sz w:val="13"/>
                <w:szCs w:val="13"/>
                <w:color w:val="auto"/>
              </w:rPr>
            </w:pPr>
          </w:p>
        </w:tc>
        <w:tc>
          <w:tcPr>
            <w:tcW w:w="3760" w:type="dxa"/>
            <w:vAlign w:val="bottom"/>
            <w:shd w:val="clear" w:color="auto" w:fill="E5E5E5"/>
          </w:tcPr>
          <w:p>
            <w:pPr>
              <w:spacing w:after="0"/>
              <w:rPr>
                <w:sz w:val="13"/>
                <w:szCs w:val="13"/>
                <w:color w:val="auto"/>
              </w:rPr>
            </w:pPr>
          </w:p>
        </w:tc>
        <w:tc>
          <w:tcPr>
            <w:tcW w:w="3620" w:type="dxa"/>
            <w:vAlign w:val="bottom"/>
            <w:shd w:val="clear" w:color="auto" w:fill="E5E5E5"/>
          </w:tcPr>
          <w:p>
            <w:pPr>
              <w:ind w:left="80"/>
              <w:spacing w:after="0"/>
              <w:rPr>
                <w:sz w:val="20"/>
                <w:szCs w:val="20"/>
                <w:color w:val="auto"/>
              </w:rPr>
            </w:pPr>
            <w:r>
              <w:rPr>
                <w:rFonts w:ascii="Arial" w:cs="Arial" w:eastAsia="Arial" w:hAnsi="Arial"/>
                <w:sz w:val="13"/>
                <w:szCs w:val="13"/>
                <w:b w:val="1"/>
                <w:bCs w:val="1"/>
                <w:color w:val="auto"/>
              </w:rPr>
              <w:t>Effect of Votes Withheld / Abstentions and</w:t>
            </w:r>
          </w:p>
        </w:tc>
      </w:tr>
      <w:tr>
        <w:trPr>
          <w:trHeight w:val="165"/>
        </w:trPr>
        <w:tc>
          <w:tcPr>
            <w:tcW w:w="60" w:type="dxa"/>
            <w:vAlign w:val="bottom"/>
            <w:tcBorders>
              <w:bottom w:val="single" w:sz="8" w:color="auto"/>
            </w:tcBorders>
            <w:shd w:val="clear" w:color="auto" w:fill="E5E5E5"/>
          </w:tcPr>
          <w:p>
            <w:pPr>
              <w:spacing w:after="0"/>
              <w:rPr>
                <w:sz w:val="14"/>
                <w:szCs w:val="14"/>
                <w:color w:val="auto"/>
              </w:rPr>
            </w:pPr>
          </w:p>
        </w:tc>
        <w:tc>
          <w:tcPr>
            <w:tcW w:w="35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3"/>
                <w:szCs w:val="13"/>
                <w:b w:val="1"/>
                <w:bCs w:val="1"/>
                <w:color w:val="auto"/>
              </w:rPr>
              <w:t>Proposal</w:t>
            </w:r>
          </w:p>
        </w:tc>
        <w:tc>
          <w:tcPr>
            <w:tcW w:w="37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3"/>
                <w:szCs w:val="13"/>
                <w:b w:val="1"/>
                <w:bCs w:val="1"/>
                <w:color w:val="auto"/>
              </w:rPr>
              <w:t>Votes required</w:t>
            </w:r>
          </w:p>
        </w:tc>
        <w:tc>
          <w:tcPr>
            <w:tcW w:w="362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Broker Non-Votes</w:t>
            </w:r>
          </w:p>
        </w:tc>
      </w:tr>
      <w:tr>
        <w:trPr>
          <w:trHeight w:val="128"/>
        </w:trPr>
        <w:tc>
          <w:tcPr>
            <w:tcW w:w="60" w:type="dxa"/>
            <w:vAlign w:val="bottom"/>
          </w:tcPr>
          <w:p>
            <w:pPr>
              <w:spacing w:after="0"/>
              <w:rPr>
                <w:sz w:val="11"/>
                <w:szCs w:val="11"/>
                <w:color w:val="auto"/>
              </w:rPr>
            </w:pPr>
          </w:p>
        </w:tc>
        <w:tc>
          <w:tcPr>
            <w:tcW w:w="3580" w:type="dxa"/>
            <w:vAlign w:val="bottom"/>
            <w:gridSpan w:val="2"/>
          </w:tcPr>
          <w:p>
            <w:pPr>
              <w:spacing w:after="0" w:line="129" w:lineRule="exact"/>
              <w:rPr>
                <w:sz w:val="20"/>
                <w:szCs w:val="20"/>
                <w:color w:val="auto"/>
              </w:rPr>
            </w:pPr>
            <w:r>
              <w:rPr>
                <w:rFonts w:ascii="Arial" w:cs="Arial" w:eastAsia="Arial" w:hAnsi="Arial"/>
                <w:sz w:val="13"/>
                <w:szCs w:val="13"/>
                <w:color w:val="auto"/>
              </w:rPr>
              <w:t>Proposal 1: Election of Directors</w:t>
            </w:r>
          </w:p>
        </w:tc>
        <w:tc>
          <w:tcPr>
            <w:tcW w:w="3760" w:type="dxa"/>
            <w:vAlign w:val="bottom"/>
          </w:tcPr>
          <w:p>
            <w:pPr>
              <w:ind w:left="100"/>
              <w:spacing w:after="0" w:line="129" w:lineRule="exact"/>
              <w:rPr>
                <w:sz w:val="20"/>
                <w:szCs w:val="20"/>
                <w:color w:val="auto"/>
              </w:rPr>
            </w:pPr>
            <w:r>
              <w:rPr>
                <w:rFonts w:ascii="Arial" w:cs="Arial" w:eastAsia="Arial" w:hAnsi="Arial"/>
                <w:sz w:val="13"/>
                <w:szCs w:val="13"/>
                <w:color w:val="auto"/>
              </w:rPr>
              <w:t>The plurality of the votes cast. This means that the three</w:t>
            </w:r>
          </w:p>
        </w:tc>
        <w:tc>
          <w:tcPr>
            <w:tcW w:w="3620" w:type="dxa"/>
            <w:vAlign w:val="bottom"/>
          </w:tcPr>
          <w:p>
            <w:pPr>
              <w:ind w:left="80"/>
              <w:spacing w:after="0" w:line="129" w:lineRule="exact"/>
              <w:rPr>
                <w:sz w:val="20"/>
                <w:szCs w:val="20"/>
                <w:color w:val="auto"/>
              </w:rPr>
            </w:pPr>
            <w:r>
              <w:rPr>
                <w:rFonts w:ascii="Arial" w:cs="Arial" w:eastAsia="Arial" w:hAnsi="Arial"/>
                <w:sz w:val="13"/>
                <w:szCs w:val="13"/>
                <w:color w:val="auto"/>
              </w:rPr>
              <w:t>Votes withheld and broker non-votes will have no effect.</w:t>
            </w:r>
          </w:p>
        </w:tc>
      </w:tr>
      <w:tr>
        <w:trPr>
          <w:trHeight w:val="141"/>
        </w:trPr>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3760" w:type="dxa"/>
            <w:vAlign w:val="bottom"/>
          </w:tcPr>
          <w:p>
            <w:pPr>
              <w:ind w:left="100"/>
              <w:spacing w:after="0" w:line="141" w:lineRule="exact"/>
              <w:rPr>
                <w:sz w:val="20"/>
                <w:szCs w:val="20"/>
                <w:color w:val="auto"/>
              </w:rPr>
            </w:pPr>
            <w:r>
              <w:rPr>
                <w:rFonts w:ascii="Arial" w:cs="Arial" w:eastAsia="Arial" w:hAnsi="Arial"/>
                <w:sz w:val="13"/>
                <w:szCs w:val="13"/>
                <w:color w:val="auto"/>
              </w:rPr>
              <w:t>nominees receiving the highest number of affirmative “FOR”</w:t>
            </w:r>
          </w:p>
        </w:tc>
        <w:tc>
          <w:tcPr>
            <w:tcW w:w="3620" w:type="dxa"/>
            <w:vAlign w:val="bottom"/>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760" w:type="dxa"/>
            <w:vAlign w:val="bottom"/>
          </w:tcPr>
          <w:p>
            <w:pPr>
              <w:ind w:left="100"/>
              <w:spacing w:after="0"/>
              <w:rPr>
                <w:sz w:val="20"/>
                <w:szCs w:val="20"/>
                <w:color w:val="auto"/>
              </w:rPr>
            </w:pPr>
            <w:r>
              <w:rPr>
                <w:rFonts w:ascii="Arial" w:cs="Arial" w:eastAsia="Arial" w:hAnsi="Arial"/>
                <w:sz w:val="13"/>
                <w:szCs w:val="13"/>
                <w:color w:val="auto"/>
              </w:rPr>
              <w:t>votes will be elected as Class II Directors.</w:t>
            </w:r>
          </w:p>
        </w:tc>
        <w:tc>
          <w:tcPr>
            <w:tcW w:w="3620" w:type="dxa"/>
            <w:vAlign w:val="bottom"/>
          </w:tcPr>
          <w:p>
            <w:pPr>
              <w:spacing w:after="0"/>
              <w:rPr>
                <w:sz w:val="12"/>
                <w:szCs w:val="12"/>
                <w:color w:val="auto"/>
              </w:rPr>
            </w:pPr>
          </w:p>
        </w:tc>
      </w:tr>
      <w:tr>
        <w:trPr>
          <w:trHeight w:val="135"/>
        </w:trPr>
        <w:tc>
          <w:tcPr>
            <w:tcW w:w="60" w:type="dxa"/>
            <w:vAlign w:val="bottom"/>
            <w:shd w:val="clear" w:color="auto" w:fill="E5E5E5"/>
          </w:tcPr>
          <w:p>
            <w:pPr>
              <w:spacing w:after="0"/>
              <w:rPr>
                <w:sz w:val="11"/>
                <w:szCs w:val="11"/>
                <w:color w:val="auto"/>
              </w:rPr>
            </w:pPr>
          </w:p>
        </w:tc>
        <w:tc>
          <w:tcPr>
            <w:tcW w:w="3580" w:type="dxa"/>
            <w:vAlign w:val="bottom"/>
            <w:gridSpan w:val="2"/>
            <w:shd w:val="clear" w:color="auto" w:fill="E5E5E5"/>
          </w:tcPr>
          <w:p>
            <w:pPr>
              <w:spacing w:after="0" w:line="135" w:lineRule="exact"/>
              <w:rPr>
                <w:sz w:val="20"/>
                <w:szCs w:val="20"/>
                <w:color w:val="auto"/>
              </w:rPr>
            </w:pPr>
            <w:r>
              <w:rPr>
                <w:rFonts w:ascii="Arial" w:cs="Arial" w:eastAsia="Arial" w:hAnsi="Arial"/>
                <w:sz w:val="13"/>
                <w:szCs w:val="13"/>
                <w:color w:val="auto"/>
              </w:rPr>
              <w:t>Proposal 2: Ratification of Appointment of Independent</w:t>
            </w:r>
          </w:p>
        </w:tc>
        <w:tc>
          <w:tcPr>
            <w:tcW w:w="3760" w:type="dxa"/>
            <w:vAlign w:val="bottom"/>
            <w:shd w:val="clear" w:color="auto" w:fill="E5E5E5"/>
          </w:tcPr>
          <w:p>
            <w:pPr>
              <w:ind w:left="100"/>
              <w:spacing w:after="0" w:line="135" w:lineRule="exact"/>
              <w:rPr>
                <w:sz w:val="20"/>
                <w:szCs w:val="20"/>
                <w:color w:val="auto"/>
              </w:rPr>
            </w:pPr>
            <w:r>
              <w:rPr>
                <w:rFonts w:ascii="Arial" w:cs="Arial" w:eastAsia="Arial" w:hAnsi="Arial"/>
                <w:sz w:val="13"/>
                <w:szCs w:val="13"/>
                <w:color w:val="auto"/>
              </w:rPr>
              <w:t>The affirmative vote of the holders of a majority in voting</w:t>
            </w:r>
          </w:p>
        </w:tc>
        <w:tc>
          <w:tcPr>
            <w:tcW w:w="3620" w:type="dxa"/>
            <w:vAlign w:val="bottom"/>
            <w:shd w:val="clear" w:color="auto" w:fill="E5E5E5"/>
          </w:tcPr>
          <w:p>
            <w:pPr>
              <w:ind w:left="80"/>
              <w:spacing w:after="0" w:line="135" w:lineRule="exact"/>
              <w:rPr>
                <w:sz w:val="20"/>
                <w:szCs w:val="20"/>
                <w:color w:val="auto"/>
              </w:rPr>
            </w:pPr>
            <w:r>
              <w:rPr>
                <w:rFonts w:ascii="Arial" w:cs="Arial" w:eastAsia="Arial" w:hAnsi="Arial"/>
                <w:sz w:val="13"/>
                <w:szCs w:val="13"/>
                <w:color w:val="auto"/>
              </w:rPr>
              <w:t>Abstentions will have no effect. We do not expect any</w:t>
            </w:r>
          </w:p>
        </w:tc>
      </w:tr>
      <w:tr>
        <w:trPr>
          <w:trHeight w:val="142"/>
        </w:trPr>
        <w:tc>
          <w:tcPr>
            <w:tcW w:w="60" w:type="dxa"/>
            <w:vAlign w:val="bottom"/>
            <w:tcBorders>
              <w:top w:val="single" w:sz="8" w:color="E5E5E5"/>
            </w:tcBorders>
            <w:shd w:val="clear" w:color="auto" w:fill="E5E5E5"/>
          </w:tcPr>
          <w:p>
            <w:pPr>
              <w:spacing w:after="0"/>
              <w:rPr>
                <w:sz w:val="12"/>
                <w:szCs w:val="12"/>
                <w:color w:val="auto"/>
              </w:rPr>
            </w:pPr>
          </w:p>
        </w:tc>
        <w:tc>
          <w:tcPr>
            <w:tcW w:w="66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3"/>
                <w:szCs w:val="13"/>
                <w:color w:val="auto"/>
              </w:rPr>
              <w:t>Registered</w:t>
            </w:r>
          </w:p>
        </w:tc>
        <w:tc>
          <w:tcPr>
            <w:tcW w:w="2920" w:type="dxa"/>
            <w:vAlign w:val="bottom"/>
            <w:tcBorders>
              <w:top w:val="single" w:sz="8" w:color="E5E5E5"/>
            </w:tcBorders>
            <w:shd w:val="clear" w:color="auto" w:fill="E5E5E5"/>
          </w:tcPr>
          <w:p>
            <w:pPr>
              <w:ind w:left="40"/>
              <w:spacing w:after="0" w:line="142" w:lineRule="exact"/>
              <w:rPr>
                <w:sz w:val="20"/>
                <w:szCs w:val="20"/>
                <w:color w:val="auto"/>
              </w:rPr>
            </w:pPr>
            <w:r>
              <w:rPr>
                <w:rFonts w:ascii="Arial" w:cs="Arial" w:eastAsia="Arial" w:hAnsi="Arial"/>
                <w:sz w:val="13"/>
                <w:szCs w:val="13"/>
                <w:color w:val="auto"/>
              </w:rPr>
              <w:t>Public Accounting Firm</w:t>
            </w:r>
          </w:p>
        </w:tc>
        <w:tc>
          <w:tcPr>
            <w:tcW w:w="3760" w:type="dxa"/>
            <w:vAlign w:val="bottom"/>
            <w:tcBorders>
              <w:top w:val="single" w:sz="8" w:color="E5E5E5"/>
            </w:tcBorders>
            <w:shd w:val="clear" w:color="auto" w:fill="E5E5E5"/>
          </w:tcPr>
          <w:p>
            <w:pPr>
              <w:ind w:left="100"/>
              <w:spacing w:after="0" w:line="142" w:lineRule="exact"/>
              <w:rPr>
                <w:sz w:val="20"/>
                <w:szCs w:val="20"/>
                <w:color w:val="auto"/>
              </w:rPr>
            </w:pPr>
            <w:r>
              <w:rPr>
                <w:rFonts w:ascii="Arial" w:cs="Arial" w:eastAsia="Arial" w:hAnsi="Arial"/>
                <w:sz w:val="13"/>
                <w:szCs w:val="13"/>
                <w:color w:val="auto"/>
              </w:rPr>
              <w:t>power of the votes cast affirmatively or negatively.</w:t>
            </w:r>
          </w:p>
        </w:tc>
        <w:tc>
          <w:tcPr>
            <w:tcW w:w="3620" w:type="dxa"/>
            <w:vAlign w:val="bottom"/>
            <w:tcBorders>
              <w:top w:val="single" w:sz="8" w:color="E5E5E5"/>
            </w:tcBorders>
            <w:shd w:val="clear" w:color="auto" w:fill="E5E5E5"/>
          </w:tcPr>
          <w:p>
            <w:pPr>
              <w:ind w:left="80"/>
              <w:spacing w:after="0" w:line="142" w:lineRule="exact"/>
              <w:rPr>
                <w:sz w:val="20"/>
                <w:szCs w:val="20"/>
                <w:color w:val="auto"/>
              </w:rPr>
            </w:pPr>
            <w:r>
              <w:rPr>
                <w:rFonts w:ascii="Arial" w:cs="Arial" w:eastAsia="Arial" w:hAnsi="Arial"/>
                <w:sz w:val="13"/>
                <w:szCs w:val="13"/>
                <w:color w:val="auto"/>
              </w:rPr>
              <w:t>broker non-votes on this proposal.</w:t>
            </w:r>
          </w:p>
        </w:tc>
      </w:tr>
    </w:tbl>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PricewaterhouseCoopers LLP as our independent registered public accounting firm, represents a stockholder’s affirmative choice to decline to vote on a proposal. Votes withheld and abstentions are counted as present and entitled to vote for purposes of determining a quorum. Votes withheld have no effect on the election of directors and abstentions have no effect on the ratification of the appointment of PricewaterhouseCoopers LLP.</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PricewaterhouseCoopers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WHERE CAN I FIND THE VOTING RESULTS OF THE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Proposals to be Voted 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PROPOSAL 1</w:t>
      </w:r>
    </w:p>
    <w:p>
      <w:pPr>
        <w:ind w:left="120"/>
        <w:spacing w:after="0"/>
        <w:rPr>
          <w:sz w:val="20"/>
          <w:szCs w:val="20"/>
          <w:color w:val="auto"/>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At the Annual Meeting, three (3) Class II Directors are to be elected to hold office until the Annual Meeting of Stockholders to be held in 2023 and until such director’s successor is elected and qualified.</w:t>
      </w:r>
    </w:p>
    <w:p>
      <w:pPr>
        <w:spacing w:after="0" w:line="89"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currently have ten (10) directors on our Board, including four (4) Class II Directors. Our current Class II Directors are Stephen A. Berenson, who has served on our Board since August 2019, Richard N. Kender, who has served on our Board since October 2014, Lorence H. Kim, M.D., who has served on our Board since October 2014, and Meryl S. Zausner, who has served on our Board since August 2018. Lorence H. Kim, M.D. has not been nominated for re-election as a Class II Director at the Annual Meeting following the end of his current term. The Board has nominated three director candidates for election as Class II Directors at the Annual Meeting: Stephen A. Berenson, Richard N. Kender, and Meryl S. Zausner. Proxies cannot be voted for a greater number of persons than the number of nominees named in this proposal. Our Board has approved a reduction in its size from ten to nine directors, effective upon the completion of the Annual Meeting.</w:t>
      </w:r>
    </w:p>
    <w:p>
      <w:pPr>
        <w:spacing w:after="0" w:line="100" w:lineRule="exact"/>
        <w:rPr>
          <w:sz w:val="20"/>
          <w:szCs w:val="20"/>
          <w:color w:val="auto"/>
        </w:rPr>
      </w:pPr>
    </w:p>
    <w:p>
      <w:pPr>
        <w:jc w:val="both"/>
        <w:ind w:left="120" w:right="80"/>
        <w:spacing w:after="0"/>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II Directors. Votes withheld and broker non-votes are not considered to be votes cast and, accordingly, will have no effect on the outcome of the vote on this proposal.</w:t>
      </w:r>
    </w:p>
    <w:p>
      <w:pPr>
        <w:spacing w:after="0" w:line="9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will expire at the 2022 Annual Meeting of Stockholders and whose subsequent term will expire at the 2025 Annual Meeting of Stockholders; Class II, whose term expires at the Annual Meeting and whose subsequent term will expire at the 2023 Annual Meeting of Stockholders; and Class III, whose term will expire at the 2021 Annual Meeting of Stockholders and whose subsequent term will expire at the 2024 Annual Meeting of Stockholders. The current Class I Directors are Dennis A. Ausiello, M.D., Willard H. Dere, M.D., and Eric D. Shaff; the current Class II Directors are Stephen A. Berenson, Richard N. Kender, Lorence H. Kim, M.D. and Meryl S. Zausner; and the current Class III Directors are Grégory Behar, Paul R. Biondi, and Kurt C. Graves.</w:t>
      </w:r>
    </w:p>
    <w:p>
      <w:pPr>
        <w:spacing w:after="0" w:line="9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Restated Certificate of Incorporation and Amended and Restated Bylaws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 There are no family relationships among any of our executive officers or directors.</w:t>
      </w:r>
    </w:p>
    <w:p>
      <w:pPr>
        <w:spacing w:after="0" w:line="95"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our Board of Directors or our Board of Directors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may elect to reduce its size. The Board of Directors has no reason to believe that the nominees named below will be unable to serve if elected. Each of the nominees has consented to being named in this proxy statement and to serve if elected.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II Directors. Votes withheld and broker non-votes are not considered to be votes cast and, accordingly, will have no effect on the outcome of the vote on this proposal.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Board of Directors unanimously recommends a vote FOR the election of the below Class II Director nominees.</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NOMINEES FOR CLASS II DIRECTORS (TERMS TO EXPIRE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The current members of the Board of Directors who are also nominees for election to the Board of Directors as Class II Directors are as follows:</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8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134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Served as a</w:t>
            </w:r>
          </w:p>
        </w:tc>
        <w:tc>
          <w:tcPr>
            <w:tcW w:w="4320" w:type="dxa"/>
            <w:vAlign w:val="bottom"/>
            <w:shd w:val="clear" w:color="auto" w:fill="E5E5E5"/>
          </w:tcPr>
          <w:p>
            <w:pPr>
              <w:spacing w:after="0"/>
              <w:rPr>
                <w:sz w:val="13"/>
                <w:szCs w:val="13"/>
                <w:color w:val="auto"/>
              </w:rPr>
            </w:pPr>
          </w:p>
        </w:tc>
      </w:tr>
      <w:tr>
        <w:trPr>
          <w:trHeight w:val="165"/>
        </w:trPr>
        <w:tc>
          <w:tcPr>
            <w:tcW w:w="44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w:t>
            </w:r>
          </w:p>
        </w:tc>
        <w:tc>
          <w:tcPr>
            <w:tcW w:w="880" w:type="dxa"/>
            <w:vAlign w:val="bottom"/>
            <w:tcBorders>
              <w:bottom w:val="single" w:sz="8" w:color="auto"/>
            </w:tcBorders>
            <w:shd w:val="clear" w:color="auto" w:fill="E5E5E5"/>
          </w:tcPr>
          <w:p>
            <w:pPr>
              <w:jc w:val="center"/>
              <w:ind w:left="153"/>
              <w:spacing w:after="0"/>
              <w:rPr>
                <w:sz w:val="20"/>
                <w:szCs w:val="20"/>
                <w:color w:val="auto"/>
              </w:rPr>
            </w:pPr>
            <w:r>
              <w:rPr>
                <w:rFonts w:ascii="Arial" w:cs="Arial" w:eastAsia="Arial" w:hAnsi="Arial"/>
                <w:sz w:val="13"/>
                <w:szCs w:val="13"/>
                <w:b w:val="1"/>
                <w:bCs w:val="1"/>
                <w:color w:val="auto"/>
              </w:rPr>
              <w:t>Age</w:t>
            </w:r>
          </w:p>
        </w:tc>
        <w:tc>
          <w:tcPr>
            <w:tcW w:w="13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Director Since</w:t>
            </w:r>
          </w:p>
        </w:tc>
        <w:tc>
          <w:tcPr>
            <w:tcW w:w="4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3"/>
                <w:szCs w:val="13"/>
                <w:b w:val="1"/>
                <w:bCs w:val="1"/>
                <w:color w:val="auto"/>
              </w:rPr>
              <w:t>Position with Seres</w:t>
            </w:r>
          </w:p>
        </w:tc>
      </w:tr>
      <w:tr>
        <w:trPr>
          <w:trHeight w:val="141"/>
        </w:trPr>
        <w:tc>
          <w:tcPr>
            <w:tcW w:w="4480" w:type="dxa"/>
            <w:vAlign w:val="bottom"/>
          </w:tcPr>
          <w:p>
            <w:pPr>
              <w:ind w:left="60"/>
              <w:spacing w:after="0" w:line="141" w:lineRule="exact"/>
              <w:rPr>
                <w:sz w:val="20"/>
                <w:szCs w:val="20"/>
                <w:color w:val="auto"/>
              </w:rPr>
            </w:pPr>
            <w:r>
              <w:rPr>
                <w:rFonts w:ascii="Arial" w:cs="Arial" w:eastAsia="Arial" w:hAnsi="Arial"/>
                <w:sz w:val="13"/>
                <w:szCs w:val="13"/>
                <w:color w:val="auto"/>
              </w:rPr>
              <w:t>Stephen A. Berenson</w:t>
            </w:r>
          </w:p>
        </w:tc>
        <w:tc>
          <w:tcPr>
            <w:tcW w:w="880" w:type="dxa"/>
            <w:vAlign w:val="bottom"/>
          </w:tcPr>
          <w:p>
            <w:pPr>
              <w:jc w:val="center"/>
              <w:ind w:left="133"/>
              <w:spacing w:after="0" w:line="141" w:lineRule="exact"/>
              <w:rPr>
                <w:sz w:val="20"/>
                <w:szCs w:val="20"/>
                <w:color w:val="auto"/>
              </w:rPr>
            </w:pPr>
            <w:r>
              <w:rPr>
                <w:rFonts w:ascii="Arial" w:cs="Arial" w:eastAsia="Arial" w:hAnsi="Arial"/>
                <w:sz w:val="13"/>
                <w:szCs w:val="13"/>
                <w:color w:val="auto"/>
              </w:rPr>
              <w:t>59</w:t>
            </w:r>
          </w:p>
        </w:tc>
        <w:tc>
          <w:tcPr>
            <w:tcW w:w="1340" w:type="dxa"/>
            <w:vAlign w:val="bottom"/>
          </w:tcPr>
          <w:p>
            <w:pPr>
              <w:jc w:val="center"/>
              <w:spacing w:after="0" w:line="141" w:lineRule="exact"/>
              <w:rPr>
                <w:sz w:val="20"/>
                <w:szCs w:val="20"/>
                <w:color w:val="auto"/>
              </w:rPr>
            </w:pPr>
            <w:r>
              <w:rPr>
                <w:rFonts w:ascii="Arial" w:cs="Arial" w:eastAsia="Arial" w:hAnsi="Arial"/>
                <w:sz w:val="13"/>
                <w:szCs w:val="13"/>
                <w:color w:val="auto"/>
              </w:rPr>
              <w:t>2019</w:t>
            </w:r>
          </w:p>
        </w:tc>
        <w:tc>
          <w:tcPr>
            <w:tcW w:w="4320" w:type="dxa"/>
            <w:vAlign w:val="bottom"/>
          </w:tcPr>
          <w:p>
            <w:pPr>
              <w:ind w:left="200"/>
              <w:spacing w:after="0" w:line="141" w:lineRule="exact"/>
              <w:rPr>
                <w:sz w:val="20"/>
                <w:szCs w:val="20"/>
                <w:color w:val="auto"/>
              </w:rPr>
            </w:pPr>
            <w:r>
              <w:rPr>
                <w:rFonts w:ascii="Arial" w:cs="Arial" w:eastAsia="Arial" w:hAnsi="Arial"/>
                <w:sz w:val="13"/>
                <w:szCs w:val="13"/>
                <w:color w:val="auto"/>
              </w:rPr>
              <w:t>Chairman of the Board of Directors</w:t>
            </w:r>
          </w:p>
        </w:tc>
      </w:tr>
      <w:tr>
        <w:trPr>
          <w:trHeight w:val="149"/>
        </w:trPr>
        <w:tc>
          <w:tcPr>
            <w:tcW w:w="4480" w:type="dxa"/>
            <w:vAlign w:val="bottom"/>
          </w:tcPr>
          <w:p>
            <w:pPr>
              <w:ind w:left="60"/>
              <w:spacing w:after="0"/>
              <w:rPr>
                <w:sz w:val="20"/>
                <w:szCs w:val="20"/>
                <w:color w:val="auto"/>
              </w:rPr>
            </w:pPr>
            <w:r>
              <w:rPr>
                <w:rFonts w:ascii="Arial" w:cs="Arial" w:eastAsia="Arial" w:hAnsi="Arial"/>
                <w:sz w:val="13"/>
                <w:szCs w:val="13"/>
                <w:color w:val="auto"/>
              </w:rPr>
              <w:t>Richard N. Kender</w:t>
            </w:r>
          </w:p>
        </w:tc>
        <w:tc>
          <w:tcPr>
            <w:tcW w:w="880" w:type="dxa"/>
            <w:vAlign w:val="bottom"/>
          </w:tcPr>
          <w:p>
            <w:pPr>
              <w:jc w:val="center"/>
              <w:ind w:left="133"/>
              <w:spacing w:after="0"/>
              <w:rPr>
                <w:sz w:val="20"/>
                <w:szCs w:val="20"/>
                <w:color w:val="auto"/>
              </w:rPr>
            </w:pPr>
            <w:r>
              <w:rPr>
                <w:rFonts w:ascii="Arial" w:cs="Arial" w:eastAsia="Arial" w:hAnsi="Arial"/>
                <w:sz w:val="13"/>
                <w:szCs w:val="13"/>
                <w:color w:val="auto"/>
              </w:rPr>
              <w:t>64</w:t>
            </w:r>
          </w:p>
        </w:tc>
        <w:tc>
          <w:tcPr>
            <w:tcW w:w="1340" w:type="dxa"/>
            <w:vAlign w:val="bottom"/>
          </w:tcPr>
          <w:p>
            <w:pPr>
              <w:jc w:val="center"/>
              <w:spacing w:after="0"/>
              <w:rPr>
                <w:sz w:val="20"/>
                <w:szCs w:val="20"/>
                <w:color w:val="auto"/>
              </w:rPr>
            </w:pPr>
            <w:r>
              <w:rPr>
                <w:rFonts w:ascii="Arial" w:cs="Arial" w:eastAsia="Arial" w:hAnsi="Arial"/>
                <w:sz w:val="13"/>
                <w:szCs w:val="13"/>
                <w:color w:val="auto"/>
              </w:rPr>
              <w:t>2014</w:t>
            </w:r>
          </w:p>
        </w:tc>
        <w:tc>
          <w:tcPr>
            <w:tcW w:w="4320" w:type="dxa"/>
            <w:vAlign w:val="bottom"/>
          </w:tcPr>
          <w:p>
            <w:pPr>
              <w:ind w:left="200"/>
              <w:spacing w:after="0"/>
              <w:rPr>
                <w:sz w:val="20"/>
                <w:szCs w:val="20"/>
                <w:color w:val="auto"/>
              </w:rPr>
            </w:pPr>
            <w:r>
              <w:rPr>
                <w:rFonts w:ascii="Arial" w:cs="Arial" w:eastAsia="Arial" w:hAnsi="Arial"/>
                <w:sz w:val="13"/>
                <w:szCs w:val="13"/>
                <w:color w:val="auto"/>
              </w:rPr>
              <w:t>Director</w:t>
            </w:r>
          </w:p>
        </w:tc>
      </w:tr>
      <w:tr>
        <w:trPr>
          <w:trHeight w:val="149"/>
        </w:trPr>
        <w:tc>
          <w:tcPr>
            <w:tcW w:w="44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Meryl S. Zausner</w:t>
            </w:r>
          </w:p>
        </w:tc>
        <w:tc>
          <w:tcPr>
            <w:tcW w:w="880" w:type="dxa"/>
            <w:vAlign w:val="bottom"/>
            <w:tcBorders>
              <w:bottom w:val="single" w:sz="8" w:color="auto"/>
            </w:tcBorders>
          </w:tcPr>
          <w:p>
            <w:pPr>
              <w:jc w:val="center"/>
              <w:ind w:left="133"/>
              <w:spacing w:after="0"/>
              <w:rPr>
                <w:sz w:val="20"/>
                <w:szCs w:val="20"/>
                <w:color w:val="auto"/>
              </w:rPr>
            </w:pPr>
            <w:r>
              <w:rPr>
                <w:rFonts w:ascii="Arial" w:cs="Arial" w:eastAsia="Arial" w:hAnsi="Arial"/>
                <w:sz w:val="13"/>
                <w:szCs w:val="13"/>
                <w:color w:val="auto"/>
              </w:rPr>
              <w:t>63</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2018</w:t>
            </w:r>
          </w:p>
        </w:tc>
        <w:tc>
          <w:tcPr>
            <w:tcW w:w="432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Director</w:t>
            </w: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STEPHEN A. BERENSON</w:t>
      </w:r>
      <w:r>
        <w:rPr>
          <w:sz w:val="20"/>
          <w:szCs w:val="20"/>
          <w:color w:val="auto"/>
        </w:rPr>
        <w:tab/>
      </w:r>
      <w:r>
        <w:rPr>
          <w:rFonts w:ascii="Arial" w:cs="Arial" w:eastAsia="Arial" w:hAnsi="Arial"/>
          <w:sz w:val="13"/>
          <w:szCs w:val="13"/>
          <w:i w:val="1"/>
          <w:iCs w:val="1"/>
          <w:color w:val="auto"/>
        </w:rPr>
        <w:t>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Stephen Berenson has served as Chairman of our Board of Directors since December 2019. Mr. Berenson has served as a member of our Board of Directors since August 2019. Mr. Berenson is a Managing Partner at Flagship Pioneering, a life sciences innovation firm, since June 2017. Prior to Flagship, Mr. Berenson spent 33 years in various roles as an investment banker at J.P. Morgan, an investment bank, most recently serving in the role of Vice Chairman of Investment Banking from 2005 to April 2017, where he focused on providing high-touch strategic advice and complex transaction execution to leading companies across all industries globally. He was co-founder of J.P. Morgan’s Global Strategic Advisory Council and co -founder of the firm’s Board Initiative. Mr. Berenson also serves on the boards of directors of Moderna, Inc. and CiBO Technologies, Inc. Mr. Berenson received an S.B. in Mathematics from MIT. We believe that</w:t>
      </w:r>
    </w:p>
    <w:p>
      <w:pPr>
        <w:spacing w:after="0" w:line="5"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Mr. Berenson is qualified to serve on our Board of Directors because of his extensive experience working with rapidly-growing companies across various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219710</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7"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RICHARD N. KENDER</w:t>
      </w:r>
      <w:r>
        <w:rPr>
          <w:sz w:val="20"/>
          <w:szCs w:val="20"/>
          <w:color w:val="auto"/>
        </w:rPr>
        <w:tab/>
      </w:r>
      <w:r>
        <w:rPr>
          <w:rFonts w:ascii="Arial" w:cs="Arial" w:eastAsia="Arial" w:hAnsi="Arial"/>
          <w:sz w:val="13"/>
          <w:szCs w:val="13"/>
          <w:i w:val="1"/>
          <w:iCs w:val="1"/>
          <w:color w:val="auto"/>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N. Kender has served as a member of our Board of Directors since October 2014. From October 1978 to September 2013,</w:t>
      </w:r>
    </w:p>
    <w:p>
      <w:pPr>
        <w:ind w:left="120" w:right="20"/>
        <w:spacing w:after="0" w:line="237" w:lineRule="auto"/>
        <w:rPr>
          <w:sz w:val="20"/>
          <w:szCs w:val="20"/>
          <w:color w:val="auto"/>
        </w:rPr>
      </w:pPr>
      <w:r>
        <w:rPr>
          <w:rFonts w:ascii="Arial" w:cs="Arial" w:eastAsia="Arial" w:hAnsi="Arial"/>
          <w:sz w:val="18"/>
          <w:szCs w:val="18"/>
          <w:color w:val="auto"/>
        </w:rPr>
        <w:t>Mr. Kender held positions in a variety of corporate areas at Merck &amp; Co., Inc. (“Merck”), a pharmaceutical company, most recently serving as Senior Vice President of Business Development and Corporate Licensing. Mr. Kender has served on the boards of directors of Poxel S.A. since 2015, Bicycle Therapeutics PLC since 2019, and ReViral Ltd since 2019. He previously served on the boards of directors of INC Research Holdings, Inc. between 2014 and 2017 and Abide Therapeutics, Inc. between 2015 and 2019. Mr. Kender received a B.S. in Accounting from Villanova University and an M.B.A. from Fairleigh Dickinson University. We believe Mr. Kender is qualified to serve on our Board of Directors because of his finance experience and knowledge of the biotechnology industry.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5"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MERYL S. ZAUSNER</w:t>
      </w:r>
      <w:r>
        <w:rPr>
          <w:sz w:val="20"/>
          <w:szCs w:val="20"/>
          <w:color w:val="auto"/>
        </w:rPr>
        <w:tab/>
      </w:r>
      <w:r>
        <w:rPr>
          <w:rFonts w:ascii="Arial" w:cs="Arial" w:eastAsia="Arial" w:hAnsi="Arial"/>
          <w:sz w:val="13"/>
          <w:szCs w:val="13"/>
          <w:i w:val="1"/>
          <w:iCs w:val="1"/>
          <w:color w:val="auto"/>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20" w:right="900"/>
        <w:spacing w:after="0" w:line="248" w:lineRule="auto"/>
        <w:rPr>
          <w:sz w:val="20"/>
          <w:szCs w:val="20"/>
          <w:color w:val="auto"/>
        </w:rPr>
      </w:pPr>
      <w:r>
        <w:rPr>
          <w:rFonts w:ascii="Arial" w:cs="Arial" w:eastAsia="Arial" w:hAnsi="Arial"/>
          <w:sz w:val="17"/>
          <w:szCs w:val="17"/>
          <w:color w:val="auto"/>
        </w:rPr>
        <w:t>Meryl S. Zausner has served as a member of our Board of Directors since August 2018. Ms. Zausner worked for Novartis Pharmaceuticals, Inc. (“Novartis”) from 1988 until her retirement in 2017, during which time, from April 2012 to November 2014,</w:t>
      </w:r>
    </w:p>
    <w:p>
      <w:pPr>
        <w:spacing w:after="0" w:line="1"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Ms. Zausner served as Chief Financial and Administrative Officer and a member of the Pharmaceutical Executive Committee and Global Finance Leadership Team of Novartis, in the United States. At Novartis, she helped launch the Oncology Business Unit, as well as the company’s shared services organization. Prior to serving as Chief Financial and Administrative Officer, Ms. Zausner was a member of the Novartis Global Oncology leadership team, where she contributed to the development and commercialization of therapies, including Gleevec</w:t>
      </w:r>
      <w:r>
        <w:rPr>
          <w:rFonts w:ascii="Arial" w:cs="Arial" w:eastAsia="Arial" w:hAnsi="Arial"/>
          <w:sz w:val="15"/>
          <w:szCs w:val="15"/>
          <w:color w:val="auto"/>
        </w:rPr>
        <w:t>®</w:t>
      </w:r>
      <w:r>
        <w:rPr>
          <w:rFonts w:ascii="Arial" w:cs="Arial" w:eastAsia="Arial" w:hAnsi="Arial"/>
          <w:sz w:val="18"/>
          <w:szCs w:val="18"/>
          <w:color w:val="auto"/>
        </w:rPr>
        <w:t xml:space="preserve"> (imatinib). Ms. Zausner has also served on the boards of directors of Neon Therapeutics, Inc. since 2017 and the Multiple Myeloma Research Foundation since 2009. Ms. Zausner received a B.S. in Accounting and Economics from the University at Albany, SUNY. We believe Ms. Zausner is qualified to serve on our Board of Directors because of her finance and leadership experience and knowledge of the pharmaceutical industry.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CONTINUING MEMBERS OF THE BOARD OF DIRECTORS: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CLASS III DIRECTORS (TERMS TO EXPIRE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60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22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Served as a</w:t>
            </w:r>
          </w:p>
        </w:tc>
        <w:tc>
          <w:tcPr>
            <w:tcW w:w="4480" w:type="dxa"/>
            <w:vAlign w:val="bottom"/>
            <w:shd w:val="clear" w:color="auto" w:fill="E5E5E5"/>
          </w:tcPr>
          <w:p>
            <w:pPr>
              <w:spacing w:after="0"/>
              <w:rPr>
                <w:sz w:val="13"/>
                <w:szCs w:val="13"/>
                <w:color w:val="auto"/>
              </w:rPr>
            </w:pPr>
          </w:p>
        </w:tc>
      </w:tr>
      <w:tr>
        <w:trPr>
          <w:trHeight w:val="165"/>
        </w:trPr>
        <w:tc>
          <w:tcPr>
            <w:tcW w:w="46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w:t>
            </w:r>
          </w:p>
        </w:tc>
        <w:tc>
          <w:tcPr>
            <w:tcW w:w="720" w:type="dxa"/>
            <w:vAlign w:val="bottom"/>
            <w:tcBorders>
              <w:bottom w:val="single" w:sz="8" w:color="auto"/>
            </w:tcBorders>
            <w:shd w:val="clear" w:color="auto" w:fill="E5E5E5"/>
          </w:tcPr>
          <w:p>
            <w:pPr>
              <w:jc w:val="center"/>
              <w:ind w:left="93"/>
              <w:spacing w:after="0"/>
              <w:rPr>
                <w:sz w:val="20"/>
                <w:szCs w:val="20"/>
                <w:color w:val="auto"/>
              </w:rPr>
            </w:pPr>
            <w:r>
              <w:rPr>
                <w:rFonts w:ascii="Arial" w:cs="Arial" w:eastAsia="Arial" w:hAnsi="Arial"/>
                <w:sz w:val="13"/>
                <w:szCs w:val="13"/>
                <w:b w:val="1"/>
                <w:bCs w:val="1"/>
                <w:color w:val="auto"/>
                <w:w w:val="97"/>
              </w:rPr>
              <w:t>Age</w:t>
            </w:r>
          </w:p>
        </w:tc>
        <w:tc>
          <w:tcPr>
            <w:tcW w:w="12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Director Since</w:t>
            </w:r>
          </w:p>
        </w:tc>
        <w:tc>
          <w:tcPr>
            <w:tcW w:w="44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3"/>
                <w:szCs w:val="13"/>
                <w:b w:val="1"/>
                <w:bCs w:val="1"/>
                <w:color w:val="auto"/>
              </w:rPr>
              <w:t>Position with Seres</w:t>
            </w:r>
          </w:p>
        </w:tc>
      </w:tr>
      <w:tr>
        <w:trPr>
          <w:trHeight w:val="141"/>
        </w:trPr>
        <w:tc>
          <w:tcPr>
            <w:tcW w:w="4600" w:type="dxa"/>
            <w:vAlign w:val="bottom"/>
          </w:tcPr>
          <w:p>
            <w:pPr>
              <w:ind w:left="60"/>
              <w:spacing w:after="0" w:line="141" w:lineRule="exact"/>
              <w:rPr>
                <w:sz w:val="20"/>
                <w:szCs w:val="20"/>
                <w:color w:val="auto"/>
              </w:rPr>
            </w:pPr>
            <w:r>
              <w:rPr>
                <w:rFonts w:ascii="Arial" w:cs="Arial" w:eastAsia="Arial" w:hAnsi="Arial"/>
                <w:sz w:val="13"/>
                <w:szCs w:val="13"/>
                <w:color w:val="auto"/>
              </w:rPr>
              <w:t>Grégory Behar</w:t>
            </w:r>
          </w:p>
        </w:tc>
        <w:tc>
          <w:tcPr>
            <w:tcW w:w="720" w:type="dxa"/>
            <w:vAlign w:val="bottom"/>
          </w:tcPr>
          <w:p>
            <w:pPr>
              <w:jc w:val="center"/>
              <w:ind w:left="93"/>
              <w:spacing w:after="0" w:line="141" w:lineRule="exact"/>
              <w:rPr>
                <w:sz w:val="20"/>
                <w:szCs w:val="20"/>
                <w:color w:val="auto"/>
              </w:rPr>
            </w:pPr>
            <w:r>
              <w:rPr>
                <w:rFonts w:ascii="Arial" w:cs="Arial" w:eastAsia="Arial" w:hAnsi="Arial"/>
                <w:sz w:val="13"/>
                <w:szCs w:val="13"/>
                <w:color w:val="auto"/>
              </w:rPr>
              <w:t>50</w:t>
            </w:r>
          </w:p>
        </w:tc>
        <w:tc>
          <w:tcPr>
            <w:tcW w:w="1220" w:type="dxa"/>
            <w:vAlign w:val="bottom"/>
          </w:tcPr>
          <w:p>
            <w:pPr>
              <w:jc w:val="center"/>
              <w:spacing w:after="0" w:line="141" w:lineRule="exact"/>
              <w:rPr>
                <w:sz w:val="20"/>
                <w:szCs w:val="20"/>
                <w:color w:val="auto"/>
              </w:rPr>
            </w:pPr>
            <w:r>
              <w:rPr>
                <w:rFonts w:ascii="Arial" w:cs="Arial" w:eastAsia="Arial" w:hAnsi="Arial"/>
                <w:sz w:val="13"/>
                <w:szCs w:val="13"/>
                <w:color w:val="auto"/>
              </w:rPr>
              <w:t>2014</w:t>
            </w:r>
          </w:p>
        </w:tc>
        <w:tc>
          <w:tcPr>
            <w:tcW w:w="4480" w:type="dxa"/>
            <w:vAlign w:val="bottom"/>
          </w:tcPr>
          <w:p>
            <w:pPr>
              <w:ind w:left="160"/>
              <w:spacing w:after="0" w:line="141" w:lineRule="exact"/>
              <w:rPr>
                <w:sz w:val="20"/>
                <w:szCs w:val="20"/>
                <w:color w:val="auto"/>
              </w:rPr>
            </w:pPr>
            <w:r>
              <w:rPr>
                <w:rFonts w:ascii="Arial" w:cs="Arial" w:eastAsia="Arial" w:hAnsi="Arial"/>
                <w:sz w:val="13"/>
                <w:szCs w:val="13"/>
                <w:color w:val="auto"/>
              </w:rPr>
              <w:t>Director</w:t>
            </w:r>
          </w:p>
        </w:tc>
      </w:tr>
      <w:tr>
        <w:trPr>
          <w:trHeight w:val="149"/>
        </w:trPr>
        <w:tc>
          <w:tcPr>
            <w:tcW w:w="4600" w:type="dxa"/>
            <w:vAlign w:val="bottom"/>
          </w:tcPr>
          <w:p>
            <w:pPr>
              <w:ind w:left="60"/>
              <w:spacing w:after="0"/>
              <w:rPr>
                <w:sz w:val="20"/>
                <w:szCs w:val="20"/>
                <w:color w:val="auto"/>
              </w:rPr>
            </w:pPr>
            <w:r>
              <w:rPr>
                <w:rFonts w:ascii="Arial" w:cs="Arial" w:eastAsia="Arial" w:hAnsi="Arial"/>
                <w:sz w:val="13"/>
                <w:szCs w:val="13"/>
                <w:color w:val="auto"/>
              </w:rPr>
              <w:t>Paul R. Biondi</w:t>
            </w:r>
          </w:p>
        </w:tc>
        <w:tc>
          <w:tcPr>
            <w:tcW w:w="720" w:type="dxa"/>
            <w:vAlign w:val="bottom"/>
          </w:tcPr>
          <w:p>
            <w:pPr>
              <w:jc w:val="center"/>
              <w:ind w:left="93"/>
              <w:spacing w:after="0"/>
              <w:rPr>
                <w:sz w:val="20"/>
                <w:szCs w:val="20"/>
                <w:color w:val="auto"/>
              </w:rPr>
            </w:pPr>
            <w:r>
              <w:rPr>
                <w:rFonts w:ascii="Arial" w:cs="Arial" w:eastAsia="Arial" w:hAnsi="Arial"/>
                <w:sz w:val="13"/>
                <w:szCs w:val="13"/>
                <w:color w:val="auto"/>
              </w:rPr>
              <w:t>51</w:t>
            </w:r>
          </w:p>
        </w:tc>
        <w:tc>
          <w:tcPr>
            <w:tcW w:w="1220" w:type="dxa"/>
            <w:vAlign w:val="bottom"/>
          </w:tcPr>
          <w:p>
            <w:pPr>
              <w:jc w:val="center"/>
              <w:spacing w:after="0"/>
              <w:rPr>
                <w:sz w:val="20"/>
                <w:szCs w:val="20"/>
                <w:color w:val="auto"/>
              </w:rPr>
            </w:pPr>
            <w:r>
              <w:rPr>
                <w:rFonts w:ascii="Arial" w:cs="Arial" w:eastAsia="Arial" w:hAnsi="Arial"/>
                <w:sz w:val="13"/>
                <w:szCs w:val="13"/>
                <w:color w:val="auto"/>
              </w:rPr>
              <w:t>2020</w:t>
            </w:r>
          </w:p>
        </w:tc>
        <w:tc>
          <w:tcPr>
            <w:tcW w:w="4480" w:type="dxa"/>
            <w:vAlign w:val="bottom"/>
          </w:tcPr>
          <w:p>
            <w:pPr>
              <w:ind w:left="160"/>
              <w:spacing w:after="0"/>
              <w:rPr>
                <w:sz w:val="20"/>
                <w:szCs w:val="20"/>
                <w:color w:val="auto"/>
              </w:rPr>
            </w:pPr>
            <w:r>
              <w:rPr>
                <w:rFonts w:ascii="Arial" w:cs="Arial" w:eastAsia="Arial" w:hAnsi="Arial"/>
                <w:sz w:val="13"/>
                <w:szCs w:val="13"/>
                <w:color w:val="auto"/>
              </w:rPr>
              <w:t>Director</w:t>
            </w:r>
          </w:p>
        </w:tc>
      </w:tr>
      <w:tr>
        <w:trPr>
          <w:trHeight w:val="149"/>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Kurt C. Graves</w:t>
            </w:r>
          </w:p>
        </w:tc>
        <w:tc>
          <w:tcPr>
            <w:tcW w:w="72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color w:val="auto"/>
              </w:rPr>
              <w:t>52</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2015</w:t>
            </w:r>
          </w:p>
        </w:tc>
        <w:tc>
          <w:tcPr>
            <w:tcW w:w="448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Director</w:t>
            </w: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2"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GRÉGORY BEHAR</w:t>
      </w:r>
      <w:r>
        <w:rPr>
          <w:sz w:val="20"/>
          <w:szCs w:val="20"/>
          <w:color w:val="auto"/>
        </w:rPr>
        <w:tab/>
      </w:r>
      <w:r>
        <w:rPr>
          <w:rFonts w:ascii="Arial" w:cs="Arial" w:eastAsia="Arial" w:hAnsi="Arial"/>
          <w:sz w:val="13"/>
          <w:szCs w:val="13"/>
          <w:i w:val="1"/>
          <w:iCs w:val="1"/>
          <w:color w:val="auto"/>
        </w:rPr>
        <w:t>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Grégory Behar has served as a member of our Board of Directors since December 2014. Mr. Behar has served as Chief Executive Officer of Nestlé Health Science S.A., a health sciences company, since October 2014. From July 2011 to July 2014, Mr. Behar was President and Chief Executive Officer of Boehringer Ingelheim Pharmaceuticals Inc. (USA), a pharmaceutical company. From 2010 to July 2011, Mr. Behar was Corporate Vice President Region NECAR (North European Union, Canada and Australasia) for Boehringer-Ingelheim GmbH, a pharmaceutical company. Mr. Behar has served on the board of directors of Aimmune Therapeutics, Inc. since November 2016 and Axcella Health, Inc. since February 2016. Mr. Behar also serves on the boards of directors of numerous privately held companies. Mr. Behar received his B.S. in Mechanical Engineering from the University of California, Los Angeles, an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226060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7"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PAUL R. BIONDI</w:t>
      </w:r>
      <w:r>
        <w:rPr>
          <w:sz w:val="20"/>
          <w:szCs w:val="20"/>
          <w:color w:val="auto"/>
        </w:rPr>
        <w:tab/>
      </w:r>
      <w:r>
        <w:rPr>
          <w:rFonts w:ascii="Arial" w:cs="Arial" w:eastAsia="Arial" w:hAnsi="Arial"/>
          <w:sz w:val="13"/>
          <w:szCs w:val="13"/>
          <w:i w:val="1"/>
          <w:iCs w:val="1"/>
          <w:color w:val="auto"/>
        </w:rPr>
        <w:t>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Paul R. Biondi has served as a member of our Board of Directors since March 2020. Mr. Biondi is an Executive Partner at Flagship Pioneering where he has been since November 2019. Mr. Biondi joined Flagship Pioneering following a seventeen-year tenure at Bristol-Myers Squibb (“BMS”), a pharmaceutical company, where he was most recently the Senior Vice President of Strategy and Business Development. Prior to serving in the role of Senior Vice President of Strategy, from 2002 to 2015, Mr. Biondi held a series of other leadership roles within BMS’ Research and Development organization overseeing strategy, portfolio and project management, as well as clinical and business operations. Mr. Biondi holds a bachelor’s degree from Dartmouth College and an M.B.A. from the J.L. Kellogg School of Management at Northwestern University. We believe that Mr. Biondi is qualified to serve on our Board of Directors because of his extensive experience in biopharmaceutical strategy and corporate development.</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5"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KURT C. GRAVES</w:t>
      </w:r>
      <w:r>
        <w:rPr>
          <w:sz w:val="20"/>
          <w:szCs w:val="20"/>
          <w:color w:val="auto"/>
        </w:rPr>
        <w:tab/>
      </w:r>
      <w:r>
        <w:rPr>
          <w:rFonts w:ascii="Arial" w:cs="Arial" w:eastAsia="Arial" w:hAnsi="Arial"/>
          <w:sz w:val="13"/>
          <w:szCs w:val="13"/>
          <w:i w:val="1"/>
          <w:iCs w:val="1"/>
          <w:color w:val="auto"/>
        </w:rPr>
        <w:t>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20" w:right="120"/>
        <w:spacing w:after="0" w:line="251" w:lineRule="auto"/>
        <w:rPr>
          <w:sz w:val="20"/>
          <w:szCs w:val="20"/>
          <w:color w:val="auto"/>
        </w:rPr>
      </w:pPr>
      <w:r>
        <w:rPr>
          <w:rFonts w:ascii="Arial" w:cs="Arial" w:eastAsia="Arial" w:hAnsi="Arial"/>
          <w:sz w:val="17"/>
          <w:szCs w:val="17"/>
          <w:color w:val="auto"/>
        </w:rPr>
        <w:t>Kurt C. Graves has served as a member of our Board of Directors since November 2015. Mr. Graves has been the Chairman, President and Chief Executive Officer of Intarcia Therapeutics, Inc. (“Intarcia”), a biotechnology company, since April 2012 and Executive Chairman from August 2010 to April 2012. Mr. Graves previously served as Executive Chairman of Biolex Therapeutics, a biopharmaceutical company, from November 2010 to March 2012, and as Executive Chairman of Intarcia from August 2010 to April 2012. Previously, he served as Executive Vice President, Chief Commercial Officer and Head of Strategic Development at Vertex Pharmaceuticals Inc. (“Vertex”), from July 2007 to October 2009. Prior to joining Vertex, Mr. Graves held various leadership positions at Novartis Pharmaceuticals Corporation (“Novartis Corp.”), from 1999 to June 2007, including the Chief Marketing Officer for the pharmaceuticals division of Novartis Corp. from September 2003 to June 2007. He also has served on the boards directors of Intarcia Therapeutics, Inc. since 2010, Radius Health, Inc. since 2011, and Achillion Pharmaceuticals, Inc. since 2012.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CLASS I DIRECTORS (TERMS TO EXPIRE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current members of the Board of Directors who are Class I Directors are as follows: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60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22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Served as a</w:t>
            </w:r>
          </w:p>
        </w:tc>
        <w:tc>
          <w:tcPr>
            <w:tcW w:w="4480" w:type="dxa"/>
            <w:vAlign w:val="bottom"/>
            <w:shd w:val="clear" w:color="auto" w:fill="E5E5E5"/>
          </w:tcPr>
          <w:p>
            <w:pPr>
              <w:spacing w:after="0"/>
              <w:rPr>
                <w:sz w:val="13"/>
                <w:szCs w:val="13"/>
                <w:color w:val="auto"/>
              </w:rPr>
            </w:pPr>
          </w:p>
        </w:tc>
      </w:tr>
      <w:tr>
        <w:trPr>
          <w:trHeight w:val="165"/>
        </w:trPr>
        <w:tc>
          <w:tcPr>
            <w:tcW w:w="46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w:t>
            </w:r>
          </w:p>
        </w:tc>
        <w:tc>
          <w:tcPr>
            <w:tcW w:w="720" w:type="dxa"/>
            <w:vAlign w:val="bottom"/>
            <w:tcBorders>
              <w:bottom w:val="single" w:sz="8" w:color="auto"/>
            </w:tcBorders>
            <w:shd w:val="clear" w:color="auto" w:fill="E5E5E5"/>
          </w:tcPr>
          <w:p>
            <w:pPr>
              <w:jc w:val="center"/>
              <w:ind w:left="93"/>
              <w:spacing w:after="0"/>
              <w:rPr>
                <w:sz w:val="20"/>
                <w:szCs w:val="20"/>
                <w:color w:val="auto"/>
              </w:rPr>
            </w:pPr>
            <w:r>
              <w:rPr>
                <w:rFonts w:ascii="Arial" w:cs="Arial" w:eastAsia="Arial" w:hAnsi="Arial"/>
                <w:sz w:val="13"/>
                <w:szCs w:val="13"/>
                <w:b w:val="1"/>
                <w:bCs w:val="1"/>
                <w:color w:val="auto"/>
                <w:w w:val="97"/>
              </w:rPr>
              <w:t>Age</w:t>
            </w:r>
          </w:p>
        </w:tc>
        <w:tc>
          <w:tcPr>
            <w:tcW w:w="12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Director Since</w:t>
            </w:r>
          </w:p>
        </w:tc>
        <w:tc>
          <w:tcPr>
            <w:tcW w:w="44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3"/>
                <w:szCs w:val="13"/>
                <w:b w:val="1"/>
                <w:bCs w:val="1"/>
                <w:color w:val="auto"/>
              </w:rPr>
              <w:t>Position with Seres</w:t>
            </w:r>
          </w:p>
        </w:tc>
      </w:tr>
      <w:tr>
        <w:trPr>
          <w:trHeight w:val="141"/>
        </w:trPr>
        <w:tc>
          <w:tcPr>
            <w:tcW w:w="4600" w:type="dxa"/>
            <w:vAlign w:val="bottom"/>
          </w:tcPr>
          <w:p>
            <w:pPr>
              <w:ind w:left="60"/>
              <w:spacing w:after="0" w:line="141" w:lineRule="exact"/>
              <w:rPr>
                <w:sz w:val="20"/>
                <w:szCs w:val="20"/>
                <w:color w:val="auto"/>
              </w:rPr>
            </w:pPr>
            <w:r>
              <w:rPr>
                <w:rFonts w:ascii="Arial" w:cs="Arial" w:eastAsia="Arial" w:hAnsi="Arial"/>
                <w:sz w:val="13"/>
                <w:szCs w:val="13"/>
                <w:color w:val="auto"/>
              </w:rPr>
              <w:t>Dennis A. Ausiello, M.D.</w:t>
            </w:r>
          </w:p>
        </w:tc>
        <w:tc>
          <w:tcPr>
            <w:tcW w:w="720" w:type="dxa"/>
            <w:vAlign w:val="bottom"/>
          </w:tcPr>
          <w:p>
            <w:pPr>
              <w:jc w:val="center"/>
              <w:ind w:left="93"/>
              <w:spacing w:after="0" w:line="141" w:lineRule="exact"/>
              <w:rPr>
                <w:sz w:val="20"/>
                <w:szCs w:val="20"/>
                <w:color w:val="auto"/>
              </w:rPr>
            </w:pPr>
            <w:r>
              <w:rPr>
                <w:rFonts w:ascii="Arial" w:cs="Arial" w:eastAsia="Arial" w:hAnsi="Arial"/>
                <w:sz w:val="13"/>
                <w:szCs w:val="13"/>
                <w:color w:val="auto"/>
              </w:rPr>
              <w:t>74</w:t>
            </w:r>
          </w:p>
        </w:tc>
        <w:tc>
          <w:tcPr>
            <w:tcW w:w="1220" w:type="dxa"/>
            <w:vAlign w:val="bottom"/>
          </w:tcPr>
          <w:p>
            <w:pPr>
              <w:jc w:val="center"/>
              <w:spacing w:after="0" w:line="141" w:lineRule="exact"/>
              <w:rPr>
                <w:sz w:val="20"/>
                <w:szCs w:val="20"/>
                <w:color w:val="auto"/>
              </w:rPr>
            </w:pPr>
            <w:r>
              <w:rPr>
                <w:rFonts w:ascii="Arial" w:cs="Arial" w:eastAsia="Arial" w:hAnsi="Arial"/>
                <w:sz w:val="13"/>
                <w:szCs w:val="13"/>
                <w:color w:val="auto"/>
              </w:rPr>
              <w:t>2015</w:t>
            </w:r>
          </w:p>
        </w:tc>
        <w:tc>
          <w:tcPr>
            <w:tcW w:w="4480" w:type="dxa"/>
            <w:vAlign w:val="bottom"/>
          </w:tcPr>
          <w:p>
            <w:pPr>
              <w:ind w:left="160"/>
              <w:spacing w:after="0" w:line="141" w:lineRule="exact"/>
              <w:rPr>
                <w:sz w:val="20"/>
                <w:szCs w:val="20"/>
                <w:color w:val="auto"/>
              </w:rPr>
            </w:pPr>
            <w:r>
              <w:rPr>
                <w:rFonts w:ascii="Arial" w:cs="Arial" w:eastAsia="Arial" w:hAnsi="Arial"/>
                <w:sz w:val="13"/>
                <w:szCs w:val="13"/>
                <w:color w:val="auto"/>
              </w:rPr>
              <w:t>Director</w:t>
            </w:r>
          </w:p>
        </w:tc>
      </w:tr>
      <w:tr>
        <w:trPr>
          <w:trHeight w:val="148"/>
        </w:trPr>
        <w:tc>
          <w:tcPr>
            <w:tcW w:w="4600" w:type="dxa"/>
            <w:vAlign w:val="bottom"/>
          </w:tcPr>
          <w:p>
            <w:pPr>
              <w:ind w:left="60"/>
              <w:spacing w:after="0"/>
              <w:rPr>
                <w:sz w:val="20"/>
                <w:szCs w:val="20"/>
                <w:color w:val="auto"/>
              </w:rPr>
            </w:pPr>
            <w:r>
              <w:rPr>
                <w:rFonts w:ascii="Arial" w:cs="Arial" w:eastAsia="Arial" w:hAnsi="Arial"/>
                <w:sz w:val="13"/>
                <w:szCs w:val="13"/>
                <w:color w:val="auto"/>
              </w:rPr>
              <w:t>Willard H. Dere, M.D.</w:t>
            </w:r>
          </w:p>
        </w:tc>
        <w:tc>
          <w:tcPr>
            <w:tcW w:w="720" w:type="dxa"/>
            <w:vAlign w:val="bottom"/>
          </w:tcPr>
          <w:p>
            <w:pPr>
              <w:jc w:val="center"/>
              <w:ind w:left="93"/>
              <w:spacing w:after="0"/>
              <w:rPr>
                <w:sz w:val="20"/>
                <w:szCs w:val="20"/>
                <w:color w:val="auto"/>
              </w:rPr>
            </w:pPr>
            <w:r>
              <w:rPr>
                <w:rFonts w:ascii="Arial" w:cs="Arial" w:eastAsia="Arial" w:hAnsi="Arial"/>
                <w:sz w:val="13"/>
                <w:szCs w:val="13"/>
                <w:color w:val="auto"/>
              </w:rPr>
              <w:t>66</w:t>
            </w:r>
          </w:p>
        </w:tc>
        <w:tc>
          <w:tcPr>
            <w:tcW w:w="1220" w:type="dxa"/>
            <w:vAlign w:val="bottom"/>
          </w:tcPr>
          <w:p>
            <w:pPr>
              <w:jc w:val="center"/>
              <w:spacing w:after="0"/>
              <w:rPr>
                <w:sz w:val="20"/>
                <w:szCs w:val="20"/>
                <w:color w:val="auto"/>
              </w:rPr>
            </w:pPr>
            <w:r>
              <w:rPr>
                <w:rFonts w:ascii="Arial" w:cs="Arial" w:eastAsia="Arial" w:hAnsi="Arial"/>
                <w:sz w:val="13"/>
                <w:szCs w:val="13"/>
                <w:color w:val="auto"/>
              </w:rPr>
              <w:t>2017</w:t>
            </w:r>
          </w:p>
        </w:tc>
        <w:tc>
          <w:tcPr>
            <w:tcW w:w="4480" w:type="dxa"/>
            <w:vAlign w:val="bottom"/>
          </w:tcPr>
          <w:p>
            <w:pPr>
              <w:ind w:left="160"/>
              <w:spacing w:after="0"/>
              <w:rPr>
                <w:sz w:val="20"/>
                <w:szCs w:val="20"/>
                <w:color w:val="auto"/>
              </w:rPr>
            </w:pPr>
            <w:r>
              <w:rPr>
                <w:rFonts w:ascii="Arial" w:cs="Arial" w:eastAsia="Arial" w:hAnsi="Arial"/>
                <w:sz w:val="13"/>
                <w:szCs w:val="13"/>
                <w:color w:val="auto"/>
              </w:rPr>
              <w:t>Director</w:t>
            </w:r>
          </w:p>
        </w:tc>
      </w:tr>
      <w:tr>
        <w:trPr>
          <w:trHeight w:val="149"/>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Eric D. Shaff</w:t>
            </w:r>
          </w:p>
        </w:tc>
        <w:tc>
          <w:tcPr>
            <w:tcW w:w="72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color w:val="auto"/>
              </w:rPr>
              <w:t>44</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2019</w:t>
            </w:r>
          </w:p>
        </w:tc>
        <w:tc>
          <w:tcPr>
            <w:tcW w:w="448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President, Chief Executive Officer and Director</w:t>
            </w: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6995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2"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DENNIS A. AUSIELLO, M.D.</w:t>
      </w:r>
      <w:r>
        <w:rPr>
          <w:sz w:val="20"/>
          <w:szCs w:val="20"/>
          <w:color w:val="auto"/>
        </w:rPr>
        <w:tab/>
      </w:r>
      <w:r>
        <w:rPr>
          <w:rFonts w:ascii="Arial" w:cs="Arial" w:eastAsia="Arial" w:hAnsi="Arial"/>
          <w:sz w:val="13"/>
          <w:szCs w:val="13"/>
          <w:i w:val="1"/>
          <w:iCs w:val="1"/>
          <w:color w:val="auto"/>
        </w:rPr>
        <w:t>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jc w:val="both"/>
        <w:ind w:left="120" w:right="280"/>
        <w:spacing w:after="0" w:line="248" w:lineRule="auto"/>
        <w:rPr>
          <w:sz w:val="20"/>
          <w:szCs w:val="20"/>
          <w:color w:val="auto"/>
        </w:rPr>
      </w:pPr>
      <w:r>
        <w:rPr>
          <w:rFonts w:ascii="Arial" w:cs="Arial" w:eastAsia="Arial" w:hAnsi="Arial"/>
          <w:sz w:val="17"/>
          <w:szCs w:val="17"/>
          <w:color w:val="auto"/>
        </w:rPr>
        <w:t>Dennis A. Ausiello, M.D., has served as a member of our Board of Directors since April 2015. Dr. Ausiello serves as the Director of the Center for Assessment Technology and Continuous Health (CATCH), which he co-founded, Jackson Distinguished Professor of Clinical Medicine at Harvard Medical School and Physician-in-Chief Emeritus at Massachusetts General Hospital. From 1996 to April 2013,</w:t>
      </w:r>
    </w:p>
    <w:p>
      <w:pPr>
        <w:spacing w:after="0" w:line="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since April 2012 and previously served on the board of directors of Pfizer Inc.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5"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WILLARD H. DERE, M.D.</w:t>
      </w:r>
      <w:r>
        <w:rPr>
          <w:sz w:val="20"/>
          <w:szCs w:val="20"/>
          <w:color w:val="auto"/>
        </w:rPr>
        <w:tab/>
      </w:r>
      <w:r>
        <w:rPr>
          <w:rFonts w:ascii="Arial" w:cs="Arial" w:eastAsia="Arial" w:hAnsi="Arial"/>
          <w:sz w:val="13"/>
          <w:szCs w:val="13"/>
          <w:i w:val="1"/>
          <w:iCs w:val="1"/>
          <w:color w:val="auto"/>
        </w:rPr>
        <w:t>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Willard H. Dere, M.D., has served as a member our Board of Directors since July 2017. Dr. Dere has been Professor of Internal Medicine, B. Lue and Hope S. Bettilyon Presidential Endowed Chair in Internal Medicine for Diabetes Research, Executive Director of Personalized Health, and Co-Principal Investigator of the Center for Clinical and Translational Science at the University of Utah Health Sciences Center since November 2014 and Associate Vice President for Research since September 2019. Prior to his professorship, from 2003 until his retirement in October 2014, Dr. Dere held multiple roles at Amgen, Inc., including Head of Global Development, and both corporate and international Chief Medical Officer, and led development of programs in various therapeutic areas. Dr. Dere serves on the boards of directors of several companies including BioMarin Pharmaceutical, Inc. since 2016, Radius Health since 2014, and Mersana Therapeutics, Inc. since 2018. From October 2016 to December 2018, he served on the board of directors of Ocera Therapeutics. 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4"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ERIC D. SHAFF</w:t>
      </w:r>
      <w:r>
        <w:rPr>
          <w:sz w:val="20"/>
          <w:szCs w:val="20"/>
          <w:color w:val="auto"/>
        </w:rPr>
        <w:tab/>
      </w:r>
      <w:r>
        <w:rPr>
          <w:rFonts w:ascii="Arial" w:cs="Arial" w:eastAsia="Arial" w:hAnsi="Arial"/>
          <w:sz w:val="13"/>
          <w:szCs w:val="13"/>
          <w:i w:val="1"/>
          <w:iCs w:val="1"/>
          <w:color w:val="auto"/>
        </w:rPr>
        <w:t>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Eric D. Shaff has served as our Chief Executive Officer and a member of our Board of Directors since January 2019. Previously, he served as our Chief Operating and Financial Officer and Executive Vice President from January 2018 until January 2019 and as our Chief Financial Officer from November 2014 until January 2019. Mr. Shaff has also served on the board of directors of Sigilon Therapeutics, Inc. since November 2017. From January 2012 to November 2014, Mr. Shaff was Vice President of Corporate Finance for Momenta Pharmaceuticals (“Momenta”), a biotechnology company, where he helped manage Momenta’s accounting, finance, planning, and procurement functions, as well as contributing to Momenta’s investor relations efforts. From June 2004 to December 2011, Mr. Shaff held a number of corporate development and finance positions with Genzyme Corporation, a biotechnology company, most recently as Vice President of Finance/Controller for the Personalized Genetic Health division.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PROPOSAL 2</w:t>
      </w:r>
    </w:p>
    <w:p>
      <w:pPr>
        <w:ind w:left="120"/>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Audit Committee of the Board of Directors (the “Audit Committee”) has appointed PricewaterhouseCoopers LLP as our independent registered public accounting firm for the fiscal year ending December 31, 2020. Our Board of Directors has directed that this appointment be submitted to our stockholders for ratification. Although ratification of our appointment of PricewaterhouseCoopers LLP is not required, we value the opinions of our stockholders and believe that stockholder ratification of our appointment is a good corporate governance practice.</w:t>
      </w:r>
    </w:p>
    <w:p>
      <w:pPr>
        <w:spacing w:after="0" w:line="94"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PricewaterhouseCoopers LLP also served as our independent registered public accounting firm for the fiscal year ended December 31, 2019. Neither the accounting firm nor any of its members has any direct or indirect financial interest in or any connection with us in any capacity other than as our auditors, providing audit and non-audit related services. A representative of PricewaterhouseCoopers LLP is expected to attend the Annual Meeting and to have an opportunity to make a statement and be available to respond to appropriate questions from stockholders.</w:t>
      </w:r>
    </w:p>
    <w:p>
      <w:pPr>
        <w:spacing w:after="0" w:line="9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the event that the appointment of PricewaterhouseCoopers LLP is not ratified by the stockholders, the Audit Committee will consider this fact when it appoints the independent auditors for the fiscal year ending December 31, 2021. Even if the appointment of PricewaterhouseCoopers LLP is ratified, the Audit Committee retains the discretion to appoint a different independent auditor at any time if it determines that such a change is in the interest of our Company.</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Even though brokers have discretionary authority to vote on the ratification of the appointment of PricewaterhouseCoopers LLP, we do not expect any broker non-votes in connection with this proposal.</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8" w:lineRule="exact"/>
        <w:rPr>
          <w:sz w:val="20"/>
          <w:szCs w:val="20"/>
          <w:color w:val="auto"/>
        </w:rPr>
      </w:pPr>
    </w:p>
    <w:p>
      <w:pPr>
        <w:ind w:left="540" w:right="2020"/>
        <w:spacing w:after="0" w:line="271"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PricewaterhouseCoopers LLP as our Independent Registered Public Accounting Firm.</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Audit Committee of the Board of Directors (the “Audit Committee”) has reviewed the Company’s audited financial statements for the fiscal year ended December 31, 2019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those matters required to be discussed by the applicable requirements of the Public Company Accounting Oversight Board (“PCAOB”) and the SEC.</w:t>
      </w:r>
    </w:p>
    <w:p>
      <w:pPr>
        <w:spacing w:after="0" w:line="9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w:t>
      </w:r>
      <w:r>
        <w:rPr>
          <w:rFonts w:ascii="Arial" w:cs="Arial" w:eastAsia="Arial" w:hAnsi="Arial"/>
          <w:sz w:val="18"/>
          <w:szCs w:val="18"/>
          <w:i w:val="1"/>
          <w:iCs w:val="1"/>
          <w:color w:val="auto"/>
        </w:rPr>
        <w:t>Communications with Audit Committees Concerning Independence</w:t>
      </w:r>
      <w:r>
        <w:rPr>
          <w:rFonts w:ascii="Arial" w:cs="Arial" w:eastAsia="Arial" w:hAnsi="Arial"/>
          <w:sz w:val="18"/>
          <w:szCs w:val="18"/>
          <w:color w:val="auto"/>
        </w:rPr>
        <w:t>)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The Audit Committee also considered whether the independent registered public accounting firm’s provision of certain other non-audit related services to the Company is compatible with maintaining such firm’s independence.</w:t>
      </w:r>
    </w:p>
    <w:p>
      <w:pPr>
        <w:spacing w:after="0" w:line="95"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2019.</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N. Kender (Chair)</w:t>
      </w:r>
    </w:p>
    <w:p>
      <w:pPr>
        <w:ind w:left="120"/>
        <w:spacing w:after="0" w:line="234" w:lineRule="auto"/>
        <w:rPr>
          <w:sz w:val="20"/>
          <w:szCs w:val="20"/>
          <w:color w:val="auto"/>
        </w:rPr>
      </w:pPr>
      <w:r>
        <w:rPr>
          <w:rFonts w:ascii="Arial" w:cs="Arial" w:eastAsia="Arial" w:hAnsi="Arial"/>
          <w:sz w:val="18"/>
          <w:szCs w:val="18"/>
          <w:color w:val="auto"/>
        </w:rPr>
        <w:t>Willard H. Dere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Meryl S. Zausner</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The following table summarizes the fees of PricewaterhouseCoopers LLP, our independent registered public accounting firm, billed to us for each of the last two fiscal years for audit services and billed to us in each of the last two fiscal years for other services:</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8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Fee Category</w:t>
            </w:r>
          </w:p>
        </w:tc>
        <w:tc>
          <w:tcPr>
            <w:tcW w:w="400" w:type="dxa"/>
            <w:vAlign w:val="bottom"/>
            <w:tcBorders>
              <w:bottom w:val="single" w:sz="8" w:color="auto"/>
            </w:tcBorders>
            <w:shd w:val="clear" w:color="auto" w:fill="E5E5E5"/>
          </w:tcPr>
          <w:p>
            <w:pPr>
              <w:spacing w:after="0"/>
              <w:rPr>
                <w:sz w:val="14"/>
                <w:szCs w:val="14"/>
                <w:color w:val="auto"/>
              </w:rPr>
            </w:pPr>
          </w:p>
        </w:tc>
        <w:tc>
          <w:tcPr>
            <w:tcW w:w="760" w:type="dxa"/>
            <w:vAlign w:val="bottom"/>
            <w:tcBorders>
              <w:bottom w:val="single" w:sz="8" w:color="auto"/>
            </w:tcBorders>
            <w:shd w:val="clear" w:color="auto" w:fill="E5E5E5"/>
          </w:tcPr>
          <w:p>
            <w:pPr>
              <w:jc w:val="right"/>
              <w:ind w:right="293"/>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auto"/>
            </w:tcBorders>
            <w:shd w:val="clear" w:color="auto" w:fill="E5E5E5"/>
          </w:tcPr>
          <w:p>
            <w:pPr>
              <w:spacing w:after="0"/>
              <w:rPr>
                <w:sz w:val="14"/>
                <w:szCs w:val="14"/>
                <w:color w:val="auto"/>
              </w:rPr>
            </w:pPr>
          </w:p>
        </w:tc>
        <w:tc>
          <w:tcPr>
            <w:tcW w:w="820" w:type="dxa"/>
            <w:vAlign w:val="bottom"/>
            <w:tcBorders>
              <w:bottom w:val="single" w:sz="8" w:color="auto"/>
            </w:tcBorders>
            <w:shd w:val="clear" w:color="auto" w:fill="E5E5E5"/>
          </w:tcPr>
          <w:p>
            <w:pPr>
              <w:jc w:val="right"/>
              <w:ind w:right="333"/>
              <w:spacing w:after="0"/>
              <w:rPr>
                <w:sz w:val="20"/>
                <w:szCs w:val="20"/>
                <w:color w:val="auto"/>
              </w:rPr>
            </w:pPr>
            <w:r>
              <w:rPr>
                <w:rFonts w:ascii="Arial" w:cs="Arial" w:eastAsia="Arial" w:hAnsi="Arial"/>
                <w:sz w:val="13"/>
                <w:szCs w:val="13"/>
                <w:b w:val="1"/>
                <w:bCs w:val="1"/>
                <w:color w:val="auto"/>
              </w:rPr>
              <w:t>2018</w:t>
            </w:r>
          </w:p>
        </w:tc>
      </w:tr>
      <w:tr>
        <w:trPr>
          <w:trHeight w:val="142"/>
        </w:trPr>
        <w:tc>
          <w:tcPr>
            <w:tcW w:w="8800" w:type="dxa"/>
            <w:vAlign w:val="bottom"/>
          </w:tcPr>
          <w:p>
            <w:pPr>
              <w:ind w:left="60"/>
              <w:spacing w:after="0" w:line="142" w:lineRule="exact"/>
              <w:rPr>
                <w:sz w:val="20"/>
                <w:szCs w:val="20"/>
                <w:color w:val="auto"/>
              </w:rPr>
            </w:pPr>
            <w:r>
              <w:rPr>
                <w:rFonts w:ascii="Arial" w:cs="Arial" w:eastAsia="Arial" w:hAnsi="Arial"/>
                <w:sz w:val="13"/>
                <w:szCs w:val="13"/>
                <w:color w:val="auto"/>
              </w:rPr>
              <w:t>Audit Fees</w:t>
            </w:r>
          </w:p>
        </w:tc>
        <w:tc>
          <w:tcPr>
            <w:tcW w:w="400" w:type="dxa"/>
            <w:vAlign w:val="bottom"/>
          </w:tcPr>
          <w:p>
            <w:pPr>
              <w:jc w:val="right"/>
              <w:ind w:right="53"/>
              <w:spacing w:after="0" w:line="142"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line="142" w:lineRule="exact"/>
              <w:rPr>
                <w:sz w:val="20"/>
                <w:szCs w:val="20"/>
                <w:color w:val="auto"/>
              </w:rPr>
            </w:pPr>
            <w:r>
              <w:rPr>
                <w:rFonts w:ascii="Arial" w:cs="Arial" w:eastAsia="Arial" w:hAnsi="Arial"/>
                <w:sz w:val="13"/>
                <w:szCs w:val="13"/>
                <w:color w:val="auto"/>
              </w:rPr>
              <w:t>695,000</w:t>
            </w:r>
          </w:p>
        </w:tc>
        <w:tc>
          <w:tcPr>
            <w:tcW w:w="240" w:type="dxa"/>
            <w:vAlign w:val="bottom"/>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line="142" w:lineRule="exact"/>
              <w:rPr>
                <w:sz w:val="20"/>
                <w:szCs w:val="20"/>
                <w:color w:val="auto"/>
              </w:rPr>
            </w:pPr>
            <w:r>
              <w:rPr>
                <w:rFonts w:ascii="Arial" w:cs="Arial" w:eastAsia="Arial" w:hAnsi="Arial"/>
                <w:sz w:val="13"/>
                <w:szCs w:val="13"/>
                <w:color w:val="auto"/>
              </w:rPr>
              <w:t>488,000</w:t>
            </w:r>
          </w:p>
        </w:tc>
      </w:tr>
      <w:tr>
        <w:trPr>
          <w:trHeight w:val="148"/>
        </w:trPr>
        <w:tc>
          <w:tcPr>
            <w:tcW w:w="8800" w:type="dxa"/>
            <w:vAlign w:val="bottom"/>
            <w:shd w:val="clear" w:color="auto" w:fill="D8D8D8"/>
          </w:tcPr>
          <w:p>
            <w:pPr>
              <w:ind w:left="60"/>
              <w:spacing w:after="0"/>
              <w:rPr>
                <w:sz w:val="20"/>
                <w:szCs w:val="20"/>
                <w:color w:val="auto"/>
              </w:rPr>
            </w:pPr>
            <w:r>
              <w:rPr>
                <w:rFonts w:ascii="Arial" w:cs="Arial" w:eastAsia="Arial" w:hAnsi="Arial"/>
                <w:sz w:val="13"/>
                <w:szCs w:val="13"/>
                <w:color w:val="auto"/>
              </w:rPr>
              <w:t>Audit-Related Fees</w:t>
            </w:r>
          </w:p>
        </w:tc>
        <w:tc>
          <w:tcPr>
            <w:tcW w:w="40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50,000</w:t>
            </w:r>
          </w:p>
        </w:tc>
        <w:tc>
          <w:tcPr>
            <w:tcW w:w="24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20,000</w:t>
            </w:r>
          </w:p>
        </w:tc>
      </w:tr>
      <w:tr>
        <w:trPr>
          <w:trHeight w:val="149"/>
        </w:trPr>
        <w:tc>
          <w:tcPr>
            <w:tcW w:w="8800" w:type="dxa"/>
            <w:vAlign w:val="bottom"/>
          </w:tcPr>
          <w:p>
            <w:pPr>
              <w:ind w:left="60"/>
              <w:spacing w:after="0"/>
              <w:rPr>
                <w:sz w:val="20"/>
                <w:szCs w:val="20"/>
                <w:color w:val="auto"/>
              </w:rPr>
            </w:pPr>
            <w:r>
              <w:rPr>
                <w:rFonts w:ascii="Arial" w:cs="Arial" w:eastAsia="Arial" w:hAnsi="Arial"/>
                <w:sz w:val="13"/>
                <w:szCs w:val="13"/>
                <w:color w:val="auto"/>
              </w:rPr>
              <w:t>Tax Fees</w:t>
            </w:r>
          </w:p>
        </w:tc>
        <w:tc>
          <w:tcPr>
            <w:tcW w:w="4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r>
      <w:tr>
        <w:trPr>
          <w:trHeight w:val="148"/>
        </w:trPr>
        <w:tc>
          <w:tcPr>
            <w:tcW w:w="8800" w:type="dxa"/>
            <w:vAlign w:val="bottom"/>
            <w:shd w:val="clear" w:color="auto" w:fill="D8D8D8"/>
          </w:tcPr>
          <w:p>
            <w:pPr>
              <w:ind w:left="60"/>
              <w:spacing w:after="0"/>
              <w:rPr>
                <w:sz w:val="20"/>
                <w:szCs w:val="20"/>
                <w:color w:val="auto"/>
              </w:rPr>
            </w:pPr>
            <w:r>
              <w:rPr>
                <w:rFonts w:ascii="Arial" w:cs="Arial" w:eastAsia="Arial" w:hAnsi="Arial"/>
                <w:sz w:val="13"/>
                <w:szCs w:val="13"/>
                <w:color w:val="auto"/>
              </w:rPr>
              <w:t>All Other Fees</w:t>
            </w:r>
          </w:p>
        </w:tc>
        <w:tc>
          <w:tcPr>
            <w:tcW w:w="40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900</w:t>
            </w:r>
          </w:p>
        </w:tc>
        <w:tc>
          <w:tcPr>
            <w:tcW w:w="240" w:type="dxa"/>
            <w:vAlign w:val="bottom"/>
            <w:shd w:val="clear" w:color="auto" w:fill="D8D8D8"/>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900</w:t>
            </w:r>
          </w:p>
        </w:tc>
      </w:tr>
      <w:tr>
        <w:trPr>
          <w:trHeight w:val="148"/>
        </w:trPr>
        <w:tc>
          <w:tcPr>
            <w:tcW w:w="88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Total Fees</w:t>
            </w: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745,900</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508,900</w:t>
            </w:r>
          </w:p>
        </w:tc>
      </w:tr>
    </w:tbl>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 and services performed in connection with the public offering of our Common Stock in June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Audit-related fees in 2019 consist of fees in connection with an audit of our grant from CARB-X. Audit-related fees in 2018 consist of fees for services performed related to our adoption of the new lease accounting standard in the first quarter of 2019.</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such fees incurred in 2019 or 2018.</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820"/>
        <w:spacing w:after="0" w:line="246" w:lineRule="auto"/>
        <w:rPr>
          <w:sz w:val="20"/>
          <w:szCs w:val="20"/>
          <w:color w:val="auto"/>
        </w:rPr>
      </w:pPr>
      <w:r>
        <w:rPr>
          <w:rFonts w:ascii="Arial" w:cs="Arial" w:eastAsia="Arial" w:hAnsi="Arial"/>
          <w:sz w:val="18"/>
          <w:szCs w:val="18"/>
          <w:color w:val="auto"/>
        </w:rPr>
        <w:t>All Other Fees in 2019 and 2018 represent non-audit fees in connection with access to the PricewaterhouseCoopers LLP on-line accounting research and disclosures database.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COMMITTEE PRE-APPROVAL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140"/>
        <w:spacing w:after="0" w:line="235" w:lineRule="auto"/>
        <w:rPr>
          <w:sz w:val="20"/>
          <w:szCs w:val="20"/>
          <w:color w:val="auto"/>
        </w:rPr>
      </w:pPr>
      <w:r>
        <w:rPr>
          <w:rFonts w:ascii="Arial" w:cs="Arial" w:eastAsia="Arial" w:hAnsi="Arial"/>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4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w:t>
            </w:r>
          </w:p>
        </w:tc>
        <w:tc>
          <w:tcPr>
            <w:tcW w:w="4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3"/>
                <w:szCs w:val="13"/>
                <w:b w:val="1"/>
                <w:bCs w:val="1"/>
                <w:color w:val="auto"/>
              </w:rPr>
              <w:t>Age</w:t>
            </w:r>
          </w:p>
        </w:tc>
        <w:tc>
          <w:tcPr>
            <w:tcW w:w="8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Position</w:t>
            </w:r>
          </w:p>
        </w:tc>
      </w:tr>
      <w:tr>
        <w:trPr>
          <w:trHeight w:val="142"/>
        </w:trPr>
        <w:tc>
          <w:tcPr>
            <w:tcW w:w="2400" w:type="dxa"/>
            <w:vAlign w:val="bottom"/>
          </w:tcPr>
          <w:p>
            <w:pPr>
              <w:ind w:left="60"/>
              <w:spacing w:after="0" w:line="142" w:lineRule="exact"/>
              <w:rPr>
                <w:sz w:val="20"/>
                <w:szCs w:val="20"/>
                <w:color w:val="auto"/>
              </w:rPr>
            </w:pPr>
            <w:r>
              <w:rPr>
                <w:rFonts w:ascii="Arial" w:cs="Arial" w:eastAsia="Arial" w:hAnsi="Arial"/>
                <w:sz w:val="13"/>
                <w:szCs w:val="13"/>
                <w:color w:val="auto"/>
              </w:rPr>
              <w:t>Eric D. Shaff</w:t>
            </w:r>
            <w:r>
              <w:rPr>
                <w:rFonts w:ascii="Arial" w:cs="Arial" w:eastAsia="Arial" w:hAnsi="Arial"/>
                <w:sz w:val="11"/>
                <w:szCs w:val="11"/>
                <w:color w:val="auto"/>
              </w:rPr>
              <w:t>(1)</w:t>
            </w:r>
          </w:p>
        </w:tc>
        <w:tc>
          <w:tcPr>
            <w:tcW w:w="440" w:type="dxa"/>
            <w:vAlign w:val="bottom"/>
          </w:tcPr>
          <w:p>
            <w:pPr>
              <w:jc w:val="right"/>
              <w:ind w:right="13"/>
              <w:spacing w:after="0" w:line="142" w:lineRule="exact"/>
              <w:rPr>
                <w:sz w:val="20"/>
                <w:szCs w:val="20"/>
                <w:color w:val="auto"/>
              </w:rPr>
            </w:pPr>
            <w:r>
              <w:rPr>
                <w:rFonts w:ascii="Arial" w:cs="Arial" w:eastAsia="Arial" w:hAnsi="Arial"/>
                <w:sz w:val="13"/>
                <w:szCs w:val="13"/>
                <w:color w:val="auto"/>
              </w:rPr>
              <w:t>44</w:t>
            </w:r>
          </w:p>
        </w:tc>
        <w:tc>
          <w:tcPr>
            <w:tcW w:w="8180" w:type="dxa"/>
            <w:vAlign w:val="bottom"/>
          </w:tcPr>
          <w:p>
            <w:pPr>
              <w:ind w:left="80"/>
              <w:spacing w:after="0" w:line="142" w:lineRule="exact"/>
              <w:rPr>
                <w:sz w:val="20"/>
                <w:szCs w:val="20"/>
                <w:color w:val="auto"/>
              </w:rPr>
            </w:pPr>
            <w:r>
              <w:rPr>
                <w:rFonts w:ascii="Arial" w:cs="Arial" w:eastAsia="Arial" w:hAnsi="Arial"/>
                <w:sz w:val="13"/>
                <w:szCs w:val="13"/>
                <w:color w:val="auto"/>
              </w:rPr>
              <w:t>President and Chief Executive Officer</w:t>
            </w:r>
          </w:p>
        </w:tc>
      </w:tr>
      <w:tr>
        <w:trPr>
          <w:trHeight w:val="148"/>
        </w:trPr>
        <w:tc>
          <w:tcPr>
            <w:tcW w:w="2400" w:type="dxa"/>
            <w:vAlign w:val="bottom"/>
            <w:shd w:val="clear" w:color="auto" w:fill="D8D8D8"/>
          </w:tcPr>
          <w:p>
            <w:pPr>
              <w:ind w:left="60"/>
              <w:spacing w:after="0"/>
              <w:rPr>
                <w:sz w:val="20"/>
                <w:szCs w:val="20"/>
                <w:color w:val="auto"/>
              </w:rPr>
            </w:pPr>
            <w:r>
              <w:rPr>
                <w:rFonts w:ascii="Arial" w:cs="Arial" w:eastAsia="Arial" w:hAnsi="Arial"/>
                <w:sz w:val="13"/>
                <w:szCs w:val="13"/>
                <w:color w:val="auto"/>
              </w:rPr>
              <w:t>John G. Aunins, Ph.D.</w:t>
            </w:r>
            <w:r>
              <w:rPr>
                <w:rFonts w:ascii="Arial" w:cs="Arial" w:eastAsia="Arial" w:hAnsi="Arial"/>
                <w:sz w:val="11"/>
                <w:szCs w:val="11"/>
                <w:color w:val="auto"/>
              </w:rPr>
              <w:t>(2)</w:t>
            </w:r>
          </w:p>
        </w:tc>
        <w:tc>
          <w:tcPr>
            <w:tcW w:w="44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59</w:t>
            </w:r>
          </w:p>
        </w:tc>
        <w:tc>
          <w:tcPr>
            <w:tcW w:w="8180" w:type="dxa"/>
            <w:vAlign w:val="bottom"/>
            <w:shd w:val="clear" w:color="auto" w:fill="D8D8D8"/>
          </w:tcPr>
          <w:p>
            <w:pPr>
              <w:ind w:left="80"/>
              <w:spacing w:after="0"/>
              <w:rPr>
                <w:sz w:val="20"/>
                <w:szCs w:val="20"/>
                <w:color w:val="auto"/>
              </w:rPr>
            </w:pPr>
            <w:r>
              <w:rPr>
                <w:rFonts w:ascii="Arial" w:cs="Arial" w:eastAsia="Arial" w:hAnsi="Arial"/>
                <w:sz w:val="13"/>
                <w:szCs w:val="13"/>
                <w:color w:val="auto"/>
              </w:rPr>
              <w:t>Executive Vice President of Bioprocess &amp; Manufacturing and Chief Technology Officer</w:t>
            </w:r>
          </w:p>
        </w:tc>
      </w:tr>
      <w:tr>
        <w:trPr>
          <w:trHeight w:val="149"/>
        </w:trPr>
        <w:tc>
          <w:tcPr>
            <w:tcW w:w="2400" w:type="dxa"/>
            <w:vAlign w:val="bottom"/>
          </w:tcPr>
          <w:p>
            <w:pPr>
              <w:ind w:left="60"/>
              <w:spacing w:after="0"/>
              <w:rPr>
                <w:sz w:val="20"/>
                <w:szCs w:val="20"/>
                <w:color w:val="auto"/>
              </w:rPr>
            </w:pPr>
            <w:r>
              <w:rPr>
                <w:rFonts w:ascii="Arial" w:cs="Arial" w:eastAsia="Arial" w:hAnsi="Arial"/>
                <w:sz w:val="13"/>
                <w:szCs w:val="13"/>
                <w:color w:val="auto"/>
              </w:rPr>
              <w:t>Marcus Chapman</w:t>
            </w:r>
            <w:r>
              <w:rPr>
                <w:rFonts w:ascii="Arial" w:cs="Arial" w:eastAsia="Arial" w:hAnsi="Arial"/>
                <w:sz w:val="11"/>
                <w:szCs w:val="11"/>
                <w:color w:val="auto"/>
              </w:rPr>
              <w:t>(3)</w:t>
            </w:r>
          </w:p>
        </w:tc>
        <w:tc>
          <w:tcPr>
            <w:tcW w:w="440" w:type="dxa"/>
            <w:vAlign w:val="bottom"/>
          </w:tcPr>
          <w:p>
            <w:pPr>
              <w:jc w:val="right"/>
              <w:ind w:right="13"/>
              <w:spacing w:after="0"/>
              <w:rPr>
                <w:sz w:val="20"/>
                <w:szCs w:val="20"/>
                <w:color w:val="auto"/>
              </w:rPr>
            </w:pPr>
            <w:r>
              <w:rPr>
                <w:rFonts w:ascii="Arial" w:cs="Arial" w:eastAsia="Arial" w:hAnsi="Arial"/>
                <w:sz w:val="13"/>
                <w:szCs w:val="13"/>
                <w:color w:val="auto"/>
              </w:rPr>
              <w:t>49</w:t>
            </w:r>
          </w:p>
        </w:tc>
        <w:tc>
          <w:tcPr>
            <w:tcW w:w="8180" w:type="dxa"/>
            <w:vAlign w:val="bottom"/>
          </w:tcPr>
          <w:p>
            <w:pPr>
              <w:ind w:left="80"/>
              <w:spacing w:after="0"/>
              <w:rPr>
                <w:sz w:val="20"/>
                <w:szCs w:val="20"/>
                <w:color w:val="auto"/>
              </w:rPr>
            </w:pPr>
            <w:r>
              <w:rPr>
                <w:rFonts w:ascii="Arial" w:cs="Arial" w:eastAsia="Arial" w:hAnsi="Arial"/>
                <w:sz w:val="13"/>
                <w:szCs w:val="13"/>
                <w:color w:val="auto"/>
              </w:rPr>
              <w:t>Senior Vice President, Finance and Principal Financial and Accounting Officer</w:t>
            </w:r>
          </w:p>
        </w:tc>
      </w:tr>
      <w:tr>
        <w:trPr>
          <w:trHeight w:val="148"/>
        </w:trPr>
        <w:tc>
          <w:tcPr>
            <w:tcW w:w="2400" w:type="dxa"/>
            <w:vAlign w:val="bottom"/>
            <w:shd w:val="clear" w:color="auto" w:fill="D8D8D8"/>
          </w:tcPr>
          <w:p>
            <w:pPr>
              <w:ind w:left="60"/>
              <w:spacing w:after="0"/>
              <w:rPr>
                <w:sz w:val="20"/>
                <w:szCs w:val="20"/>
                <w:color w:val="auto"/>
              </w:rPr>
            </w:pPr>
            <w:r>
              <w:rPr>
                <w:rFonts w:ascii="Arial" w:cs="Arial" w:eastAsia="Arial" w:hAnsi="Arial"/>
                <w:sz w:val="13"/>
                <w:szCs w:val="13"/>
                <w:color w:val="auto"/>
              </w:rPr>
              <w:t>Thomas J. DesRosier</w:t>
            </w:r>
            <w:r>
              <w:rPr>
                <w:rFonts w:ascii="Arial" w:cs="Arial" w:eastAsia="Arial" w:hAnsi="Arial"/>
                <w:sz w:val="11"/>
                <w:szCs w:val="11"/>
                <w:color w:val="auto"/>
              </w:rPr>
              <w:t>(4)</w:t>
            </w:r>
          </w:p>
        </w:tc>
        <w:tc>
          <w:tcPr>
            <w:tcW w:w="44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65</w:t>
            </w:r>
          </w:p>
        </w:tc>
        <w:tc>
          <w:tcPr>
            <w:tcW w:w="8180" w:type="dxa"/>
            <w:vAlign w:val="bottom"/>
            <w:shd w:val="clear" w:color="auto" w:fill="D8D8D8"/>
          </w:tcPr>
          <w:p>
            <w:pPr>
              <w:ind w:left="80"/>
              <w:spacing w:after="0"/>
              <w:rPr>
                <w:sz w:val="20"/>
                <w:szCs w:val="20"/>
                <w:color w:val="auto"/>
              </w:rPr>
            </w:pPr>
            <w:r>
              <w:rPr>
                <w:rFonts w:ascii="Arial" w:cs="Arial" w:eastAsia="Arial" w:hAnsi="Arial"/>
                <w:sz w:val="13"/>
                <w:szCs w:val="13"/>
                <w:color w:val="auto"/>
              </w:rPr>
              <w:t>Executive Vice President and Chief Legal Officer</w:t>
            </w:r>
          </w:p>
        </w:tc>
      </w:tr>
      <w:tr>
        <w:trPr>
          <w:trHeight w:val="148"/>
        </w:trPr>
        <w:tc>
          <w:tcPr>
            <w:tcW w:w="2400" w:type="dxa"/>
            <w:vAlign w:val="bottom"/>
          </w:tcPr>
          <w:p>
            <w:pPr>
              <w:ind w:left="60"/>
              <w:spacing w:after="0"/>
              <w:rPr>
                <w:sz w:val="20"/>
                <w:szCs w:val="20"/>
                <w:color w:val="auto"/>
              </w:rPr>
            </w:pPr>
            <w:r>
              <w:rPr>
                <w:rFonts w:ascii="Arial" w:cs="Arial" w:eastAsia="Arial" w:hAnsi="Arial"/>
                <w:sz w:val="13"/>
                <w:szCs w:val="13"/>
                <w:color w:val="auto"/>
              </w:rPr>
              <w:t>Matthew Henn, Ph.D.</w:t>
            </w:r>
            <w:r>
              <w:rPr>
                <w:rFonts w:ascii="Arial" w:cs="Arial" w:eastAsia="Arial" w:hAnsi="Arial"/>
                <w:sz w:val="11"/>
                <w:szCs w:val="11"/>
                <w:color w:val="auto"/>
              </w:rPr>
              <w:t>(5)</w:t>
            </w:r>
          </w:p>
        </w:tc>
        <w:tc>
          <w:tcPr>
            <w:tcW w:w="440" w:type="dxa"/>
            <w:vAlign w:val="bottom"/>
          </w:tcPr>
          <w:p>
            <w:pPr>
              <w:jc w:val="right"/>
              <w:ind w:right="13"/>
              <w:spacing w:after="0"/>
              <w:rPr>
                <w:sz w:val="20"/>
                <w:szCs w:val="20"/>
                <w:color w:val="auto"/>
              </w:rPr>
            </w:pPr>
            <w:r>
              <w:rPr>
                <w:rFonts w:ascii="Arial" w:cs="Arial" w:eastAsia="Arial" w:hAnsi="Arial"/>
                <w:sz w:val="13"/>
                <w:szCs w:val="13"/>
                <w:color w:val="auto"/>
              </w:rPr>
              <w:t>45</w:t>
            </w:r>
          </w:p>
        </w:tc>
        <w:tc>
          <w:tcPr>
            <w:tcW w:w="8180" w:type="dxa"/>
            <w:vAlign w:val="bottom"/>
          </w:tcPr>
          <w:p>
            <w:pPr>
              <w:ind w:left="80"/>
              <w:spacing w:after="0"/>
              <w:rPr>
                <w:sz w:val="20"/>
                <w:szCs w:val="20"/>
                <w:color w:val="auto"/>
              </w:rPr>
            </w:pPr>
            <w:r>
              <w:rPr>
                <w:rFonts w:ascii="Arial" w:cs="Arial" w:eastAsia="Arial" w:hAnsi="Arial"/>
                <w:sz w:val="13"/>
                <w:szCs w:val="13"/>
                <w:color w:val="auto"/>
              </w:rPr>
              <w:t>Executive Vice President and Chief Scientific Officer</w:t>
            </w:r>
          </w:p>
        </w:tc>
      </w:tr>
      <w:tr>
        <w:trPr>
          <w:trHeight w:val="148"/>
        </w:trPr>
        <w:tc>
          <w:tcPr>
            <w:tcW w:w="2400" w:type="dxa"/>
            <w:vAlign w:val="bottom"/>
            <w:shd w:val="clear" w:color="auto" w:fill="D8D8D8"/>
          </w:tcPr>
          <w:p>
            <w:pPr>
              <w:ind w:left="60"/>
              <w:spacing w:after="0"/>
              <w:rPr>
                <w:sz w:val="20"/>
                <w:szCs w:val="20"/>
                <w:color w:val="auto"/>
              </w:rPr>
            </w:pPr>
            <w:r>
              <w:rPr>
                <w:rFonts w:ascii="Arial" w:cs="Arial" w:eastAsia="Arial" w:hAnsi="Arial"/>
                <w:sz w:val="13"/>
                <w:szCs w:val="13"/>
                <w:color w:val="auto"/>
              </w:rPr>
              <w:t>Lisa von Moltke, M.D.</w:t>
            </w:r>
            <w:r>
              <w:rPr>
                <w:rFonts w:ascii="Arial" w:cs="Arial" w:eastAsia="Arial" w:hAnsi="Arial"/>
                <w:sz w:val="11"/>
                <w:szCs w:val="11"/>
                <w:color w:val="auto"/>
              </w:rPr>
              <w:t>(6)</w:t>
            </w:r>
          </w:p>
        </w:tc>
        <w:tc>
          <w:tcPr>
            <w:tcW w:w="440" w:type="dxa"/>
            <w:vAlign w:val="bottom"/>
            <w:shd w:val="clear" w:color="auto" w:fill="D8D8D8"/>
          </w:tcPr>
          <w:p>
            <w:pPr>
              <w:jc w:val="right"/>
              <w:ind w:right="13"/>
              <w:spacing w:after="0"/>
              <w:rPr>
                <w:sz w:val="20"/>
                <w:szCs w:val="20"/>
                <w:color w:val="auto"/>
              </w:rPr>
            </w:pPr>
            <w:r>
              <w:rPr>
                <w:rFonts w:ascii="Arial" w:cs="Arial" w:eastAsia="Arial" w:hAnsi="Arial"/>
                <w:sz w:val="13"/>
                <w:szCs w:val="13"/>
                <w:color w:val="auto"/>
              </w:rPr>
              <w:t>61</w:t>
            </w:r>
          </w:p>
        </w:tc>
        <w:tc>
          <w:tcPr>
            <w:tcW w:w="8180" w:type="dxa"/>
            <w:vAlign w:val="bottom"/>
            <w:shd w:val="clear" w:color="auto" w:fill="D8D8D8"/>
          </w:tcPr>
          <w:p>
            <w:pPr>
              <w:ind w:left="80"/>
              <w:spacing w:after="0"/>
              <w:rPr>
                <w:sz w:val="20"/>
                <w:szCs w:val="20"/>
                <w:color w:val="auto"/>
              </w:rPr>
            </w:pPr>
            <w:r>
              <w:rPr>
                <w:rFonts w:ascii="Arial" w:cs="Arial" w:eastAsia="Arial" w:hAnsi="Arial"/>
                <w:sz w:val="13"/>
                <w:szCs w:val="13"/>
                <w:color w:val="auto"/>
              </w:rPr>
              <w:t>Executive Vice President and Chief Medical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340" w:hanging="224"/>
        <w:spacing w:after="0"/>
        <w:tabs>
          <w:tab w:leader="none" w:pos="340" w:val="left"/>
        </w:tabs>
        <w:numPr>
          <w:ilvl w:val="0"/>
          <w:numId w:val="8"/>
        </w:numPr>
        <w:rPr>
          <w:rFonts w:ascii="Arial" w:cs="Arial" w:eastAsia="Arial" w:hAnsi="Arial"/>
          <w:sz w:val="11"/>
          <w:szCs w:val="11"/>
          <w:color w:val="auto"/>
        </w:rPr>
      </w:pPr>
      <w:r>
        <w:rPr>
          <w:rFonts w:ascii="Arial" w:cs="Arial" w:eastAsia="Arial" w:hAnsi="Arial"/>
          <w:sz w:val="13"/>
          <w:szCs w:val="13"/>
          <w:color w:val="auto"/>
        </w:rPr>
        <w:t>See biography on page 10 of this proxy statement.</w:t>
      </w:r>
    </w:p>
    <w:p>
      <w:pPr>
        <w:spacing w:after="0" w:line="67" w:lineRule="exact"/>
        <w:rPr>
          <w:sz w:val="20"/>
          <w:szCs w:val="20"/>
          <w:color w:val="auto"/>
        </w:rPr>
      </w:pPr>
    </w:p>
    <w:p>
      <w:pPr>
        <w:ind w:left="340" w:right="160" w:hanging="224"/>
        <w:spacing w:after="0" w:line="243"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3"/>
          <w:szCs w:val="13"/>
          <w:color w:val="auto"/>
        </w:rPr>
        <w:t>John G. Aunins, Ph.D., has served as our Chief Technology Officer and Executive Vice President of Bioprocess Development since December 2012. Prior to joining our Company, Dr. Aunins served on our Scientific Advisory Board from February 2012 to December 2012. From April 1989 to November 2011, Dr. Aunins served in various roles at Merck, most recently as Executive Science Director. At Merck, Dr. Aunins led process and product development teams for six licensed vaccines and multiple vaccine candidates. He is a Fellow of the American Institute for Medical and Biological Engineering and an adjunct Full Professor at the Instituto de Tecnologia Quimica e Biologica in Oeiras, Portugal. Dr. Aunins received his B.S. from the University of Kansas and his Ph.D. in Chemical Engineering from MIT.</w:t>
      </w:r>
    </w:p>
    <w:p>
      <w:pPr>
        <w:spacing w:after="0" w:line="53" w:lineRule="exact"/>
        <w:rPr>
          <w:sz w:val="20"/>
          <w:szCs w:val="20"/>
          <w:color w:val="auto"/>
        </w:rPr>
      </w:pPr>
    </w:p>
    <w:p>
      <w:pPr>
        <w:ind w:left="340" w:right="20" w:hanging="224"/>
        <w:spacing w:after="0" w:line="241"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3"/>
          <w:szCs w:val="13"/>
          <w:color w:val="auto"/>
        </w:rPr>
        <w:t>Marcus Chapman has served as our Senior Vice President, Finance since January 2018 and as Principal Financial and Accounting Officer since April 2019. Since joining our company in March 2015, he has held positions of increasing seniority, most recently as our Senior Director of Finance from March 2015 to January 2018. Prior to joining our company, Mr. Chapman served in roles of increasing seniority from August 2007 to March 2015, culminating as Senior Director of Finance and Interim Head of Finance for Takeda Oncology (“Takeda”), the oncology business unit of Takeda Pharmaceuticals Co. Ltd. In these roles, Mr. Chapman oversaw finance functions supporting U.S. sales, U.S. and global marketing, operations, global medical affairs and manufacturing. Prior to Takeda, Mr. Chapman held senior roles at Clarion Healthcare Consulting and Strategic Decisions Group. He began his career at LaSalle Partners in their Investment Banking and Investment Management groups. Mr. Chapman received his B.A. in Economics from Wheaton College and his MBA from The Tuck School of Business at Dartmouth College.</w:t>
      </w:r>
    </w:p>
    <w:p>
      <w:pPr>
        <w:spacing w:after="0" w:line="56" w:lineRule="exact"/>
        <w:rPr>
          <w:sz w:val="20"/>
          <w:szCs w:val="20"/>
          <w:color w:val="auto"/>
        </w:rPr>
      </w:pPr>
    </w:p>
    <w:p>
      <w:pPr>
        <w:ind w:left="340" w:right="40" w:hanging="224"/>
        <w:spacing w:after="0" w:line="241"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3"/>
          <w:szCs w:val="13"/>
          <w:color w:val="auto"/>
        </w:rPr>
        <w:t>Thomas J. DesRosier has served as our Chief Legal Officer, Executive Vice President, and Secretary since May 2016. Previously, he served as Executive Vice President, Chief Legal and Administrative Officer and Secretary of ARIAD Pharmaceuticals, Inc., a biopharmaceutical company, from 2015 to 2016, Executive Vice President, Chief Legal and Administrative Officer and Secretary of Cubist Pharmaceuticals, Inc. (“Cubist”), a biopharmaceutical company, from 2014 to 2015 and Senior Vice President, Chief Legal Officer and Secretary of Cubist from 2013 to 2014. Before that, Mr. DesRosier served as Senior Vice President, General Counsel North America of Sanofi S.A., a global biopharmaceutical company, from 2011 to 2013. From 1999 to 2011, Mr. DesRosier held leadership roles of increasing seniority within the legal group of Genzyme Corporation, a biotechnology company, culminating in his role as Senior Vice President, Chief Legal Officer. Mr. DesRosier serves as a member of the board of directors of Avanir Pharmaceuticals, a wholly-owned subsidiary of Otsuka Pharmaceutical Company, Ltd. Mr. DesRosier earned a B.A. in Chemistry from the University of Vermont and a J.D. from Wake Forest University School of Law.</w:t>
      </w:r>
    </w:p>
    <w:p>
      <w:pPr>
        <w:spacing w:after="0" w:line="205" w:lineRule="exact"/>
        <w:rPr>
          <w:sz w:val="20"/>
          <w:szCs w:val="20"/>
          <w:color w:val="auto"/>
        </w:rPr>
      </w:pPr>
    </w:p>
    <w:p>
      <w:pPr>
        <w:ind w:left="340" w:right="180" w:hanging="224"/>
        <w:spacing w:after="0" w:line="241" w:lineRule="auto"/>
        <w:tabs>
          <w:tab w:leader="none" w:pos="340" w:val="left"/>
        </w:tabs>
        <w:numPr>
          <w:ilvl w:val="0"/>
          <w:numId w:val="12"/>
        </w:numPr>
        <w:rPr>
          <w:rFonts w:ascii="Arial" w:cs="Arial" w:eastAsia="Arial" w:hAnsi="Arial"/>
          <w:sz w:val="11"/>
          <w:szCs w:val="11"/>
          <w:color w:val="auto"/>
        </w:rPr>
      </w:pPr>
      <w:r>
        <w:rPr>
          <w:rFonts w:ascii="Arial" w:cs="Arial" w:eastAsia="Arial" w:hAnsi="Arial"/>
          <w:sz w:val="13"/>
          <w:szCs w:val="13"/>
          <w:color w:val="auto"/>
        </w:rPr>
        <w:t>Matthew Henn, Ph.D., has served as our Executive Vice President and Chief Scientific Officer since February 2019. Since joining our company at its launch in June 2012, he has held positions of increasing seniority, most recently as Executive Vice President, Head of Discovery and Microbiome R&amp;D from January 2018 to February 2019, and previously as Senior Vice President, Head of Discovery and Bioinformatics from June 2012 to January 2018. Prior to joining our company, he was the Director of Viral Genomics and Assistant Director of the Genome Sequencing Center for Infectious Diseases at the Broad Institute of MIT and Harvard. He currently serves on the scientific advisory boards of the Forsyth Institute and Growcentia, Inc., an agricultural microbiome company. Dr. Henn earned his B.S. in Ecology and Evolutionary Sciences from the University of New Hampshire and his Ph.D. in Ecosystem Sciences from the University of California at Berkeley, where he was a NASA Earth Systems Sciences Fellow, and trained as a NSF Postdoctoral Fellow in Microbiology at Duke University.</w:t>
      </w:r>
    </w:p>
    <w:p>
      <w:pPr>
        <w:spacing w:after="0" w:line="56" w:lineRule="exact"/>
        <w:rPr>
          <w:sz w:val="20"/>
          <w:szCs w:val="20"/>
          <w:color w:val="auto"/>
        </w:rPr>
      </w:pPr>
    </w:p>
    <w:p>
      <w:pPr>
        <w:ind w:left="340" w:right="20" w:hanging="224"/>
        <w:spacing w:after="0" w:line="241" w:lineRule="auto"/>
        <w:tabs>
          <w:tab w:leader="none" w:pos="340" w:val="left"/>
        </w:tabs>
        <w:numPr>
          <w:ilvl w:val="0"/>
          <w:numId w:val="13"/>
        </w:numPr>
        <w:rPr>
          <w:rFonts w:ascii="Arial" w:cs="Arial" w:eastAsia="Arial" w:hAnsi="Arial"/>
          <w:sz w:val="11"/>
          <w:szCs w:val="11"/>
          <w:color w:val="auto"/>
        </w:rPr>
      </w:pPr>
      <w:r>
        <w:rPr>
          <w:rFonts w:ascii="Arial" w:cs="Arial" w:eastAsia="Arial" w:hAnsi="Arial"/>
          <w:sz w:val="13"/>
          <w:szCs w:val="13"/>
          <w:color w:val="auto"/>
        </w:rPr>
        <w:t>Lisa von Moltke, M.D. has served as our Executive Vice President and Chief Medical Officer since March 2020. Previously, Dr. von Moltke worked for Alkermes, Inc., a pharmaceutical company, since June 2015, where she served in roles of increasing seniority, culminating as Senior Vice President and Head of Clinical Development from June 2015 to December 2019. Beginning in June 2015, Dr. Moltke served as VP Clinical Pharmacology, DMPK and Bioanalytics, was promoted to Head of Clinical Development in November 2015, and became SVP in June 2018. Prior to joining Alkermes, Dr. von Moltke served as Vice President Clinical Pharmacology at Sanofi/Genzyme Corporation, a biotechnology company, from 2009 to 2015 and was US Head Clinical &amp; Exploratory Pharmacology Sciences (CEP) and Early Development. Starting in 2014 she was Head CEP for Japan and China regions. From 2006 to 2009, Dr. von Moltke was Head, Translational Medicine for the Takeda Oncology Company, a biopharmaceutical company in Cambridge, MA. She has served as President of the American College of Clinical Pharmacology, and as the Editor-in-Chief of The Journal of Clinical Pharmacology. Dr. von Moltke earned a Bachelors of Arts degree at Wellesley College and her Doctor of Medicine from Michigan State University, College of Human Medicine.</w:t>
      </w:r>
    </w:p>
    <w:p>
      <w:pPr>
        <w:spacing w:after="0" w:line="54" w:lineRule="exact"/>
        <w:rPr>
          <w:rFonts w:ascii="Arial" w:cs="Arial" w:eastAsia="Arial" w:hAnsi="Arial"/>
          <w:sz w:val="11"/>
          <w:szCs w:val="11"/>
          <w:color w:val="auto"/>
        </w:rPr>
      </w:pPr>
    </w:p>
    <w:p>
      <w:pPr>
        <w:ind w:left="340"/>
        <w:spacing w:after="0"/>
        <w:rPr>
          <w:rFonts w:ascii="Arial" w:cs="Arial" w:eastAsia="Arial" w:hAnsi="Arial"/>
          <w:sz w:val="11"/>
          <w:szCs w:val="11"/>
          <w:color w:val="auto"/>
        </w:rPr>
      </w:pPr>
      <w:r>
        <w:rPr>
          <w:rFonts w:ascii="Arial" w:cs="Arial" w:eastAsia="Arial" w:hAnsi="Arial"/>
          <w:sz w:val="13"/>
          <w:szCs w:val="13"/>
          <w:color w:val="auto"/>
        </w:rPr>
        <w:t>None of our executive officers is related to any other executive officer or to any of our directors.</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Our Board of Directors has adopted Corporate Governance Guidelines, an Insider Trading Compliance Policy, a Code of Business Conduct and Ethics and charters for the Nominating and Corporate Governance Committee of the Board of Directors (the “Nominating and Corporate Governance Committee”), the Audit Committee and the Compensation Committee of the Board of Directors (the “Compensation Committee”) to assist the Board in the exercise of its responsibilities and to serve as a framework for the effective governance of our Company. You can access our current committee charters, our Corporate Governance Guidelines, Insider Trading Compliance Policy, and our Code of Business Conduct and Ethics in the “Corporate Governance” section of the “Investors &amp; Media” page of our website located at www.serestherapeutics.com, or by writing to our Secretary at our offices at 200 Sidney Street, Cambridge, MA 02139.</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Our Board of Directors currently consists of ten members: Eric D. Shaff, Dennis A. Ausiello, M.D., Grégory Behar, Stephen A. Berenson, Paul R. Biondi, Willard H. Dere, M.D., Richard N. Kender, Lorence H. Kim, M.D., Kurt C. Graves and Meryl S. Zausner.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All of our directors, other than Eric D. Shaff, qualify as “independent”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Our Board of Directors had determined that Noubar B. Afeyan, Ph.D. qualified as independent during the period he served on our Board in 2019 until his departure on March 20, 2020. In making these determinations, our Board of Directors reviewed and discussed information provided by the directors and us with regard to each director’s business and personal activities and relationships as they may relate to us and our management, including, as to each of Mr. Berenson and Mr. Biondi, his relationship to, and our transactions with, Flagship Pioneering and its affiliates, and as to</w:t>
      </w:r>
    </w:p>
    <w:p>
      <w:pPr>
        <w:spacing w:after="0" w:line="7"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Mr. Behar, his relationship to, and our transactions with, Nestlé Health Science US Holdings, Inc. Mr. Shaff is not independent because he is the President and Chief Executive Officer of our Company. There are no family relationships among any of our directors or executive officers.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99"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Stephen A. Berenson, a Class II Director nominee appointed to the Board of Directors in 2019, was identified as a potential candidate to serve on our Board of Directors by one of our shareholders, Flagship Pioneering, and was recommended by the Nominating and Corporate Governance Committee. Meryl S. Zausner, a Class II Director nominee appointed to the Board in 2018, was identified as a potential candidate to serve on our Board of Directors by an outside consultant hired by the Board, and was recommended by the Nominating and Corporate Governance Committee.</w:t>
      </w:r>
    </w:p>
    <w:p>
      <w:pPr>
        <w:spacing w:after="0" w:line="105"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Seres Therapeutics, Inc., 200 Sidney Street, Cambridge, MA 02139. In the event there is a vacancy, and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right="760"/>
        <w:spacing w:after="0"/>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Secretary, Seres Therapeutics, Inc., 200 Sidney Street, Cambridge, MA 02139.</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based on the circumstances at that time. We recognize that different board leadership structures may be appropriate for companies in different situations.</w:t>
      </w:r>
    </w:p>
    <w:p>
      <w:pPr>
        <w:spacing w:after="0" w:line="97"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Based on the Company’s present circumstances, the Board believes that the Company and its stockholders are best served by having Mr. Berenson serve as its Chairman of the Board and Mr. Shaff serve as its Chief Executive Officer. Our current leadership structure permits Mr. Shaff to focus his attention on managing our Company and permits Mr. Berenson to manage the Board. Accordingly, we believe our current leadership structure is the optimal structure for us at this time.</w:t>
      </w:r>
    </w:p>
    <w:p>
      <w:pPr>
        <w:spacing w:after="0" w:line="97"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However, our Board of Directors will continue to periodically review our leadership structure and may make such changes in the future as it deems appropriate. 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w:t>
      </w:r>
    </w:p>
    <w:p>
      <w:pPr>
        <w:spacing w:after="0" w:line="95"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such as risks relating to the COVID-19 pandemic, and our Audit Committee is responsible for overseeing our major financial and cyber-security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adversely affects the Board’s leadership.</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Our Corporate Governance Guidelines require the Nominating and Corporate Governance Committee to oversee an annual assessment of the Board and its committees. Our outside counsel, Latham &amp; Watkins, LLP, (“Latham”), distributed board evaluations to our Board and each Board member returned an evaluation anonymously. Latham tabulated the results and presented them to the Nominating and Corporate Governance Committee for review and discussion.</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and controller, or persons performing similar functions. We have posted a current copy of the code on our website, www.serestherapeutics.com. In addition, we intend to post on our website all disclosures that are required by law or the rules of Nasdaq concerning any amendments to, or waivers from, any provision of the code.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ANTI-HEDGING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Board of Directors has adopted an Insider Trading Compliance Policy, which applies to all of our directors, officers and employees. The policy prohibits our directors, officers and employees and any entities they control from purchasing financial instruments such zero-cost collars and forward sale contracts,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There were eight meetings of the Board of Directors during the fiscal year ended December 31, 2019. During the fiscal year ended December 31, 2019, each director attended at least 75% of the aggregate of all meetings of the Board of Directors and meetings of the committees on which the Director served during the period in which he or she served as a director.</w:t>
      </w:r>
    </w:p>
    <w:p>
      <w:pPr>
        <w:spacing w:after="0" w:line="95"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Currently, we do not maintain a formal policy regarding director attendance at the Annual Meeting; however, it is expected that directors will attend absent compelling circumstances. All of our then-incumbent directors attended our annual meeting of stockholders held in 2019.</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040"/>
          </w:cols>
          <w:pgMar w:left="320" w:top="459" w:right="5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Board has established three standing committees—Audit, Compensation and Nominating and Corporate Governance—each of which operates under a written charter that has been approved by our Board. All of the members of each of the Board’s three standing committees are independent as defined under the Nasdaq rules. Our Board of Directors has determined that Richard N. Kender, Willard H. Dere, and Meryl S. Zausner meet the independence requirements of Rule 10A-3 under the Securities Exchange Act of 1934, as amended (the “Exchange Act”). All members of the Compensation Committee meet the heightened standard for independence specific to members of a compensation committee under the Nasdaq rules and each qualifies as a “non-employee director” as defined in Rule 16b-3 of the Exchange Act. All members of the Nominating and Corporate Governance Committee are independent under the Nasdaq rules.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280" w:type="dxa"/>
            <w:vAlign w:val="bottom"/>
            <w:shd w:val="clear" w:color="auto" w:fill="E5E5E5"/>
          </w:tcPr>
          <w:p>
            <w:pPr>
              <w:spacing w:after="0"/>
              <w:rPr>
                <w:sz w:val="13"/>
                <w:szCs w:val="13"/>
                <w:color w:val="auto"/>
              </w:rPr>
            </w:pPr>
          </w:p>
        </w:tc>
        <w:tc>
          <w:tcPr>
            <w:tcW w:w="2480" w:type="dxa"/>
            <w:vAlign w:val="bottom"/>
            <w:shd w:val="clear" w:color="auto" w:fill="E5E5E5"/>
          </w:tcPr>
          <w:p>
            <w:pPr>
              <w:ind w:left="1400"/>
              <w:spacing w:after="0"/>
              <w:rPr>
                <w:sz w:val="20"/>
                <w:szCs w:val="20"/>
                <w:color w:val="auto"/>
              </w:rPr>
            </w:pPr>
            <w:r>
              <w:rPr>
                <w:rFonts w:ascii="Arial" w:cs="Arial" w:eastAsia="Arial" w:hAnsi="Arial"/>
                <w:sz w:val="13"/>
                <w:szCs w:val="13"/>
                <w:b w:val="1"/>
                <w:bCs w:val="1"/>
                <w:color w:val="auto"/>
              </w:rPr>
              <w:t>Audit</w:t>
            </w:r>
          </w:p>
        </w:tc>
        <w:tc>
          <w:tcPr>
            <w:tcW w:w="2240" w:type="dxa"/>
            <w:vAlign w:val="bottom"/>
            <w:shd w:val="clear" w:color="auto" w:fill="E5E5E5"/>
          </w:tcPr>
          <w:p>
            <w:pPr>
              <w:spacing w:after="0"/>
              <w:rPr>
                <w:sz w:val="13"/>
                <w:szCs w:val="13"/>
                <w:color w:val="auto"/>
              </w:rPr>
            </w:pPr>
          </w:p>
        </w:tc>
        <w:tc>
          <w:tcPr>
            <w:tcW w:w="2020" w:type="dxa"/>
            <w:vAlign w:val="bottom"/>
            <w:shd w:val="clear" w:color="auto" w:fill="E5E5E5"/>
          </w:tcPr>
          <w:p>
            <w:pPr>
              <w:jc w:val="center"/>
              <w:ind w:left="453"/>
              <w:spacing w:after="0"/>
              <w:rPr>
                <w:sz w:val="20"/>
                <w:szCs w:val="20"/>
                <w:color w:val="auto"/>
              </w:rPr>
            </w:pPr>
            <w:r>
              <w:rPr>
                <w:rFonts w:ascii="Arial" w:cs="Arial" w:eastAsia="Arial" w:hAnsi="Arial"/>
                <w:sz w:val="13"/>
                <w:szCs w:val="13"/>
                <w:b w:val="1"/>
                <w:bCs w:val="1"/>
                <w:color w:val="auto"/>
              </w:rPr>
              <w:t>Nominating and</w:t>
            </w:r>
          </w:p>
        </w:tc>
      </w:tr>
      <w:tr>
        <w:trPr>
          <w:trHeight w:val="165"/>
        </w:trPr>
        <w:tc>
          <w:tcPr>
            <w:tcW w:w="42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w:t>
            </w:r>
          </w:p>
        </w:tc>
        <w:tc>
          <w:tcPr>
            <w:tcW w:w="2480" w:type="dxa"/>
            <w:vAlign w:val="bottom"/>
            <w:tcBorders>
              <w:bottom w:val="single" w:sz="8" w:color="auto"/>
            </w:tcBorders>
            <w:shd w:val="clear" w:color="auto" w:fill="E5E5E5"/>
          </w:tcPr>
          <w:p>
            <w:pPr>
              <w:spacing w:after="0"/>
              <w:rPr>
                <w:sz w:val="14"/>
                <w:szCs w:val="14"/>
                <w:color w:val="auto"/>
              </w:rPr>
            </w:pPr>
          </w:p>
        </w:tc>
        <w:tc>
          <w:tcPr>
            <w:tcW w:w="2240" w:type="dxa"/>
            <w:vAlign w:val="bottom"/>
            <w:tcBorders>
              <w:bottom w:val="single" w:sz="8" w:color="auto"/>
            </w:tcBorders>
            <w:shd w:val="clear" w:color="auto" w:fill="E5E5E5"/>
          </w:tcPr>
          <w:p>
            <w:pPr>
              <w:jc w:val="center"/>
              <w:ind w:left="113"/>
              <w:spacing w:after="0"/>
              <w:rPr>
                <w:sz w:val="20"/>
                <w:szCs w:val="20"/>
                <w:color w:val="auto"/>
              </w:rPr>
            </w:pPr>
            <w:r>
              <w:rPr>
                <w:rFonts w:ascii="Arial" w:cs="Arial" w:eastAsia="Arial" w:hAnsi="Arial"/>
                <w:sz w:val="13"/>
                <w:szCs w:val="13"/>
                <w:b w:val="1"/>
                <w:bCs w:val="1"/>
                <w:color w:val="auto"/>
              </w:rPr>
              <w:t>Compensation</w:t>
            </w:r>
          </w:p>
        </w:tc>
        <w:tc>
          <w:tcPr>
            <w:tcW w:w="2020" w:type="dxa"/>
            <w:vAlign w:val="bottom"/>
            <w:tcBorders>
              <w:bottom w:val="single" w:sz="8" w:color="auto"/>
            </w:tcBorders>
            <w:shd w:val="clear" w:color="auto" w:fill="E5E5E5"/>
          </w:tcPr>
          <w:p>
            <w:pPr>
              <w:jc w:val="center"/>
              <w:ind w:left="453"/>
              <w:spacing w:after="0"/>
              <w:rPr>
                <w:sz w:val="20"/>
                <w:szCs w:val="20"/>
                <w:color w:val="auto"/>
              </w:rPr>
            </w:pPr>
            <w:r>
              <w:rPr>
                <w:rFonts w:ascii="Arial" w:cs="Arial" w:eastAsia="Arial" w:hAnsi="Arial"/>
                <w:sz w:val="13"/>
                <w:szCs w:val="13"/>
                <w:b w:val="1"/>
                <w:bCs w:val="1"/>
                <w:color w:val="auto"/>
              </w:rPr>
              <w:t>Corporate Governance</w:t>
            </w:r>
          </w:p>
        </w:tc>
      </w:tr>
      <w:tr>
        <w:trPr>
          <w:trHeight w:val="142"/>
        </w:trPr>
        <w:tc>
          <w:tcPr>
            <w:tcW w:w="4280" w:type="dxa"/>
            <w:vAlign w:val="bottom"/>
          </w:tcPr>
          <w:p>
            <w:pPr>
              <w:ind w:left="60"/>
              <w:spacing w:after="0" w:line="142" w:lineRule="exact"/>
              <w:rPr>
                <w:sz w:val="20"/>
                <w:szCs w:val="20"/>
                <w:color w:val="auto"/>
              </w:rPr>
            </w:pPr>
            <w:r>
              <w:rPr>
                <w:rFonts w:ascii="Arial" w:cs="Arial" w:eastAsia="Arial" w:hAnsi="Arial"/>
                <w:sz w:val="13"/>
                <w:szCs w:val="13"/>
                <w:color w:val="auto"/>
              </w:rPr>
              <w:t>Stephen A. Berenson</w:t>
            </w:r>
          </w:p>
        </w:tc>
        <w:tc>
          <w:tcPr>
            <w:tcW w:w="2480" w:type="dxa"/>
            <w:vAlign w:val="bottom"/>
          </w:tcPr>
          <w:p>
            <w:pPr>
              <w:spacing w:after="0"/>
              <w:rPr>
                <w:sz w:val="12"/>
                <w:szCs w:val="12"/>
                <w:color w:val="auto"/>
              </w:rPr>
            </w:pPr>
          </w:p>
        </w:tc>
        <w:tc>
          <w:tcPr>
            <w:tcW w:w="2240" w:type="dxa"/>
            <w:vAlign w:val="bottom"/>
          </w:tcPr>
          <w:p>
            <w:pPr>
              <w:jc w:val="center"/>
              <w:ind w:left="113"/>
              <w:spacing w:after="0" w:line="142" w:lineRule="exact"/>
              <w:rPr>
                <w:sz w:val="20"/>
                <w:szCs w:val="20"/>
                <w:color w:val="auto"/>
              </w:rPr>
            </w:pPr>
            <w:r>
              <w:rPr>
                <w:rFonts w:ascii="Arial" w:cs="Arial" w:eastAsia="Arial" w:hAnsi="Arial"/>
                <w:sz w:val="13"/>
                <w:szCs w:val="13"/>
                <w:color w:val="auto"/>
              </w:rPr>
              <w:t>X</w:t>
            </w:r>
          </w:p>
        </w:tc>
        <w:tc>
          <w:tcPr>
            <w:tcW w:w="2020" w:type="dxa"/>
            <w:vAlign w:val="bottom"/>
          </w:tcPr>
          <w:p>
            <w:pPr>
              <w:jc w:val="center"/>
              <w:ind w:left="473"/>
              <w:spacing w:after="0" w:line="142" w:lineRule="exact"/>
              <w:rPr>
                <w:sz w:val="20"/>
                <w:szCs w:val="20"/>
                <w:color w:val="auto"/>
              </w:rPr>
            </w:pPr>
            <w:r>
              <w:rPr>
                <w:rFonts w:ascii="Arial" w:cs="Arial" w:eastAsia="Arial" w:hAnsi="Arial"/>
                <w:sz w:val="13"/>
                <w:szCs w:val="13"/>
                <w:color w:val="auto"/>
              </w:rPr>
              <w:t>Chair</w:t>
            </w:r>
          </w:p>
        </w:tc>
      </w:tr>
      <w:tr>
        <w:trPr>
          <w:trHeight w:val="148"/>
        </w:trPr>
        <w:tc>
          <w:tcPr>
            <w:tcW w:w="4280" w:type="dxa"/>
            <w:vAlign w:val="bottom"/>
            <w:shd w:val="clear" w:color="auto" w:fill="D8D8D8"/>
          </w:tcPr>
          <w:p>
            <w:pPr>
              <w:ind w:left="60"/>
              <w:spacing w:after="0"/>
              <w:rPr>
                <w:sz w:val="20"/>
                <w:szCs w:val="20"/>
                <w:color w:val="auto"/>
              </w:rPr>
            </w:pPr>
            <w:r>
              <w:rPr>
                <w:rFonts w:ascii="Arial" w:cs="Arial" w:eastAsia="Arial" w:hAnsi="Arial"/>
                <w:sz w:val="13"/>
                <w:szCs w:val="13"/>
                <w:color w:val="auto"/>
              </w:rPr>
              <w:t>Paul R. Biondi</w:t>
            </w:r>
          </w:p>
        </w:tc>
        <w:tc>
          <w:tcPr>
            <w:tcW w:w="2480" w:type="dxa"/>
            <w:vAlign w:val="bottom"/>
            <w:shd w:val="clear" w:color="auto" w:fill="D8D8D8"/>
          </w:tcPr>
          <w:p>
            <w:pPr>
              <w:spacing w:after="0"/>
              <w:rPr>
                <w:sz w:val="12"/>
                <w:szCs w:val="12"/>
                <w:color w:val="auto"/>
              </w:rPr>
            </w:pPr>
          </w:p>
        </w:tc>
        <w:tc>
          <w:tcPr>
            <w:tcW w:w="2240" w:type="dxa"/>
            <w:vAlign w:val="bottom"/>
            <w:shd w:val="clear" w:color="auto" w:fill="D8D8D8"/>
          </w:tcPr>
          <w:p>
            <w:pPr>
              <w:jc w:val="center"/>
              <w:ind w:left="113"/>
              <w:spacing w:after="0"/>
              <w:rPr>
                <w:sz w:val="20"/>
                <w:szCs w:val="20"/>
                <w:color w:val="auto"/>
              </w:rPr>
            </w:pPr>
            <w:r>
              <w:rPr>
                <w:rFonts w:ascii="Arial" w:cs="Arial" w:eastAsia="Arial" w:hAnsi="Arial"/>
                <w:sz w:val="13"/>
                <w:szCs w:val="13"/>
                <w:color w:val="auto"/>
              </w:rPr>
              <w:t>X</w:t>
            </w:r>
          </w:p>
        </w:tc>
        <w:tc>
          <w:tcPr>
            <w:tcW w:w="2020" w:type="dxa"/>
            <w:vAlign w:val="bottom"/>
            <w:shd w:val="clear" w:color="auto" w:fill="D8D8D8"/>
          </w:tcPr>
          <w:p>
            <w:pPr>
              <w:spacing w:after="0"/>
              <w:rPr>
                <w:sz w:val="12"/>
                <w:szCs w:val="12"/>
                <w:color w:val="auto"/>
              </w:rPr>
            </w:pPr>
          </w:p>
        </w:tc>
      </w:tr>
      <w:tr>
        <w:trPr>
          <w:trHeight w:val="148"/>
        </w:trPr>
        <w:tc>
          <w:tcPr>
            <w:tcW w:w="4280" w:type="dxa"/>
            <w:vAlign w:val="bottom"/>
          </w:tcPr>
          <w:p>
            <w:pPr>
              <w:ind w:left="60"/>
              <w:spacing w:after="0"/>
              <w:rPr>
                <w:sz w:val="20"/>
                <w:szCs w:val="20"/>
                <w:color w:val="auto"/>
              </w:rPr>
            </w:pPr>
            <w:r>
              <w:rPr>
                <w:rFonts w:ascii="Arial" w:cs="Arial" w:eastAsia="Arial" w:hAnsi="Arial"/>
                <w:sz w:val="13"/>
                <w:szCs w:val="13"/>
                <w:color w:val="auto"/>
              </w:rPr>
              <w:t>Gregory Behar</w:t>
            </w:r>
          </w:p>
        </w:tc>
        <w:tc>
          <w:tcPr>
            <w:tcW w:w="2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20" w:type="dxa"/>
            <w:vAlign w:val="bottom"/>
          </w:tcPr>
          <w:p>
            <w:pPr>
              <w:jc w:val="center"/>
              <w:ind w:left="473"/>
              <w:spacing w:after="0"/>
              <w:rPr>
                <w:sz w:val="20"/>
                <w:szCs w:val="20"/>
                <w:color w:val="auto"/>
              </w:rPr>
            </w:pPr>
            <w:r>
              <w:rPr>
                <w:rFonts w:ascii="Arial" w:cs="Arial" w:eastAsia="Arial" w:hAnsi="Arial"/>
                <w:sz w:val="13"/>
                <w:szCs w:val="13"/>
                <w:color w:val="auto"/>
                <w:w w:val="91"/>
              </w:rPr>
              <w:t>X</w:t>
            </w:r>
          </w:p>
        </w:tc>
      </w:tr>
      <w:tr>
        <w:trPr>
          <w:trHeight w:val="149"/>
        </w:trPr>
        <w:tc>
          <w:tcPr>
            <w:tcW w:w="4280" w:type="dxa"/>
            <w:vAlign w:val="bottom"/>
            <w:shd w:val="clear" w:color="auto" w:fill="D8D8D8"/>
          </w:tcPr>
          <w:p>
            <w:pPr>
              <w:ind w:left="60"/>
              <w:spacing w:after="0"/>
              <w:rPr>
                <w:sz w:val="20"/>
                <w:szCs w:val="20"/>
                <w:color w:val="auto"/>
              </w:rPr>
            </w:pPr>
            <w:r>
              <w:rPr>
                <w:rFonts w:ascii="Arial" w:cs="Arial" w:eastAsia="Arial" w:hAnsi="Arial"/>
                <w:sz w:val="13"/>
                <w:szCs w:val="13"/>
                <w:color w:val="auto"/>
              </w:rPr>
              <w:t>Willard H. Dere, M.D.</w:t>
            </w:r>
          </w:p>
        </w:tc>
        <w:tc>
          <w:tcPr>
            <w:tcW w:w="2480" w:type="dxa"/>
            <w:vAlign w:val="bottom"/>
            <w:shd w:val="clear" w:color="auto" w:fill="D8D8D8"/>
          </w:tcPr>
          <w:p>
            <w:pPr>
              <w:ind w:left="1400"/>
              <w:spacing w:after="0"/>
              <w:rPr>
                <w:sz w:val="20"/>
                <w:szCs w:val="20"/>
                <w:color w:val="auto"/>
              </w:rPr>
            </w:pPr>
            <w:r>
              <w:rPr>
                <w:rFonts w:ascii="Arial" w:cs="Arial" w:eastAsia="Arial" w:hAnsi="Arial"/>
                <w:sz w:val="13"/>
                <w:szCs w:val="13"/>
                <w:color w:val="auto"/>
              </w:rPr>
              <w:t>X</w:t>
            </w:r>
          </w:p>
        </w:tc>
        <w:tc>
          <w:tcPr>
            <w:tcW w:w="2240" w:type="dxa"/>
            <w:vAlign w:val="bottom"/>
            <w:shd w:val="clear" w:color="auto" w:fill="D8D8D8"/>
          </w:tcPr>
          <w:p>
            <w:pPr>
              <w:spacing w:after="0"/>
              <w:rPr>
                <w:sz w:val="12"/>
                <w:szCs w:val="12"/>
                <w:color w:val="auto"/>
              </w:rPr>
            </w:pPr>
          </w:p>
        </w:tc>
        <w:tc>
          <w:tcPr>
            <w:tcW w:w="2020" w:type="dxa"/>
            <w:vAlign w:val="bottom"/>
            <w:shd w:val="clear" w:color="auto" w:fill="D8D8D8"/>
          </w:tcPr>
          <w:p>
            <w:pPr>
              <w:spacing w:after="0"/>
              <w:rPr>
                <w:sz w:val="12"/>
                <w:szCs w:val="12"/>
                <w:color w:val="auto"/>
              </w:rPr>
            </w:pPr>
          </w:p>
        </w:tc>
      </w:tr>
      <w:tr>
        <w:trPr>
          <w:trHeight w:val="148"/>
        </w:trPr>
        <w:tc>
          <w:tcPr>
            <w:tcW w:w="4280" w:type="dxa"/>
            <w:vAlign w:val="bottom"/>
          </w:tcPr>
          <w:p>
            <w:pPr>
              <w:ind w:left="60"/>
              <w:spacing w:after="0"/>
              <w:rPr>
                <w:sz w:val="20"/>
                <w:szCs w:val="20"/>
                <w:color w:val="auto"/>
              </w:rPr>
            </w:pPr>
            <w:r>
              <w:rPr>
                <w:rFonts w:ascii="Arial" w:cs="Arial" w:eastAsia="Arial" w:hAnsi="Arial"/>
                <w:sz w:val="13"/>
                <w:szCs w:val="13"/>
                <w:color w:val="auto"/>
              </w:rPr>
              <w:t>Kurt C. Graves</w:t>
            </w:r>
          </w:p>
        </w:tc>
        <w:tc>
          <w:tcPr>
            <w:tcW w:w="2480" w:type="dxa"/>
            <w:vAlign w:val="bottom"/>
          </w:tcPr>
          <w:p>
            <w:pPr>
              <w:spacing w:after="0"/>
              <w:rPr>
                <w:sz w:val="12"/>
                <w:szCs w:val="12"/>
                <w:color w:val="auto"/>
              </w:rPr>
            </w:pPr>
          </w:p>
        </w:tc>
        <w:tc>
          <w:tcPr>
            <w:tcW w:w="2240" w:type="dxa"/>
            <w:vAlign w:val="bottom"/>
          </w:tcPr>
          <w:p>
            <w:pPr>
              <w:jc w:val="center"/>
              <w:ind w:left="93"/>
              <w:spacing w:after="0"/>
              <w:rPr>
                <w:sz w:val="20"/>
                <w:szCs w:val="20"/>
                <w:color w:val="auto"/>
              </w:rPr>
            </w:pPr>
            <w:r>
              <w:rPr>
                <w:rFonts w:ascii="Arial" w:cs="Arial" w:eastAsia="Arial" w:hAnsi="Arial"/>
                <w:sz w:val="13"/>
                <w:szCs w:val="13"/>
                <w:color w:val="auto"/>
              </w:rPr>
              <w:t>Chair</w:t>
            </w:r>
          </w:p>
        </w:tc>
        <w:tc>
          <w:tcPr>
            <w:tcW w:w="2020" w:type="dxa"/>
            <w:vAlign w:val="bottom"/>
          </w:tcPr>
          <w:p>
            <w:pPr>
              <w:spacing w:after="0"/>
              <w:rPr>
                <w:sz w:val="12"/>
                <w:szCs w:val="12"/>
                <w:color w:val="auto"/>
              </w:rPr>
            </w:pPr>
          </w:p>
        </w:tc>
      </w:tr>
      <w:tr>
        <w:trPr>
          <w:trHeight w:val="148"/>
        </w:trPr>
        <w:tc>
          <w:tcPr>
            <w:tcW w:w="4280" w:type="dxa"/>
            <w:vAlign w:val="bottom"/>
            <w:shd w:val="clear" w:color="auto" w:fill="D8D8D8"/>
          </w:tcPr>
          <w:p>
            <w:pPr>
              <w:ind w:left="60"/>
              <w:spacing w:after="0"/>
              <w:rPr>
                <w:sz w:val="20"/>
                <w:szCs w:val="20"/>
                <w:color w:val="auto"/>
              </w:rPr>
            </w:pPr>
            <w:r>
              <w:rPr>
                <w:rFonts w:ascii="Arial" w:cs="Arial" w:eastAsia="Arial" w:hAnsi="Arial"/>
                <w:sz w:val="13"/>
                <w:szCs w:val="13"/>
                <w:color w:val="auto"/>
              </w:rPr>
              <w:t>Lorence H. Kim, M.D.</w:t>
            </w:r>
          </w:p>
        </w:tc>
        <w:tc>
          <w:tcPr>
            <w:tcW w:w="2480" w:type="dxa"/>
            <w:vAlign w:val="bottom"/>
            <w:shd w:val="clear" w:color="auto" w:fill="D8D8D8"/>
          </w:tcPr>
          <w:p>
            <w:pPr>
              <w:spacing w:after="0"/>
              <w:rPr>
                <w:sz w:val="12"/>
                <w:szCs w:val="12"/>
                <w:color w:val="auto"/>
              </w:rPr>
            </w:pPr>
          </w:p>
        </w:tc>
        <w:tc>
          <w:tcPr>
            <w:tcW w:w="2240" w:type="dxa"/>
            <w:vAlign w:val="bottom"/>
            <w:shd w:val="clear" w:color="auto" w:fill="D8D8D8"/>
          </w:tcPr>
          <w:p>
            <w:pPr>
              <w:spacing w:after="0"/>
              <w:rPr>
                <w:sz w:val="12"/>
                <w:szCs w:val="12"/>
                <w:color w:val="auto"/>
              </w:rPr>
            </w:pPr>
          </w:p>
        </w:tc>
        <w:tc>
          <w:tcPr>
            <w:tcW w:w="2020" w:type="dxa"/>
            <w:vAlign w:val="bottom"/>
            <w:shd w:val="clear" w:color="auto" w:fill="D8D8D8"/>
          </w:tcPr>
          <w:p>
            <w:pPr>
              <w:jc w:val="center"/>
              <w:ind w:left="473"/>
              <w:spacing w:after="0"/>
              <w:rPr>
                <w:sz w:val="20"/>
                <w:szCs w:val="20"/>
                <w:color w:val="auto"/>
              </w:rPr>
            </w:pPr>
            <w:r>
              <w:rPr>
                <w:rFonts w:ascii="Arial" w:cs="Arial" w:eastAsia="Arial" w:hAnsi="Arial"/>
                <w:sz w:val="13"/>
                <w:szCs w:val="13"/>
                <w:color w:val="auto"/>
                <w:w w:val="91"/>
              </w:rPr>
              <w:t>X</w:t>
            </w:r>
          </w:p>
        </w:tc>
      </w:tr>
      <w:tr>
        <w:trPr>
          <w:trHeight w:val="148"/>
        </w:trPr>
        <w:tc>
          <w:tcPr>
            <w:tcW w:w="4280" w:type="dxa"/>
            <w:vAlign w:val="bottom"/>
          </w:tcPr>
          <w:p>
            <w:pPr>
              <w:ind w:left="60"/>
              <w:spacing w:after="0"/>
              <w:rPr>
                <w:sz w:val="20"/>
                <w:szCs w:val="20"/>
                <w:color w:val="auto"/>
              </w:rPr>
            </w:pPr>
            <w:r>
              <w:rPr>
                <w:rFonts w:ascii="Arial" w:cs="Arial" w:eastAsia="Arial" w:hAnsi="Arial"/>
                <w:sz w:val="13"/>
                <w:szCs w:val="13"/>
                <w:color w:val="auto"/>
              </w:rPr>
              <w:t>Richard N. Kender</w:t>
            </w:r>
          </w:p>
        </w:tc>
        <w:tc>
          <w:tcPr>
            <w:tcW w:w="2480" w:type="dxa"/>
            <w:vAlign w:val="bottom"/>
          </w:tcPr>
          <w:p>
            <w:pPr>
              <w:ind w:left="1280"/>
              <w:spacing w:after="0"/>
              <w:rPr>
                <w:sz w:val="20"/>
                <w:szCs w:val="20"/>
                <w:color w:val="auto"/>
              </w:rPr>
            </w:pPr>
            <w:r>
              <w:rPr>
                <w:rFonts w:ascii="Arial" w:cs="Arial" w:eastAsia="Arial" w:hAnsi="Arial"/>
                <w:sz w:val="13"/>
                <w:szCs w:val="13"/>
                <w:color w:val="auto"/>
              </w:rPr>
              <w:t>Chair</w:t>
            </w:r>
          </w:p>
        </w:tc>
        <w:tc>
          <w:tcPr>
            <w:tcW w:w="2240" w:type="dxa"/>
            <w:vAlign w:val="bottom"/>
          </w:tcPr>
          <w:p>
            <w:pPr>
              <w:jc w:val="center"/>
              <w:ind w:left="113"/>
              <w:spacing w:after="0"/>
              <w:rPr>
                <w:sz w:val="20"/>
                <w:szCs w:val="20"/>
                <w:color w:val="auto"/>
              </w:rPr>
            </w:pPr>
            <w:r>
              <w:rPr>
                <w:rFonts w:ascii="Arial" w:cs="Arial" w:eastAsia="Arial" w:hAnsi="Arial"/>
                <w:sz w:val="13"/>
                <w:szCs w:val="13"/>
                <w:color w:val="auto"/>
              </w:rPr>
              <w:t>X</w:t>
            </w:r>
          </w:p>
        </w:tc>
        <w:tc>
          <w:tcPr>
            <w:tcW w:w="2020" w:type="dxa"/>
            <w:vAlign w:val="bottom"/>
          </w:tcPr>
          <w:p>
            <w:pPr>
              <w:spacing w:after="0"/>
              <w:rPr>
                <w:sz w:val="12"/>
                <w:szCs w:val="12"/>
                <w:color w:val="auto"/>
              </w:rPr>
            </w:pPr>
          </w:p>
        </w:tc>
      </w:tr>
      <w:tr>
        <w:trPr>
          <w:trHeight w:val="148"/>
        </w:trPr>
        <w:tc>
          <w:tcPr>
            <w:tcW w:w="428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3"/>
                <w:szCs w:val="13"/>
                <w:color w:val="auto"/>
              </w:rPr>
              <w:t>Meryl S. Zausner</w:t>
            </w:r>
          </w:p>
        </w:tc>
        <w:tc>
          <w:tcPr>
            <w:tcW w:w="2480" w:type="dxa"/>
            <w:vAlign w:val="bottom"/>
            <w:tcBorders>
              <w:bottom w:val="single" w:sz="8" w:color="auto"/>
            </w:tcBorders>
            <w:shd w:val="clear" w:color="auto" w:fill="D8D8D8"/>
          </w:tcPr>
          <w:p>
            <w:pPr>
              <w:ind w:left="1400"/>
              <w:spacing w:after="0"/>
              <w:rPr>
                <w:sz w:val="20"/>
                <w:szCs w:val="20"/>
                <w:color w:val="auto"/>
              </w:rPr>
            </w:pPr>
            <w:r>
              <w:rPr>
                <w:rFonts w:ascii="Arial" w:cs="Arial" w:eastAsia="Arial" w:hAnsi="Arial"/>
                <w:sz w:val="13"/>
                <w:szCs w:val="13"/>
                <w:color w:val="auto"/>
              </w:rPr>
              <w:t>X</w:t>
            </w:r>
          </w:p>
        </w:tc>
        <w:tc>
          <w:tcPr>
            <w:tcW w:w="2240" w:type="dxa"/>
            <w:vAlign w:val="bottom"/>
            <w:tcBorders>
              <w:bottom w:val="single" w:sz="8" w:color="auto"/>
            </w:tcBorders>
            <w:shd w:val="clear" w:color="auto" w:fill="D8D8D8"/>
          </w:tcPr>
          <w:p>
            <w:pPr>
              <w:spacing w:after="0"/>
              <w:rPr>
                <w:sz w:val="12"/>
                <w:szCs w:val="12"/>
                <w:color w:val="auto"/>
              </w:rPr>
            </w:pPr>
          </w:p>
        </w:tc>
        <w:tc>
          <w:tcPr>
            <w:tcW w:w="2020" w:type="dxa"/>
            <w:vAlign w:val="bottom"/>
            <w:tcBorders>
              <w:bottom w:val="single" w:sz="8" w:color="auto"/>
            </w:tcBorders>
            <w:shd w:val="clear" w:color="auto" w:fill="D8D8D8"/>
          </w:tcPr>
          <w:p>
            <w:pPr>
              <w:spacing w:after="0"/>
              <w:rPr>
                <w:sz w:val="12"/>
                <w:szCs w:val="12"/>
                <w:color w:val="auto"/>
              </w:rPr>
            </w:pPr>
          </w:p>
        </w:tc>
      </w:tr>
      <w:tr>
        <w:trPr>
          <w:trHeight w:val="371"/>
        </w:trPr>
        <w:tc>
          <w:tcPr>
            <w:tcW w:w="4280" w:type="dxa"/>
            <w:vAlign w:val="bottom"/>
          </w:tcPr>
          <w:p>
            <w:pPr>
              <w:spacing w:after="0"/>
              <w:rPr>
                <w:sz w:val="20"/>
                <w:szCs w:val="20"/>
                <w:color w:val="auto"/>
              </w:rPr>
            </w:pPr>
            <w:r>
              <w:rPr>
                <w:rFonts w:ascii="Arial" w:cs="Arial" w:eastAsia="Arial" w:hAnsi="Arial"/>
                <w:sz w:val="13"/>
                <w:szCs w:val="13"/>
                <w:b w:val="1"/>
                <w:bCs w:val="1"/>
                <w:color w:val="auto"/>
              </w:rPr>
              <w:t>AUDIT COMMITTEE</w:t>
            </w:r>
          </w:p>
        </w:tc>
        <w:tc>
          <w:tcPr>
            <w:tcW w:w="2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8"/>
        </w:trPr>
        <w:tc>
          <w:tcPr>
            <w:tcW w:w="428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r>
      <w:tr>
        <w:trPr>
          <w:trHeight w:val="250"/>
        </w:trPr>
        <w:tc>
          <w:tcPr>
            <w:tcW w:w="4280" w:type="dxa"/>
            <w:vAlign w:val="bottom"/>
          </w:tcPr>
          <w:p>
            <w:pPr>
              <w:spacing w:after="0"/>
              <w:rPr>
                <w:sz w:val="20"/>
                <w:szCs w:val="20"/>
                <w:color w:val="auto"/>
              </w:rPr>
            </w:pPr>
            <w:r>
              <w:rPr>
                <w:rFonts w:ascii="Arial" w:cs="Arial" w:eastAsia="Arial" w:hAnsi="Arial"/>
                <w:sz w:val="18"/>
                <w:szCs w:val="18"/>
                <w:color w:val="auto"/>
              </w:rPr>
              <w:t>Our Audit Committee’s responsibilities include:</w:t>
            </w:r>
          </w:p>
        </w:tc>
        <w:tc>
          <w:tcPr>
            <w:tcW w:w="24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20" w:type="dxa"/>
            <w:vAlign w:val="bottom"/>
          </w:tcPr>
          <w:p>
            <w:pPr>
              <w:spacing w:after="0"/>
              <w:rPr>
                <w:sz w:val="21"/>
                <w:szCs w:val="21"/>
                <w:color w:val="auto"/>
              </w:rPr>
            </w:pPr>
          </w:p>
        </w:tc>
      </w:tr>
    </w:tbl>
    <w:p>
      <w:pPr>
        <w:spacing w:after="0" w:line="107" w:lineRule="exact"/>
        <w:rPr>
          <w:sz w:val="20"/>
          <w:szCs w:val="20"/>
          <w:color w:val="auto"/>
        </w:rPr>
      </w:pPr>
    </w:p>
    <w:p>
      <w:pPr>
        <w:ind w:left="1540" w:right="560" w:hanging="439"/>
        <w:spacing w:after="0" w:line="246"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48" w:lineRule="exact"/>
        <w:rPr>
          <w:rFonts w:ascii="Arial" w:cs="Arial" w:eastAsia="Arial" w:hAnsi="Arial"/>
          <w:sz w:val="18"/>
          <w:szCs w:val="18"/>
          <w:color w:val="auto"/>
        </w:rPr>
      </w:pPr>
    </w:p>
    <w:p>
      <w:pPr>
        <w:ind w:left="1540" w:right="1100" w:hanging="439"/>
        <w:spacing w:after="0" w:line="246"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48" w:lineRule="exact"/>
        <w:rPr>
          <w:rFonts w:ascii="Arial" w:cs="Arial" w:eastAsia="Arial" w:hAnsi="Arial"/>
          <w:sz w:val="18"/>
          <w:szCs w:val="18"/>
          <w:color w:val="auto"/>
        </w:rPr>
      </w:pPr>
    </w:p>
    <w:p>
      <w:pPr>
        <w:ind w:left="1540" w:right="560" w:hanging="439"/>
        <w:spacing w:after="0" w:line="246"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48" w:lineRule="exact"/>
        <w:rPr>
          <w:rFonts w:ascii="Arial" w:cs="Arial" w:eastAsia="Arial" w:hAnsi="Arial"/>
          <w:sz w:val="18"/>
          <w:szCs w:val="18"/>
          <w:color w:val="auto"/>
        </w:rPr>
      </w:pPr>
    </w:p>
    <w:p>
      <w:pPr>
        <w:ind w:left="1540" w:right="40" w:hanging="439"/>
        <w:spacing w:after="0" w:line="246"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48" w:lineRule="exact"/>
        <w:rPr>
          <w:rFonts w:ascii="Arial" w:cs="Arial" w:eastAsia="Arial" w:hAnsi="Arial"/>
          <w:sz w:val="18"/>
          <w:szCs w:val="18"/>
          <w:color w:val="auto"/>
        </w:rPr>
      </w:pPr>
    </w:p>
    <w:p>
      <w:pPr>
        <w:ind w:left="1540" w:hanging="439"/>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63" w:lineRule="exact"/>
        <w:rPr>
          <w:rFonts w:ascii="Arial" w:cs="Arial" w:eastAsia="Arial" w:hAnsi="Arial"/>
          <w:sz w:val="18"/>
          <w:szCs w:val="18"/>
          <w:color w:val="auto"/>
        </w:rPr>
      </w:pPr>
    </w:p>
    <w:p>
      <w:pPr>
        <w:ind w:left="1540" w:right="100" w:hanging="439"/>
        <w:spacing w:after="0" w:line="246"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48" w:lineRule="exact"/>
        <w:rPr>
          <w:rFonts w:ascii="Arial" w:cs="Arial" w:eastAsia="Arial" w:hAnsi="Arial"/>
          <w:sz w:val="18"/>
          <w:szCs w:val="18"/>
          <w:color w:val="auto"/>
        </w:rPr>
      </w:pPr>
    </w:p>
    <w:p>
      <w:pPr>
        <w:ind w:left="1540" w:right="820" w:hanging="439"/>
        <w:spacing w:after="0" w:line="246"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48" w:lineRule="exact"/>
        <w:rPr>
          <w:rFonts w:ascii="Arial" w:cs="Arial" w:eastAsia="Arial" w:hAnsi="Arial"/>
          <w:sz w:val="18"/>
          <w:szCs w:val="18"/>
          <w:color w:val="auto"/>
        </w:rPr>
      </w:pPr>
    </w:p>
    <w:p>
      <w:pPr>
        <w:ind w:left="1540" w:hanging="439"/>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 (which is included on page 12 of this proxy statement).</w:t>
      </w:r>
    </w:p>
    <w:p>
      <w:pPr>
        <w:spacing w:after="0" w:line="104"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The members of the Audit Committee are Mr. Kender, Dr. Dere and Ms. Zausner. Mr. Kender serves as the Chairperson of the committee. The members of our Audit Committee meet the requirements for financial literacy under the applicable rules of the SEC and Nasdaq. Our Board of Directors has determined that each of Dr. Dere, Mr. Kender and Ms. Zausner is an “audit committee financial expert” as defined by Item 407(d)(5)(ii) of Regulation S-K.</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met eight times in 2019.</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102" w:lineRule="exact"/>
        <w:rPr>
          <w:sz w:val="20"/>
          <w:szCs w:val="20"/>
          <w:color w:val="auto"/>
        </w:rPr>
      </w:pPr>
    </w:p>
    <w:p>
      <w:pPr>
        <w:ind w:left="1540" w:hanging="439"/>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CEO compensation;</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our CEO’s compensation;</w:t>
      </w:r>
    </w:p>
    <w:p>
      <w:pPr>
        <w:spacing w:after="0" w:line="63" w:lineRule="exact"/>
        <w:rPr>
          <w:rFonts w:ascii="Arial" w:cs="Arial" w:eastAsia="Arial" w:hAnsi="Arial"/>
          <w:sz w:val="18"/>
          <w:szCs w:val="18"/>
          <w:color w:val="auto"/>
        </w:rPr>
      </w:pPr>
    </w:p>
    <w:p>
      <w:pPr>
        <w:ind w:left="1540" w:right="540" w:hanging="439"/>
        <w:spacing w:after="0" w:line="246"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with respect to, the compensation of our other executive officers;</w:t>
      </w:r>
    </w:p>
    <w:p>
      <w:pPr>
        <w:spacing w:after="0" w:line="48" w:lineRule="exact"/>
        <w:rPr>
          <w:rFonts w:ascii="Arial" w:cs="Arial" w:eastAsia="Arial" w:hAnsi="Arial"/>
          <w:sz w:val="18"/>
          <w:szCs w:val="18"/>
          <w:color w:val="auto"/>
        </w:rPr>
      </w:pPr>
    </w:p>
    <w:p>
      <w:pPr>
        <w:ind w:left="1540" w:hanging="439"/>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required; and</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if required by SEC rules.</w:t>
      </w:r>
    </w:p>
    <w:p>
      <w:pPr>
        <w:spacing w:after="0" w:line="104" w:lineRule="exact"/>
        <w:rPr>
          <w:sz w:val="20"/>
          <w:szCs w:val="20"/>
          <w:color w:val="auto"/>
        </w:rPr>
      </w:pPr>
    </w:p>
    <w:p>
      <w:pPr>
        <w:ind w:left="120" w:right="80"/>
        <w:spacing w:after="0" w:line="261" w:lineRule="auto"/>
        <w:rPr>
          <w:sz w:val="20"/>
          <w:szCs w:val="20"/>
          <w:color w:val="auto"/>
        </w:rPr>
      </w:pPr>
      <w:r>
        <w:rPr>
          <w:rFonts w:ascii="Arial" w:cs="Arial" w:eastAsia="Arial" w:hAnsi="Arial"/>
          <w:sz w:val="17"/>
          <w:szCs w:val="17"/>
          <w:color w:val="auto"/>
        </w:rPr>
        <w:t>The Compensation Committee has the authority to retain or obtain the advice of compensation consultants, legal counsel and other advisors to assist in carrying out its responsibilities. For information regarding the role of our compensation consultants in determining our executive compensation, please refer to the section entitled “Executive and Director Compensation—Compensation Setting Process.”</w:t>
      </w:r>
    </w:p>
    <w:p>
      <w:pPr>
        <w:spacing w:after="0" w:line="7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as further described in its charter, which is available on our website at www.serestherapeutics.com. The Compensation Committee may also delegate to an officer the authority to grant equity awards to certain employees, as further described in its charter and subject to the terms of our equity plans.</w:t>
      </w:r>
    </w:p>
    <w:p>
      <w:pPr>
        <w:spacing w:after="0" w:line="97"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The members of our Compensation Committee are Messrs. Berenson, Biondi, Graves and Kender. Mr. Graves serves as the Chairperson of the Compensation Committee.</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 met six times during 2019.</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17" w:lineRule="exact"/>
        <w:rPr>
          <w:sz w:val="20"/>
          <w:szCs w:val="20"/>
          <w:color w:val="auto"/>
        </w:rPr>
      </w:pPr>
    </w:p>
    <w:p>
      <w:pPr>
        <w:ind w:left="1540" w:hanging="439"/>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63" w:lineRule="exact"/>
        <w:rPr>
          <w:rFonts w:ascii="Arial" w:cs="Arial" w:eastAsia="Arial" w:hAnsi="Arial"/>
          <w:sz w:val="18"/>
          <w:szCs w:val="18"/>
          <w:color w:val="auto"/>
        </w:rPr>
      </w:pPr>
    </w:p>
    <w:p>
      <w:pPr>
        <w:ind w:left="1540" w:right="660" w:hanging="439"/>
        <w:spacing w:after="0" w:line="234"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board committee;</w:t>
      </w:r>
    </w:p>
    <w:p>
      <w:pPr>
        <w:spacing w:after="0" w:line="1" w:lineRule="exact"/>
        <w:rPr>
          <w:rFonts w:ascii="Arial" w:cs="Arial" w:eastAsia="Arial" w:hAnsi="Arial"/>
          <w:sz w:val="18"/>
          <w:szCs w:val="18"/>
          <w:color w:val="auto"/>
        </w:rPr>
      </w:pPr>
    </w:p>
    <w:p>
      <w:pPr>
        <w:ind w:left="1540" w:hanging="439"/>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principles; and</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104" w:lineRule="exact"/>
        <w:rPr>
          <w:sz w:val="20"/>
          <w:szCs w:val="20"/>
          <w:color w:val="auto"/>
        </w:rPr>
      </w:pPr>
    </w:p>
    <w:p>
      <w:pPr>
        <w:jc w:val="both"/>
        <w:ind w:left="120" w:right="420"/>
        <w:spacing w:after="0"/>
        <w:rPr>
          <w:sz w:val="20"/>
          <w:szCs w:val="20"/>
          <w:color w:val="auto"/>
        </w:rPr>
      </w:pPr>
      <w:r>
        <w:rPr>
          <w:rFonts w:ascii="Arial" w:cs="Arial" w:eastAsia="Arial" w:hAnsi="Arial"/>
          <w:sz w:val="18"/>
          <w:szCs w:val="18"/>
          <w:color w:val="auto"/>
        </w:rPr>
        <w:t>The members of our Nominating and Corporate Governance Committee are Messrs. Berenson and Behar and Dr. Kim. Mr. Berenson serves as the Chairperson of the Nominating and Corporate Governance Committee. As noted above, Dr. Kim is not standing for re-election at the Annual Meeting.</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Nominating and Corporate Governance Committee met four times in 2019.</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This section discusses the material components of the executive compensation program offered to our named executive officers, or NEOs, identified below. For 2019, our NEOs were:</w:t>
      </w:r>
    </w:p>
    <w:p>
      <w:pPr>
        <w:spacing w:after="0" w:line="102" w:lineRule="exact"/>
        <w:rPr>
          <w:sz w:val="20"/>
          <w:szCs w:val="20"/>
          <w:color w:val="auto"/>
        </w:rPr>
      </w:pPr>
    </w:p>
    <w:p>
      <w:pPr>
        <w:ind w:left="980" w:hanging="43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Eric D. Shaff, our current President and Chief Executive Officer;</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Thomas J. DesRosier, our Chief Legal Officer, Executive Vice President and Secretary;</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Matthew R. Henn, Ph.D., our Executive Vice President and Chief Scientific Officer; and</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Roger J. Pomerantz, M.D., our former President and Chief Executive Officer.</w:t>
      </w:r>
    </w:p>
    <w:p>
      <w:pPr>
        <w:spacing w:after="0" w:line="104"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Dr. Pomerantz resigned his employment and offices with us in January 2019 and was succeeded by Mr. Shaff, our current President and Chief Executive Officer.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26" w:lineRule="exact"/>
        <w:rPr>
          <w:sz w:val="20"/>
          <w:szCs w:val="20"/>
          <w:color w:val="auto"/>
        </w:rPr>
      </w:pPr>
    </w:p>
    <w:p>
      <w:pPr>
        <w:ind w:left="120" w:right="20"/>
        <w:spacing w:after="0" w:line="255" w:lineRule="auto"/>
        <w:rPr>
          <w:sz w:val="20"/>
          <w:szCs w:val="20"/>
          <w:color w:val="auto"/>
        </w:rPr>
      </w:pPr>
      <w:r>
        <w:rPr>
          <w:rFonts w:ascii="Arial" w:cs="Arial" w:eastAsia="Arial" w:hAnsi="Arial"/>
          <w:sz w:val="17"/>
          <w:szCs w:val="17"/>
          <w:color w:val="auto"/>
        </w:rPr>
        <w:t>We intend that the total compensation of our NEOs reflect a “pay for performance” compensation philosophy. We generally target total compensation relative to the 50th percentile of our peer group, but the Compensation Committee retains discretion to adjust compensation reflecting individual factors or performance. Our executive compensation program consists of three primary components: base salary, annual performance-based cash incentive awards and periodic equity-based incentives, which, in 2019, consisted of grants of stock options. We also prohibit our employees and directors from engaging in hedging transactions with regard to the Company’s securities.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26"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Compensation Committee makes compensation decisions regarding all of our NEOs. Our President and Chief Executive Officer makes recommendations to the Compensation Committee to assist it in determining compensation levels for our other executive officers and reviews the performance of our other executive officers. While the Compensation Committee utilizes this information and values management’s observations with regard to compensation, the ultimate decisions regarding executive compensation are made by the Compensation Committee.</w:t>
      </w:r>
    </w:p>
    <w:p>
      <w:pPr>
        <w:spacing w:after="0" w:line="94" w:lineRule="exact"/>
        <w:rPr>
          <w:sz w:val="20"/>
          <w:szCs w:val="20"/>
          <w:color w:val="auto"/>
        </w:rPr>
      </w:pPr>
    </w:p>
    <w:p>
      <w:pPr>
        <w:ind w:left="120" w:right="120"/>
        <w:spacing w:after="0" w:line="235" w:lineRule="auto"/>
        <w:rPr>
          <w:sz w:val="20"/>
          <w:szCs w:val="20"/>
          <w:color w:val="auto"/>
        </w:rPr>
      </w:pPr>
      <w:r>
        <w:rPr>
          <w:rFonts w:ascii="Arial" w:cs="Arial" w:eastAsia="Arial" w:hAnsi="Arial"/>
          <w:sz w:val="18"/>
          <w:szCs w:val="18"/>
          <w:color w:val="auto"/>
        </w:rPr>
        <w:t>Our Compensation Committee has the authority under its charter to engage the services of a consulting firm or other outside advisor to assist it in designing our compensation programs and in making executive compensation decisions. Our Compensation Committee has engaged Aon, specifically members of its Radford advisory team (“Radford”), a compensation consulting firm, as its compensation consultant to assess and make recommendations with respect to the amount and types of compensation to provide our executives and directors. When making executive compensation decisions in 2019, our Compensation Committee considered advice and data provided by Radford, and also met with Radford to discuss compensation of our executive officers, including Mr. Shaff. Radford reported directly to the Compensation Committee; however, Mr. Shaff, our President and Chief Executive Officer, consulted with Radford with respect to its assessments of the compensation of executive officers other than himself. Radford provided the Compensation Committee with peer group and market information that the Compensation Committee used when determining whether our executive compensation is competitive, commensurate with the executive officers’ responsibilities and consistent with market trends in executive compensation practices for comparable companies. Radford also provides additional services to us that are unrelated to executive and director compensation. The fees for these additional services were less than $120,000 during 2019. The Compensation Committee has considered the adviser independence factors required under SEC rules and Nasdaq listing standards as they relate to Radford and does not believe Radford’s work in 2019 raised a conflict of interest.</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 Compensation Committee recognizes the very competitive market for executive talent in our industry, and the importance of attracting and retaining strong talent as our business continues to evolve. Our positioning on compensation is intended to keep the Company competitive while strongly incentivizing performance and appropriately controlling executive compensation cost.</w:t>
      </w:r>
    </w:p>
    <w:p>
      <w:pPr>
        <w:spacing w:after="0" w:line="9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connection with the Compensation Committee’s review of our executive compensation programs in 2019, Radford provided market data and analysis relative to the following peer group of pre-commercial, publicly traded companies with a similar market capitalization selected by the Compensation Committee in consultation with Radford. Compared to the prior year, the Compensation Committee removed six companies due to changes in peer company profiles related to market capitalization and development stage and added six new peer companies that better aligned with the Company’s stage of development and market capitalization:</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color w:val="auto"/>
              </w:rPr>
              <w:t>Ardelyx, Inc.</w:t>
            </w:r>
          </w:p>
        </w:tc>
        <w:tc>
          <w:tcPr>
            <w:tcW w:w="3920" w:type="dxa"/>
            <w:vAlign w:val="bottom"/>
          </w:tcPr>
          <w:p>
            <w:pPr>
              <w:ind w:left="620"/>
              <w:spacing w:after="0"/>
              <w:rPr>
                <w:sz w:val="20"/>
                <w:szCs w:val="20"/>
                <w:color w:val="auto"/>
              </w:rPr>
            </w:pPr>
            <w:r>
              <w:rPr>
                <w:rFonts w:ascii="Arial" w:cs="Arial" w:eastAsia="Arial" w:hAnsi="Arial"/>
                <w:sz w:val="18"/>
                <w:szCs w:val="18"/>
                <w:color w:val="auto"/>
              </w:rPr>
              <w:t>Concert Pharmaceuticals, Inc.</w:t>
            </w:r>
          </w:p>
        </w:tc>
        <w:tc>
          <w:tcPr>
            <w:tcW w:w="3120" w:type="dxa"/>
            <w:vAlign w:val="bottom"/>
          </w:tcPr>
          <w:p>
            <w:pPr>
              <w:ind w:left="780"/>
              <w:spacing w:after="0"/>
              <w:rPr>
                <w:sz w:val="20"/>
                <w:szCs w:val="20"/>
                <w:color w:val="auto"/>
              </w:rPr>
            </w:pPr>
            <w:r>
              <w:rPr>
                <w:rFonts w:ascii="Arial" w:cs="Arial" w:eastAsia="Arial" w:hAnsi="Arial"/>
                <w:sz w:val="18"/>
                <w:szCs w:val="18"/>
                <w:color w:val="auto"/>
                <w:w w:val="98"/>
              </w:rPr>
              <w:t>Corbus Pharmaceuticals, Inc.</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Cytokinetics, Inc.</w:t>
            </w:r>
          </w:p>
        </w:tc>
        <w:tc>
          <w:tcPr>
            <w:tcW w:w="3920" w:type="dxa"/>
            <w:vAlign w:val="bottom"/>
          </w:tcPr>
          <w:p>
            <w:pPr>
              <w:ind w:left="620"/>
              <w:spacing w:after="0" w:line="202" w:lineRule="exact"/>
              <w:rPr>
                <w:sz w:val="20"/>
                <w:szCs w:val="20"/>
                <w:color w:val="auto"/>
              </w:rPr>
            </w:pPr>
            <w:r>
              <w:rPr>
                <w:rFonts w:ascii="Arial" w:cs="Arial" w:eastAsia="Arial" w:hAnsi="Arial"/>
                <w:sz w:val="18"/>
                <w:szCs w:val="18"/>
                <w:color w:val="auto"/>
              </w:rPr>
              <w:t>Evelo Biosciences, Inc.</w:t>
            </w:r>
          </w:p>
        </w:tc>
        <w:tc>
          <w:tcPr>
            <w:tcW w:w="3120" w:type="dxa"/>
            <w:vAlign w:val="bottom"/>
          </w:tcPr>
          <w:p>
            <w:pPr>
              <w:ind w:left="780"/>
              <w:spacing w:after="0" w:line="202" w:lineRule="exact"/>
              <w:rPr>
                <w:sz w:val="20"/>
                <w:szCs w:val="20"/>
                <w:color w:val="auto"/>
              </w:rPr>
            </w:pPr>
            <w:r>
              <w:rPr>
                <w:rFonts w:ascii="Arial" w:cs="Arial" w:eastAsia="Arial" w:hAnsi="Arial"/>
                <w:sz w:val="18"/>
                <w:szCs w:val="18"/>
                <w:color w:val="auto"/>
              </w:rPr>
              <w:t>ImmunoGen, Inc.</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Inovio Pharmaceuticals, Inc.</w:t>
            </w:r>
          </w:p>
        </w:tc>
        <w:tc>
          <w:tcPr>
            <w:tcW w:w="3920" w:type="dxa"/>
            <w:vAlign w:val="bottom"/>
          </w:tcPr>
          <w:p>
            <w:pPr>
              <w:ind w:left="620"/>
              <w:spacing w:after="0" w:line="202" w:lineRule="exact"/>
              <w:rPr>
                <w:sz w:val="20"/>
                <w:szCs w:val="20"/>
                <w:color w:val="auto"/>
              </w:rPr>
            </w:pPr>
            <w:r>
              <w:rPr>
                <w:rFonts w:ascii="Arial" w:cs="Arial" w:eastAsia="Arial" w:hAnsi="Arial"/>
                <w:sz w:val="18"/>
                <w:szCs w:val="18"/>
                <w:color w:val="auto"/>
              </w:rPr>
              <w:t>Intra-Cellular Therapeutics, Inc.</w:t>
            </w:r>
          </w:p>
        </w:tc>
        <w:tc>
          <w:tcPr>
            <w:tcW w:w="3120" w:type="dxa"/>
            <w:vAlign w:val="bottom"/>
          </w:tcPr>
          <w:p>
            <w:pPr>
              <w:ind w:left="780"/>
              <w:spacing w:after="0" w:line="202" w:lineRule="exact"/>
              <w:rPr>
                <w:sz w:val="20"/>
                <w:szCs w:val="20"/>
                <w:color w:val="auto"/>
              </w:rPr>
            </w:pPr>
            <w:r>
              <w:rPr>
                <w:rFonts w:ascii="Arial" w:cs="Arial" w:eastAsia="Arial" w:hAnsi="Arial"/>
                <w:sz w:val="18"/>
                <w:szCs w:val="18"/>
                <w:color w:val="auto"/>
              </w:rPr>
              <w:t>Jounce Therapeutics, Inc.</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Kaleido BioSciences, Inc.</w:t>
            </w:r>
          </w:p>
        </w:tc>
        <w:tc>
          <w:tcPr>
            <w:tcW w:w="3920" w:type="dxa"/>
            <w:vAlign w:val="bottom"/>
          </w:tcPr>
          <w:p>
            <w:pPr>
              <w:ind w:left="620"/>
              <w:spacing w:after="0" w:line="202" w:lineRule="exact"/>
              <w:rPr>
                <w:sz w:val="20"/>
                <w:szCs w:val="20"/>
                <w:color w:val="auto"/>
              </w:rPr>
            </w:pPr>
            <w:r>
              <w:rPr>
                <w:rFonts w:ascii="Arial" w:cs="Arial" w:eastAsia="Arial" w:hAnsi="Arial"/>
                <w:sz w:val="18"/>
                <w:szCs w:val="18"/>
                <w:color w:val="auto"/>
              </w:rPr>
              <w:t>Karyopham Therapeutics, Inc.</w:t>
            </w:r>
          </w:p>
        </w:tc>
        <w:tc>
          <w:tcPr>
            <w:tcW w:w="3120" w:type="dxa"/>
            <w:vAlign w:val="bottom"/>
          </w:tcPr>
          <w:p>
            <w:pPr>
              <w:ind w:left="780"/>
              <w:spacing w:after="0" w:line="202" w:lineRule="exact"/>
              <w:rPr>
                <w:sz w:val="20"/>
                <w:szCs w:val="20"/>
                <w:color w:val="auto"/>
              </w:rPr>
            </w:pPr>
            <w:r>
              <w:rPr>
                <w:rFonts w:ascii="Arial" w:cs="Arial" w:eastAsia="Arial" w:hAnsi="Arial"/>
                <w:sz w:val="18"/>
                <w:szCs w:val="18"/>
                <w:color w:val="auto"/>
              </w:rPr>
              <w:t>MacroGenics, Inc.</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Novavax, Inc.</w:t>
            </w:r>
          </w:p>
        </w:tc>
        <w:tc>
          <w:tcPr>
            <w:tcW w:w="3920" w:type="dxa"/>
            <w:vAlign w:val="bottom"/>
          </w:tcPr>
          <w:p>
            <w:pPr>
              <w:ind w:left="620"/>
              <w:spacing w:after="0" w:line="202" w:lineRule="exact"/>
              <w:rPr>
                <w:sz w:val="20"/>
                <w:szCs w:val="20"/>
                <w:color w:val="auto"/>
              </w:rPr>
            </w:pPr>
            <w:r>
              <w:rPr>
                <w:rFonts w:ascii="Arial" w:cs="Arial" w:eastAsia="Arial" w:hAnsi="Arial"/>
                <w:sz w:val="18"/>
                <w:szCs w:val="18"/>
                <w:color w:val="auto"/>
              </w:rPr>
              <w:t>Revance Therapeutics, Inc.</w:t>
            </w:r>
          </w:p>
        </w:tc>
        <w:tc>
          <w:tcPr>
            <w:tcW w:w="3120" w:type="dxa"/>
            <w:vAlign w:val="bottom"/>
          </w:tcPr>
          <w:p>
            <w:pPr>
              <w:ind w:left="780"/>
              <w:spacing w:after="0" w:line="202" w:lineRule="exact"/>
              <w:rPr>
                <w:sz w:val="20"/>
                <w:szCs w:val="20"/>
                <w:color w:val="auto"/>
              </w:rPr>
            </w:pPr>
            <w:r>
              <w:rPr>
                <w:rFonts w:ascii="Arial" w:cs="Arial" w:eastAsia="Arial" w:hAnsi="Arial"/>
                <w:sz w:val="18"/>
                <w:szCs w:val="18"/>
                <w:color w:val="auto"/>
              </w:rPr>
              <w:t>Scholar Rock, Inc.</w:t>
            </w:r>
          </w:p>
        </w:tc>
      </w:tr>
      <w:tr>
        <w:trPr>
          <w:trHeight w:val="217"/>
        </w:trPr>
        <w:tc>
          <w:tcPr>
            <w:tcW w:w="3000" w:type="dxa"/>
            <w:vAlign w:val="bottom"/>
          </w:tcPr>
          <w:p>
            <w:pPr>
              <w:spacing w:after="0"/>
              <w:rPr>
                <w:sz w:val="20"/>
                <w:szCs w:val="20"/>
                <w:color w:val="auto"/>
              </w:rPr>
            </w:pPr>
            <w:r>
              <w:rPr>
                <w:rFonts w:ascii="Arial" w:cs="Arial" w:eastAsia="Arial" w:hAnsi="Arial"/>
                <w:sz w:val="18"/>
                <w:szCs w:val="18"/>
                <w:color w:val="auto"/>
              </w:rPr>
              <w:t>Syndax Pharmaceuticals, Inc.</w:t>
            </w:r>
          </w:p>
        </w:tc>
        <w:tc>
          <w:tcPr>
            <w:tcW w:w="3920" w:type="dxa"/>
            <w:vAlign w:val="bottom"/>
          </w:tcPr>
          <w:p>
            <w:pPr>
              <w:ind w:left="620"/>
              <w:spacing w:after="0"/>
              <w:rPr>
                <w:sz w:val="20"/>
                <w:szCs w:val="20"/>
                <w:color w:val="auto"/>
              </w:rPr>
            </w:pPr>
            <w:r>
              <w:rPr>
                <w:rFonts w:ascii="Arial" w:cs="Arial" w:eastAsia="Arial" w:hAnsi="Arial"/>
                <w:sz w:val="18"/>
                <w:szCs w:val="18"/>
                <w:color w:val="auto"/>
              </w:rPr>
              <w:t>Syros Pharmaceuticals, Inc.</w:t>
            </w:r>
          </w:p>
        </w:tc>
        <w:tc>
          <w:tcPr>
            <w:tcW w:w="3120" w:type="dxa"/>
            <w:vAlign w:val="bottom"/>
          </w:tcPr>
          <w:p>
            <w:pPr>
              <w:spacing w:after="0"/>
              <w:rPr>
                <w:sz w:val="18"/>
                <w:szCs w:val="18"/>
                <w:color w:val="auto"/>
              </w:rPr>
            </w:pPr>
          </w:p>
        </w:tc>
      </w:tr>
    </w:tbl>
    <w:p>
      <w:pPr>
        <w:spacing w:after="0" w:line="94" w:lineRule="exact"/>
        <w:rPr>
          <w:sz w:val="20"/>
          <w:szCs w:val="20"/>
          <w:color w:val="auto"/>
        </w:rPr>
      </w:pPr>
    </w:p>
    <w:p>
      <w:pPr>
        <w:ind w:left="120" w:right="140"/>
        <w:spacing w:after="0" w:line="253" w:lineRule="auto"/>
        <w:rPr>
          <w:sz w:val="20"/>
          <w:szCs w:val="20"/>
          <w:color w:val="auto"/>
        </w:rPr>
      </w:pPr>
      <w:r>
        <w:rPr>
          <w:rFonts w:ascii="Arial" w:cs="Arial" w:eastAsia="Arial" w:hAnsi="Arial"/>
          <w:sz w:val="17"/>
          <w:szCs w:val="17"/>
          <w:color w:val="auto"/>
        </w:rPr>
        <w:t>The Compensation Committee believes the constituent companies in the peer group are similar to us based on development stage, revenue, industry, executive role considerations and market capitalization and are representative of our competitors for talent and capital. Radford provides the Compensation Committee with a competitive assessment of our compensation program for executive officers against the peer group with respect to pay philosophies, pay mix, cash and equity-linked compensation. The Compensation Committee utilizes the peer group in making compensation decisions to help ensure our compensation program for executive officers adheres to our compensation philosophy of maintaining executive pay that rewards performance while remaining competitive, commensurate with the executive officers’ responsibilities and consistent with market trends in executive compensation practices for comparable companies.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2019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22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820" w:type="dxa"/>
            <w:vAlign w:val="bottom"/>
            <w:shd w:val="clear" w:color="auto" w:fill="E5E5E5"/>
          </w:tcPr>
          <w:p>
            <w:pPr>
              <w:spacing w:after="0"/>
              <w:rPr>
                <w:sz w:val="13"/>
                <w:szCs w:val="13"/>
                <w:color w:val="auto"/>
              </w:rPr>
            </w:pPr>
          </w:p>
        </w:tc>
        <w:tc>
          <w:tcPr>
            <w:tcW w:w="116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Non-Equity</w:t>
            </w:r>
          </w:p>
        </w:tc>
        <w:tc>
          <w:tcPr>
            <w:tcW w:w="1300" w:type="dxa"/>
            <w:vAlign w:val="bottom"/>
            <w:shd w:val="clear" w:color="auto" w:fill="E5E5E5"/>
          </w:tcPr>
          <w:p>
            <w:pPr>
              <w:spacing w:after="0"/>
              <w:rPr>
                <w:sz w:val="13"/>
                <w:szCs w:val="13"/>
                <w:color w:val="auto"/>
              </w:rPr>
            </w:pPr>
          </w:p>
        </w:tc>
        <w:tc>
          <w:tcPr>
            <w:tcW w:w="82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1040" w:type="dxa"/>
            <w:vAlign w:val="bottom"/>
            <w:vMerge w:val="restart"/>
            <w:shd w:val="clear" w:color="auto" w:fill="E5E5E5"/>
          </w:tcPr>
          <w:p>
            <w:pPr>
              <w:jc w:val="right"/>
              <w:ind w:right="373"/>
              <w:spacing w:after="0"/>
              <w:rPr>
                <w:sz w:val="20"/>
                <w:szCs w:val="20"/>
                <w:color w:val="auto"/>
              </w:rPr>
            </w:pPr>
            <w:r>
              <w:rPr>
                <w:rFonts w:ascii="Arial" w:cs="Arial" w:eastAsia="Arial" w:hAnsi="Arial"/>
                <w:sz w:val="13"/>
                <w:szCs w:val="13"/>
                <w:b w:val="1"/>
                <w:bCs w:val="1"/>
                <w:color w:val="auto"/>
              </w:rPr>
              <w:t>Salary</w:t>
            </w:r>
          </w:p>
        </w:tc>
        <w:tc>
          <w:tcPr>
            <w:tcW w:w="82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Option</w:t>
            </w:r>
          </w:p>
        </w:tc>
        <w:tc>
          <w:tcPr>
            <w:tcW w:w="116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Incentive Plan</w:t>
            </w:r>
          </w:p>
        </w:tc>
        <w:tc>
          <w:tcPr>
            <w:tcW w:w="1300" w:type="dxa"/>
            <w:vAlign w:val="bottom"/>
            <w:shd w:val="clear" w:color="auto" w:fill="E5E5E5"/>
          </w:tcPr>
          <w:p>
            <w:pPr>
              <w:jc w:val="center"/>
              <w:ind w:right="93"/>
              <w:spacing w:after="0"/>
              <w:rPr>
                <w:sz w:val="20"/>
                <w:szCs w:val="20"/>
                <w:color w:val="auto"/>
              </w:rPr>
            </w:pPr>
            <w:r>
              <w:rPr>
                <w:rFonts w:ascii="Arial" w:cs="Arial" w:eastAsia="Arial" w:hAnsi="Arial"/>
                <w:sz w:val="13"/>
                <w:szCs w:val="13"/>
                <w:b w:val="1"/>
                <w:bCs w:val="1"/>
                <w:color w:val="auto"/>
              </w:rPr>
              <w:t>All Other</w:t>
            </w:r>
          </w:p>
        </w:tc>
        <w:tc>
          <w:tcPr>
            <w:tcW w:w="8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22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1040" w:type="dxa"/>
            <w:vAlign w:val="bottom"/>
            <w:vMerge w:val="continue"/>
            <w:shd w:val="clear" w:color="auto" w:fill="E5E5E5"/>
          </w:tcPr>
          <w:p>
            <w:pPr>
              <w:spacing w:after="0"/>
              <w:rPr>
                <w:sz w:val="12"/>
                <w:szCs w:val="12"/>
                <w:color w:val="auto"/>
              </w:rPr>
            </w:pPr>
          </w:p>
        </w:tc>
        <w:tc>
          <w:tcPr>
            <w:tcW w:w="820" w:type="dxa"/>
            <w:vAlign w:val="bottom"/>
            <w:shd w:val="clear" w:color="auto" w:fill="E5E5E5"/>
          </w:tcPr>
          <w:p>
            <w:pPr>
              <w:jc w:val="center"/>
              <w:spacing w:after="0" w:line="138" w:lineRule="exact"/>
              <w:rPr>
                <w:sz w:val="20"/>
                <w:szCs w:val="20"/>
                <w:color w:val="auto"/>
              </w:rPr>
            </w:pPr>
            <w:r>
              <w:rPr>
                <w:rFonts w:ascii="Arial" w:cs="Arial" w:eastAsia="Arial" w:hAnsi="Arial"/>
                <w:sz w:val="13"/>
                <w:szCs w:val="13"/>
                <w:b w:val="1"/>
                <w:bCs w:val="1"/>
                <w:color w:val="auto"/>
              </w:rPr>
              <w:t>Awards</w:t>
            </w:r>
          </w:p>
        </w:tc>
        <w:tc>
          <w:tcPr>
            <w:tcW w:w="1160" w:type="dxa"/>
            <w:vAlign w:val="bottom"/>
            <w:shd w:val="clear" w:color="auto" w:fill="E5E5E5"/>
          </w:tcPr>
          <w:p>
            <w:pPr>
              <w:jc w:val="center"/>
              <w:spacing w:after="0" w:line="138" w:lineRule="exact"/>
              <w:rPr>
                <w:sz w:val="20"/>
                <w:szCs w:val="20"/>
                <w:color w:val="auto"/>
              </w:rPr>
            </w:pPr>
            <w:r>
              <w:rPr>
                <w:rFonts w:ascii="Arial" w:cs="Arial" w:eastAsia="Arial" w:hAnsi="Arial"/>
                <w:sz w:val="13"/>
                <w:szCs w:val="13"/>
                <w:b w:val="1"/>
                <w:bCs w:val="1"/>
                <w:color w:val="auto"/>
              </w:rPr>
              <w:t>Compensation</w:t>
            </w:r>
          </w:p>
        </w:tc>
        <w:tc>
          <w:tcPr>
            <w:tcW w:w="1300" w:type="dxa"/>
            <w:vAlign w:val="bottom"/>
            <w:shd w:val="clear" w:color="auto" w:fill="E5E5E5"/>
          </w:tcPr>
          <w:p>
            <w:pPr>
              <w:jc w:val="center"/>
              <w:ind w:right="93"/>
              <w:spacing w:after="0" w:line="138" w:lineRule="exact"/>
              <w:rPr>
                <w:sz w:val="20"/>
                <w:szCs w:val="20"/>
                <w:color w:val="auto"/>
              </w:rPr>
            </w:pPr>
            <w:r>
              <w:rPr>
                <w:rFonts w:ascii="Arial" w:cs="Arial" w:eastAsia="Arial" w:hAnsi="Arial"/>
                <w:sz w:val="13"/>
                <w:szCs w:val="13"/>
                <w:b w:val="1"/>
                <w:bCs w:val="1"/>
                <w:color w:val="auto"/>
              </w:rPr>
              <w:t>Compensation</w:t>
            </w:r>
          </w:p>
        </w:tc>
        <w:tc>
          <w:tcPr>
            <w:tcW w:w="8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 and Principal Position</w:t>
            </w:r>
          </w:p>
        </w:tc>
        <w:tc>
          <w:tcPr>
            <w:tcW w:w="6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3"/>
                <w:szCs w:val="13"/>
                <w:b w:val="1"/>
                <w:bCs w:val="1"/>
                <w:color w:val="auto"/>
              </w:rPr>
              <w:t>Year</w:t>
            </w:r>
          </w:p>
        </w:tc>
        <w:tc>
          <w:tcPr>
            <w:tcW w:w="1040" w:type="dxa"/>
            <w:vAlign w:val="bottom"/>
            <w:tcBorders>
              <w:bottom w:val="single" w:sz="8" w:color="auto"/>
            </w:tcBorders>
            <w:shd w:val="clear" w:color="auto" w:fill="E5E5E5"/>
          </w:tcPr>
          <w:p>
            <w:pPr>
              <w:jc w:val="right"/>
              <w:ind w:right="493"/>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($)(3)</w:t>
            </w:r>
          </w:p>
        </w:tc>
        <w:tc>
          <w:tcPr>
            <w:tcW w:w="11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($)(4)</w:t>
            </w:r>
          </w:p>
        </w:tc>
        <w:tc>
          <w:tcPr>
            <w:tcW w:w="1300" w:type="dxa"/>
            <w:vAlign w:val="bottom"/>
            <w:tcBorders>
              <w:bottom w:val="single" w:sz="8" w:color="auto"/>
            </w:tcBorders>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27"/>
        </w:trPr>
        <w:tc>
          <w:tcPr>
            <w:tcW w:w="5220" w:type="dxa"/>
            <w:vAlign w:val="bottom"/>
          </w:tcPr>
          <w:p>
            <w:pPr>
              <w:ind w:left="60"/>
              <w:spacing w:after="0" w:line="128" w:lineRule="exact"/>
              <w:rPr>
                <w:sz w:val="20"/>
                <w:szCs w:val="20"/>
                <w:color w:val="auto"/>
              </w:rPr>
            </w:pPr>
            <w:r>
              <w:rPr>
                <w:rFonts w:ascii="Arial" w:cs="Arial" w:eastAsia="Arial" w:hAnsi="Arial"/>
                <w:sz w:val="13"/>
                <w:szCs w:val="13"/>
                <w:color w:val="auto"/>
              </w:rPr>
              <w:t xml:space="preserve">Eric D. Shaff </w:t>
            </w:r>
            <w:r>
              <w:rPr>
                <w:rFonts w:ascii="Arial" w:cs="Arial" w:eastAsia="Arial" w:hAnsi="Arial"/>
                <w:sz w:val="11"/>
                <w:szCs w:val="11"/>
                <w:color w:val="auto"/>
              </w:rPr>
              <w:t>(1)</w:t>
            </w:r>
          </w:p>
        </w:tc>
        <w:tc>
          <w:tcPr>
            <w:tcW w:w="660" w:type="dxa"/>
            <w:vAlign w:val="bottom"/>
          </w:tcPr>
          <w:p>
            <w:pPr>
              <w:ind w:left="160"/>
              <w:spacing w:after="0" w:line="128" w:lineRule="exact"/>
              <w:rPr>
                <w:sz w:val="20"/>
                <w:szCs w:val="20"/>
                <w:color w:val="auto"/>
              </w:rPr>
            </w:pPr>
            <w:r>
              <w:rPr>
                <w:rFonts w:ascii="Arial" w:cs="Arial" w:eastAsia="Arial" w:hAnsi="Arial"/>
                <w:sz w:val="13"/>
                <w:szCs w:val="13"/>
                <w:color w:val="auto"/>
              </w:rPr>
              <w:t>2019</w:t>
            </w:r>
          </w:p>
        </w:tc>
        <w:tc>
          <w:tcPr>
            <w:tcW w:w="1040" w:type="dxa"/>
            <w:vAlign w:val="bottom"/>
          </w:tcPr>
          <w:p>
            <w:pPr>
              <w:jc w:val="right"/>
              <w:ind w:right="193"/>
              <w:spacing w:after="0" w:line="128" w:lineRule="exact"/>
              <w:rPr>
                <w:sz w:val="20"/>
                <w:szCs w:val="20"/>
                <w:color w:val="auto"/>
              </w:rPr>
            </w:pPr>
            <w:r>
              <w:rPr>
                <w:rFonts w:ascii="Arial" w:cs="Arial" w:eastAsia="Arial" w:hAnsi="Arial"/>
                <w:sz w:val="13"/>
                <w:szCs w:val="13"/>
                <w:color w:val="auto"/>
              </w:rPr>
              <w:t>540,000</w:t>
            </w:r>
          </w:p>
        </w:tc>
        <w:tc>
          <w:tcPr>
            <w:tcW w:w="820" w:type="dxa"/>
            <w:vAlign w:val="bottom"/>
          </w:tcPr>
          <w:p>
            <w:pPr>
              <w:jc w:val="right"/>
              <w:ind w:right="53"/>
              <w:spacing w:after="0" w:line="128" w:lineRule="exact"/>
              <w:rPr>
                <w:sz w:val="20"/>
                <w:szCs w:val="20"/>
                <w:color w:val="auto"/>
              </w:rPr>
            </w:pPr>
            <w:r>
              <w:rPr>
                <w:rFonts w:ascii="Arial" w:cs="Arial" w:eastAsia="Arial" w:hAnsi="Arial"/>
                <w:sz w:val="13"/>
                <w:szCs w:val="13"/>
                <w:color w:val="auto"/>
              </w:rPr>
              <w:t>1,231,148</w:t>
            </w:r>
          </w:p>
        </w:tc>
        <w:tc>
          <w:tcPr>
            <w:tcW w:w="1160" w:type="dxa"/>
            <w:vAlign w:val="bottom"/>
          </w:tcPr>
          <w:p>
            <w:pPr>
              <w:jc w:val="right"/>
              <w:ind w:right="53"/>
              <w:spacing w:after="0" w:line="128" w:lineRule="exact"/>
              <w:rPr>
                <w:sz w:val="20"/>
                <w:szCs w:val="20"/>
                <w:color w:val="auto"/>
              </w:rPr>
            </w:pPr>
            <w:r>
              <w:rPr>
                <w:rFonts w:ascii="Arial" w:cs="Arial" w:eastAsia="Arial" w:hAnsi="Arial"/>
                <w:sz w:val="13"/>
                <w:szCs w:val="13"/>
                <w:color w:val="auto"/>
              </w:rPr>
              <w:t>253,000</w:t>
            </w:r>
          </w:p>
        </w:tc>
        <w:tc>
          <w:tcPr>
            <w:tcW w:w="1300" w:type="dxa"/>
            <w:vAlign w:val="bottom"/>
          </w:tcPr>
          <w:p>
            <w:pPr>
              <w:jc w:val="right"/>
              <w:ind w:right="13"/>
              <w:spacing w:after="0" w:line="128" w:lineRule="exact"/>
              <w:rPr>
                <w:sz w:val="20"/>
                <w:szCs w:val="20"/>
                <w:color w:val="auto"/>
              </w:rPr>
            </w:pPr>
            <w:r>
              <w:rPr>
                <w:rFonts w:ascii="Arial" w:cs="Arial" w:eastAsia="Arial" w:hAnsi="Arial"/>
                <w:sz w:val="13"/>
                <w:szCs w:val="13"/>
                <w:color w:val="auto"/>
              </w:rPr>
              <w:t>8,400(5)</w:t>
            </w:r>
          </w:p>
        </w:tc>
        <w:tc>
          <w:tcPr>
            <w:tcW w:w="820" w:type="dxa"/>
            <w:vAlign w:val="bottom"/>
          </w:tcPr>
          <w:p>
            <w:pPr>
              <w:jc w:val="right"/>
              <w:ind w:right="53"/>
              <w:spacing w:after="0" w:line="128" w:lineRule="exact"/>
              <w:rPr>
                <w:sz w:val="20"/>
                <w:szCs w:val="20"/>
                <w:color w:val="auto"/>
              </w:rPr>
            </w:pPr>
            <w:r>
              <w:rPr>
                <w:rFonts w:ascii="Arial" w:cs="Arial" w:eastAsia="Arial" w:hAnsi="Arial"/>
                <w:sz w:val="13"/>
                <w:szCs w:val="13"/>
                <w:color w:val="auto"/>
              </w:rPr>
              <w:t>2,032,548</w:t>
            </w:r>
          </w:p>
        </w:tc>
        <w:tc>
          <w:tcPr>
            <w:tcW w:w="0" w:type="dxa"/>
            <w:vAlign w:val="bottom"/>
          </w:tcPr>
          <w:p>
            <w:pPr>
              <w:spacing w:after="0"/>
              <w:rPr>
                <w:sz w:val="1"/>
                <w:szCs w:val="1"/>
                <w:color w:val="auto"/>
              </w:rPr>
            </w:pPr>
          </w:p>
        </w:tc>
      </w:tr>
      <w:tr>
        <w:trPr>
          <w:trHeight w:val="163"/>
        </w:trPr>
        <w:tc>
          <w:tcPr>
            <w:tcW w:w="5220" w:type="dxa"/>
            <w:vAlign w:val="bottom"/>
          </w:tcPr>
          <w:p>
            <w:pPr>
              <w:ind w:left="60"/>
              <w:spacing w:after="0"/>
              <w:rPr>
                <w:sz w:val="20"/>
                <w:szCs w:val="20"/>
                <w:color w:val="auto"/>
              </w:rPr>
            </w:pPr>
            <w:r>
              <w:rPr>
                <w:rFonts w:ascii="Arial" w:cs="Arial" w:eastAsia="Arial" w:hAnsi="Arial"/>
                <w:sz w:val="13"/>
                <w:szCs w:val="13"/>
                <w:i w:val="1"/>
                <w:iCs w:val="1"/>
                <w:color w:val="auto"/>
              </w:rPr>
              <w:t>President and Chief Executive Officer</w:t>
            </w:r>
          </w:p>
        </w:tc>
        <w:tc>
          <w:tcPr>
            <w:tcW w:w="660" w:type="dxa"/>
            <w:vAlign w:val="bottom"/>
          </w:tcPr>
          <w:p>
            <w:pPr>
              <w:ind w:left="160"/>
              <w:spacing w:after="0"/>
              <w:rPr>
                <w:sz w:val="20"/>
                <w:szCs w:val="20"/>
                <w:color w:val="auto"/>
              </w:rPr>
            </w:pPr>
            <w:r>
              <w:rPr>
                <w:rFonts w:ascii="Arial" w:cs="Arial" w:eastAsia="Arial" w:hAnsi="Arial"/>
                <w:sz w:val="13"/>
                <w:szCs w:val="13"/>
                <w:color w:val="auto"/>
              </w:rPr>
              <w:t>2018</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435,000</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845,520</w:t>
            </w: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158,300</w:t>
            </w:r>
          </w:p>
        </w:tc>
        <w:tc>
          <w:tcPr>
            <w:tcW w:w="1300" w:type="dxa"/>
            <w:vAlign w:val="bottom"/>
          </w:tcPr>
          <w:p>
            <w:pPr>
              <w:jc w:val="right"/>
              <w:ind w:right="193"/>
              <w:spacing w:after="0"/>
              <w:rPr>
                <w:sz w:val="20"/>
                <w:szCs w:val="20"/>
                <w:color w:val="auto"/>
              </w:rPr>
            </w:pPr>
            <w:r>
              <w:rPr>
                <w:rFonts w:ascii="Arial" w:cs="Arial" w:eastAsia="Arial" w:hAnsi="Arial"/>
                <w:sz w:val="13"/>
                <w:szCs w:val="13"/>
                <w:color w:val="auto"/>
              </w:rPr>
              <w:t>8,250</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1,447,070</w:t>
            </w:r>
          </w:p>
        </w:tc>
        <w:tc>
          <w:tcPr>
            <w:tcW w:w="0" w:type="dxa"/>
            <w:vAlign w:val="bottom"/>
          </w:tcPr>
          <w:p>
            <w:pPr>
              <w:spacing w:after="0"/>
              <w:rPr>
                <w:sz w:val="1"/>
                <w:szCs w:val="1"/>
                <w:color w:val="auto"/>
              </w:rPr>
            </w:pPr>
          </w:p>
        </w:tc>
      </w:tr>
      <w:tr>
        <w:trPr>
          <w:trHeight w:val="134"/>
        </w:trPr>
        <w:tc>
          <w:tcPr>
            <w:tcW w:w="5220" w:type="dxa"/>
            <w:vAlign w:val="bottom"/>
            <w:shd w:val="clear" w:color="auto" w:fill="D8D8D8"/>
          </w:tcPr>
          <w:p>
            <w:pPr>
              <w:ind w:left="60"/>
              <w:spacing w:after="0" w:line="134" w:lineRule="exact"/>
              <w:rPr>
                <w:sz w:val="20"/>
                <w:szCs w:val="20"/>
                <w:color w:val="auto"/>
              </w:rPr>
            </w:pPr>
            <w:r>
              <w:rPr>
                <w:rFonts w:ascii="Arial" w:cs="Arial" w:eastAsia="Arial" w:hAnsi="Arial"/>
                <w:sz w:val="13"/>
                <w:szCs w:val="13"/>
                <w:color w:val="auto"/>
              </w:rPr>
              <w:t>Thomas J. DesRosier</w:t>
            </w:r>
          </w:p>
        </w:tc>
        <w:tc>
          <w:tcPr>
            <w:tcW w:w="660" w:type="dxa"/>
            <w:vAlign w:val="bottom"/>
            <w:shd w:val="clear" w:color="auto" w:fill="D8D8D8"/>
          </w:tcPr>
          <w:p>
            <w:pPr>
              <w:ind w:left="160"/>
              <w:spacing w:after="0" w:line="134" w:lineRule="exact"/>
              <w:rPr>
                <w:sz w:val="20"/>
                <w:szCs w:val="20"/>
                <w:color w:val="auto"/>
              </w:rPr>
            </w:pPr>
            <w:r>
              <w:rPr>
                <w:rFonts w:ascii="Arial" w:cs="Arial" w:eastAsia="Arial" w:hAnsi="Arial"/>
                <w:sz w:val="13"/>
                <w:szCs w:val="13"/>
                <w:color w:val="auto"/>
              </w:rPr>
              <w:t>2019</w:t>
            </w:r>
          </w:p>
        </w:tc>
        <w:tc>
          <w:tcPr>
            <w:tcW w:w="1040" w:type="dxa"/>
            <w:vAlign w:val="bottom"/>
            <w:shd w:val="clear" w:color="auto" w:fill="D8D8D8"/>
          </w:tcPr>
          <w:p>
            <w:pPr>
              <w:jc w:val="right"/>
              <w:ind w:right="193"/>
              <w:spacing w:after="0" w:line="134" w:lineRule="exact"/>
              <w:rPr>
                <w:sz w:val="20"/>
                <w:szCs w:val="20"/>
                <w:color w:val="auto"/>
              </w:rPr>
            </w:pPr>
            <w:r>
              <w:rPr>
                <w:rFonts w:ascii="Arial" w:cs="Arial" w:eastAsia="Arial" w:hAnsi="Arial"/>
                <w:sz w:val="13"/>
                <w:szCs w:val="13"/>
                <w:color w:val="auto"/>
              </w:rPr>
              <w:t>428,300</w:t>
            </w:r>
          </w:p>
        </w:tc>
        <w:tc>
          <w:tcPr>
            <w:tcW w:w="820" w:type="dxa"/>
            <w:vAlign w:val="bottom"/>
            <w:shd w:val="clear" w:color="auto" w:fill="D8D8D8"/>
          </w:tcPr>
          <w:p>
            <w:pPr>
              <w:jc w:val="right"/>
              <w:ind w:right="53"/>
              <w:spacing w:after="0" w:line="134" w:lineRule="exact"/>
              <w:rPr>
                <w:sz w:val="20"/>
                <w:szCs w:val="20"/>
                <w:color w:val="auto"/>
              </w:rPr>
            </w:pPr>
            <w:r>
              <w:rPr>
                <w:rFonts w:ascii="Arial" w:cs="Arial" w:eastAsia="Arial" w:hAnsi="Arial"/>
                <w:sz w:val="13"/>
                <w:szCs w:val="13"/>
                <w:color w:val="auto"/>
              </w:rPr>
              <w:t>379,641</w:t>
            </w:r>
          </w:p>
        </w:tc>
        <w:tc>
          <w:tcPr>
            <w:tcW w:w="1160" w:type="dxa"/>
            <w:vAlign w:val="bottom"/>
            <w:shd w:val="clear" w:color="auto" w:fill="D8D8D8"/>
          </w:tcPr>
          <w:p>
            <w:pPr>
              <w:jc w:val="right"/>
              <w:ind w:right="53"/>
              <w:spacing w:after="0" w:line="134" w:lineRule="exact"/>
              <w:rPr>
                <w:sz w:val="20"/>
                <w:szCs w:val="20"/>
                <w:color w:val="auto"/>
              </w:rPr>
            </w:pPr>
            <w:r>
              <w:rPr>
                <w:rFonts w:ascii="Arial" w:cs="Arial" w:eastAsia="Arial" w:hAnsi="Arial"/>
                <w:sz w:val="13"/>
                <w:szCs w:val="13"/>
                <w:color w:val="auto"/>
              </w:rPr>
              <w:t>161,000</w:t>
            </w:r>
          </w:p>
        </w:tc>
        <w:tc>
          <w:tcPr>
            <w:tcW w:w="1300" w:type="dxa"/>
            <w:vAlign w:val="bottom"/>
            <w:shd w:val="clear" w:color="auto" w:fill="D8D8D8"/>
          </w:tcPr>
          <w:p>
            <w:pPr>
              <w:jc w:val="right"/>
              <w:ind w:right="13"/>
              <w:spacing w:after="0" w:line="134" w:lineRule="exact"/>
              <w:rPr>
                <w:sz w:val="20"/>
                <w:szCs w:val="20"/>
                <w:color w:val="auto"/>
              </w:rPr>
            </w:pPr>
            <w:r>
              <w:rPr>
                <w:rFonts w:ascii="Arial" w:cs="Arial" w:eastAsia="Arial" w:hAnsi="Arial"/>
                <w:sz w:val="13"/>
                <w:szCs w:val="13"/>
                <w:color w:val="auto"/>
              </w:rPr>
              <w:t>8,400(5)</w:t>
            </w:r>
          </w:p>
        </w:tc>
        <w:tc>
          <w:tcPr>
            <w:tcW w:w="820" w:type="dxa"/>
            <w:vAlign w:val="bottom"/>
            <w:shd w:val="clear" w:color="auto" w:fill="D8D8D8"/>
          </w:tcPr>
          <w:p>
            <w:pPr>
              <w:jc w:val="right"/>
              <w:ind w:right="53"/>
              <w:spacing w:after="0" w:line="134" w:lineRule="exact"/>
              <w:rPr>
                <w:sz w:val="20"/>
                <w:szCs w:val="20"/>
                <w:color w:val="auto"/>
              </w:rPr>
            </w:pPr>
            <w:r>
              <w:rPr>
                <w:rFonts w:ascii="Arial" w:cs="Arial" w:eastAsia="Arial" w:hAnsi="Arial"/>
                <w:sz w:val="13"/>
                <w:szCs w:val="13"/>
                <w:color w:val="auto"/>
              </w:rPr>
              <w:t>977,341</w:t>
            </w:r>
          </w:p>
        </w:tc>
        <w:tc>
          <w:tcPr>
            <w:tcW w:w="0" w:type="dxa"/>
            <w:vAlign w:val="bottom"/>
          </w:tcPr>
          <w:p>
            <w:pPr>
              <w:spacing w:after="0"/>
              <w:rPr>
                <w:sz w:val="1"/>
                <w:szCs w:val="1"/>
                <w:color w:val="auto"/>
              </w:rPr>
            </w:pPr>
          </w:p>
        </w:tc>
      </w:tr>
      <w:tr>
        <w:trPr>
          <w:trHeight w:val="163"/>
        </w:trPr>
        <w:tc>
          <w:tcPr>
            <w:tcW w:w="5220" w:type="dxa"/>
            <w:vAlign w:val="bottom"/>
            <w:shd w:val="clear" w:color="auto" w:fill="D8D8D8"/>
          </w:tcPr>
          <w:p>
            <w:pPr>
              <w:ind w:left="60"/>
              <w:spacing w:after="0"/>
              <w:rPr>
                <w:sz w:val="20"/>
                <w:szCs w:val="20"/>
                <w:color w:val="auto"/>
              </w:rPr>
            </w:pPr>
            <w:r>
              <w:rPr>
                <w:rFonts w:ascii="Arial" w:cs="Arial" w:eastAsia="Arial" w:hAnsi="Arial"/>
                <w:sz w:val="13"/>
                <w:szCs w:val="13"/>
                <w:i w:val="1"/>
                <w:iCs w:val="1"/>
                <w:color w:val="auto"/>
              </w:rPr>
              <w:t>Chief Legal Officer, Executive Vice President, and Secretary</w:t>
            </w:r>
          </w:p>
        </w:tc>
        <w:tc>
          <w:tcPr>
            <w:tcW w:w="660" w:type="dxa"/>
            <w:vAlign w:val="bottom"/>
            <w:shd w:val="clear" w:color="auto" w:fill="D8D8D8"/>
          </w:tcPr>
          <w:p>
            <w:pPr>
              <w:ind w:left="160"/>
              <w:spacing w:after="0"/>
              <w:rPr>
                <w:sz w:val="20"/>
                <w:szCs w:val="20"/>
                <w:color w:val="auto"/>
              </w:rPr>
            </w:pPr>
            <w:r>
              <w:rPr>
                <w:rFonts w:ascii="Arial" w:cs="Arial" w:eastAsia="Arial" w:hAnsi="Arial"/>
                <w:sz w:val="13"/>
                <w:szCs w:val="13"/>
                <w:color w:val="auto"/>
              </w:rPr>
              <w:t>2018</w:t>
            </w:r>
          </w:p>
        </w:tc>
        <w:tc>
          <w:tcPr>
            <w:tcW w:w="1040" w:type="dxa"/>
            <w:vAlign w:val="bottom"/>
            <w:shd w:val="clear" w:color="auto" w:fill="D8D8D8"/>
          </w:tcPr>
          <w:p>
            <w:pPr>
              <w:jc w:val="right"/>
              <w:ind w:right="193"/>
              <w:spacing w:after="0"/>
              <w:rPr>
                <w:sz w:val="20"/>
                <w:szCs w:val="20"/>
                <w:color w:val="auto"/>
              </w:rPr>
            </w:pPr>
            <w:r>
              <w:rPr>
                <w:rFonts w:ascii="Arial" w:cs="Arial" w:eastAsia="Arial" w:hAnsi="Arial"/>
                <w:sz w:val="13"/>
                <w:szCs w:val="13"/>
                <w:color w:val="auto"/>
              </w:rPr>
              <w:t>413,800</w:t>
            </w:r>
          </w:p>
        </w:tc>
        <w:tc>
          <w:tcPr>
            <w:tcW w:w="82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1,268,280</w:t>
            </w:r>
          </w:p>
        </w:tc>
        <w:tc>
          <w:tcPr>
            <w:tcW w:w="116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149,000</w:t>
            </w:r>
          </w:p>
        </w:tc>
        <w:tc>
          <w:tcPr>
            <w:tcW w:w="1300" w:type="dxa"/>
            <w:vAlign w:val="bottom"/>
            <w:shd w:val="clear" w:color="auto" w:fill="D8D8D8"/>
          </w:tcPr>
          <w:p>
            <w:pPr>
              <w:jc w:val="right"/>
              <w:ind w:right="193"/>
              <w:spacing w:after="0"/>
              <w:rPr>
                <w:sz w:val="20"/>
                <w:szCs w:val="20"/>
                <w:color w:val="auto"/>
              </w:rPr>
            </w:pPr>
            <w:r>
              <w:rPr>
                <w:rFonts w:ascii="Arial" w:cs="Arial" w:eastAsia="Arial" w:hAnsi="Arial"/>
                <w:sz w:val="13"/>
                <w:szCs w:val="13"/>
                <w:color w:val="auto"/>
              </w:rPr>
              <w:t>8,250</w:t>
            </w:r>
          </w:p>
        </w:tc>
        <w:tc>
          <w:tcPr>
            <w:tcW w:w="82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1,839,330</w:t>
            </w:r>
          </w:p>
        </w:tc>
        <w:tc>
          <w:tcPr>
            <w:tcW w:w="0" w:type="dxa"/>
            <w:vAlign w:val="bottom"/>
          </w:tcPr>
          <w:p>
            <w:pPr>
              <w:spacing w:after="0"/>
              <w:rPr>
                <w:sz w:val="1"/>
                <w:szCs w:val="1"/>
                <w:color w:val="auto"/>
              </w:rPr>
            </w:pPr>
          </w:p>
        </w:tc>
      </w:tr>
      <w:tr>
        <w:trPr>
          <w:trHeight w:val="134"/>
        </w:trPr>
        <w:tc>
          <w:tcPr>
            <w:tcW w:w="5220" w:type="dxa"/>
            <w:vAlign w:val="bottom"/>
          </w:tcPr>
          <w:p>
            <w:pPr>
              <w:ind w:left="60"/>
              <w:spacing w:after="0" w:line="134" w:lineRule="exact"/>
              <w:rPr>
                <w:sz w:val="20"/>
                <w:szCs w:val="20"/>
                <w:color w:val="auto"/>
              </w:rPr>
            </w:pPr>
            <w:r>
              <w:rPr>
                <w:rFonts w:ascii="Arial" w:cs="Arial" w:eastAsia="Arial" w:hAnsi="Arial"/>
                <w:sz w:val="13"/>
                <w:szCs w:val="13"/>
                <w:color w:val="auto"/>
              </w:rPr>
              <w:t>Matthew R. Henn, Ph.D.</w:t>
            </w:r>
          </w:p>
        </w:tc>
        <w:tc>
          <w:tcPr>
            <w:tcW w:w="660" w:type="dxa"/>
            <w:vAlign w:val="bottom"/>
          </w:tcPr>
          <w:p>
            <w:pPr>
              <w:ind w:left="160"/>
              <w:spacing w:after="0" w:line="134" w:lineRule="exact"/>
              <w:rPr>
                <w:sz w:val="20"/>
                <w:szCs w:val="20"/>
                <w:color w:val="auto"/>
              </w:rPr>
            </w:pPr>
            <w:r>
              <w:rPr>
                <w:rFonts w:ascii="Arial" w:cs="Arial" w:eastAsia="Arial" w:hAnsi="Arial"/>
                <w:sz w:val="13"/>
                <w:szCs w:val="13"/>
                <w:color w:val="auto"/>
              </w:rPr>
              <w:t>2019</w:t>
            </w:r>
          </w:p>
        </w:tc>
        <w:tc>
          <w:tcPr>
            <w:tcW w:w="1040" w:type="dxa"/>
            <w:vAlign w:val="bottom"/>
          </w:tcPr>
          <w:p>
            <w:pPr>
              <w:jc w:val="right"/>
              <w:ind w:right="193"/>
              <w:spacing w:after="0" w:line="134" w:lineRule="exact"/>
              <w:rPr>
                <w:sz w:val="20"/>
                <w:szCs w:val="20"/>
                <w:color w:val="auto"/>
              </w:rPr>
            </w:pPr>
            <w:r>
              <w:rPr>
                <w:rFonts w:ascii="Arial" w:cs="Arial" w:eastAsia="Arial" w:hAnsi="Arial"/>
                <w:sz w:val="13"/>
                <w:szCs w:val="13"/>
                <w:color w:val="auto"/>
              </w:rPr>
              <w:t>385,000</w:t>
            </w:r>
          </w:p>
        </w:tc>
        <w:tc>
          <w:tcPr>
            <w:tcW w:w="820" w:type="dxa"/>
            <w:vAlign w:val="bottom"/>
          </w:tcPr>
          <w:p>
            <w:pPr>
              <w:jc w:val="right"/>
              <w:ind w:right="53"/>
              <w:spacing w:after="0" w:line="134" w:lineRule="exact"/>
              <w:rPr>
                <w:sz w:val="20"/>
                <w:szCs w:val="20"/>
                <w:color w:val="auto"/>
              </w:rPr>
            </w:pPr>
            <w:r>
              <w:rPr>
                <w:rFonts w:ascii="Arial" w:cs="Arial" w:eastAsia="Arial" w:hAnsi="Arial"/>
                <w:sz w:val="13"/>
                <w:szCs w:val="13"/>
                <w:color w:val="auto"/>
              </w:rPr>
              <w:t>329,052</w:t>
            </w:r>
          </w:p>
        </w:tc>
        <w:tc>
          <w:tcPr>
            <w:tcW w:w="1160" w:type="dxa"/>
            <w:vAlign w:val="bottom"/>
          </w:tcPr>
          <w:p>
            <w:pPr>
              <w:jc w:val="right"/>
              <w:ind w:right="53"/>
              <w:spacing w:after="0" w:line="134" w:lineRule="exact"/>
              <w:rPr>
                <w:sz w:val="20"/>
                <w:szCs w:val="20"/>
                <w:color w:val="auto"/>
              </w:rPr>
            </w:pPr>
            <w:r>
              <w:rPr>
                <w:rFonts w:ascii="Arial" w:cs="Arial" w:eastAsia="Arial" w:hAnsi="Arial"/>
                <w:sz w:val="13"/>
                <w:szCs w:val="13"/>
                <w:color w:val="auto"/>
              </w:rPr>
              <w:t>137,000</w:t>
            </w:r>
          </w:p>
        </w:tc>
        <w:tc>
          <w:tcPr>
            <w:tcW w:w="1300" w:type="dxa"/>
            <w:vAlign w:val="bottom"/>
          </w:tcPr>
          <w:p>
            <w:pPr>
              <w:jc w:val="right"/>
              <w:ind w:right="13"/>
              <w:spacing w:after="0" w:line="134" w:lineRule="exact"/>
              <w:rPr>
                <w:sz w:val="20"/>
                <w:szCs w:val="20"/>
                <w:color w:val="auto"/>
              </w:rPr>
            </w:pPr>
            <w:r>
              <w:rPr>
                <w:rFonts w:ascii="Arial" w:cs="Arial" w:eastAsia="Arial" w:hAnsi="Arial"/>
                <w:sz w:val="13"/>
                <w:szCs w:val="13"/>
                <w:color w:val="auto"/>
              </w:rPr>
              <w:t>8,400(5)</w:t>
            </w:r>
          </w:p>
        </w:tc>
        <w:tc>
          <w:tcPr>
            <w:tcW w:w="820" w:type="dxa"/>
            <w:vAlign w:val="bottom"/>
          </w:tcPr>
          <w:p>
            <w:pPr>
              <w:jc w:val="right"/>
              <w:ind w:right="53"/>
              <w:spacing w:after="0" w:line="134" w:lineRule="exact"/>
              <w:rPr>
                <w:sz w:val="20"/>
                <w:szCs w:val="20"/>
                <w:color w:val="auto"/>
              </w:rPr>
            </w:pPr>
            <w:r>
              <w:rPr>
                <w:rFonts w:ascii="Arial" w:cs="Arial" w:eastAsia="Arial" w:hAnsi="Arial"/>
                <w:sz w:val="13"/>
                <w:szCs w:val="13"/>
                <w:color w:val="auto"/>
              </w:rPr>
              <w:t>859,452</w:t>
            </w:r>
          </w:p>
        </w:tc>
        <w:tc>
          <w:tcPr>
            <w:tcW w:w="0" w:type="dxa"/>
            <w:vAlign w:val="bottom"/>
          </w:tcPr>
          <w:p>
            <w:pPr>
              <w:spacing w:after="0"/>
              <w:rPr>
                <w:sz w:val="1"/>
                <w:szCs w:val="1"/>
                <w:color w:val="auto"/>
              </w:rPr>
            </w:pPr>
          </w:p>
        </w:tc>
      </w:tr>
      <w:tr>
        <w:trPr>
          <w:trHeight w:val="163"/>
        </w:trPr>
        <w:tc>
          <w:tcPr>
            <w:tcW w:w="5220" w:type="dxa"/>
            <w:vAlign w:val="bottom"/>
          </w:tcPr>
          <w:p>
            <w:pPr>
              <w:ind w:left="60"/>
              <w:spacing w:after="0"/>
              <w:rPr>
                <w:sz w:val="20"/>
                <w:szCs w:val="20"/>
                <w:color w:val="auto"/>
              </w:rPr>
            </w:pPr>
            <w:r>
              <w:rPr>
                <w:rFonts w:ascii="Arial" w:cs="Arial" w:eastAsia="Arial" w:hAnsi="Arial"/>
                <w:sz w:val="13"/>
                <w:szCs w:val="13"/>
                <w:i w:val="1"/>
                <w:iCs w:val="1"/>
                <w:color w:val="auto"/>
              </w:rPr>
              <w:t>Executive Vice President and Chief Scientific Officer</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220" w:type="dxa"/>
            <w:vAlign w:val="bottom"/>
            <w:shd w:val="clear" w:color="auto" w:fill="D8D8D8"/>
          </w:tcPr>
          <w:p>
            <w:pPr>
              <w:ind w:left="60"/>
              <w:spacing w:after="0" w:line="134" w:lineRule="exact"/>
              <w:rPr>
                <w:sz w:val="20"/>
                <w:szCs w:val="20"/>
                <w:color w:val="auto"/>
              </w:rPr>
            </w:pPr>
            <w:r>
              <w:rPr>
                <w:rFonts w:ascii="Arial" w:cs="Arial" w:eastAsia="Arial" w:hAnsi="Arial"/>
                <w:sz w:val="13"/>
                <w:szCs w:val="13"/>
                <w:color w:val="auto"/>
              </w:rPr>
              <w:t>Roger J. Pomerantz, M.D.</w:t>
            </w:r>
            <w:r>
              <w:rPr>
                <w:rFonts w:ascii="Arial" w:cs="Arial" w:eastAsia="Arial" w:hAnsi="Arial"/>
                <w:sz w:val="11"/>
                <w:szCs w:val="11"/>
                <w:color w:val="auto"/>
              </w:rPr>
              <w:t>(2)</w:t>
            </w:r>
          </w:p>
        </w:tc>
        <w:tc>
          <w:tcPr>
            <w:tcW w:w="660" w:type="dxa"/>
            <w:vAlign w:val="bottom"/>
            <w:shd w:val="clear" w:color="auto" w:fill="D8D8D8"/>
          </w:tcPr>
          <w:p>
            <w:pPr>
              <w:ind w:left="160"/>
              <w:spacing w:after="0" w:line="134" w:lineRule="exact"/>
              <w:rPr>
                <w:sz w:val="20"/>
                <w:szCs w:val="20"/>
                <w:color w:val="auto"/>
              </w:rPr>
            </w:pPr>
            <w:r>
              <w:rPr>
                <w:rFonts w:ascii="Arial" w:cs="Arial" w:eastAsia="Arial" w:hAnsi="Arial"/>
                <w:sz w:val="13"/>
                <w:szCs w:val="13"/>
                <w:color w:val="auto"/>
              </w:rPr>
              <w:t>2019</w:t>
            </w:r>
          </w:p>
        </w:tc>
        <w:tc>
          <w:tcPr>
            <w:tcW w:w="1040" w:type="dxa"/>
            <w:vAlign w:val="bottom"/>
            <w:shd w:val="clear" w:color="auto" w:fill="D8D8D8"/>
          </w:tcPr>
          <w:p>
            <w:pPr>
              <w:jc w:val="right"/>
              <w:ind w:right="13"/>
              <w:spacing w:after="0" w:line="134" w:lineRule="exact"/>
              <w:rPr>
                <w:sz w:val="20"/>
                <w:szCs w:val="20"/>
                <w:color w:val="auto"/>
              </w:rPr>
            </w:pPr>
            <w:r>
              <w:rPr>
                <w:rFonts w:ascii="Arial" w:cs="Arial" w:eastAsia="Arial" w:hAnsi="Arial"/>
                <w:sz w:val="13"/>
                <w:szCs w:val="13"/>
                <w:color w:val="auto"/>
              </w:rPr>
              <w:t>79,708(6)</w:t>
            </w:r>
          </w:p>
        </w:tc>
        <w:tc>
          <w:tcPr>
            <w:tcW w:w="820" w:type="dxa"/>
            <w:vAlign w:val="bottom"/>
            <w:shd w:val="clear" w:color="auto" w:fill="D8D8D8"/>
          </w:tcPr>
          <w:p>
            <w:pPr>
              <w:jc w:val="right"/>
              <w:ind w:right="53"/>
              <w:spacing w:after="0" w:line="134" w:lineRule="exact"/>
              <w:rPr>
                <w:sz w:val="20"/>
                <w:szCs w:val="20"/>
                <w:color w:val="auto"/>
              </w:rPr>
            </w:pPr>
            <w:r>
              <w:rPr>
                <w:rFonts w:ascii="Arial" w:cs="Arial" w:eastAsia="Arial" w:hAnsi="Arial"/>
                <w:sz w:val="13"/>
                <w:szCs w:val="13"/>
                <w:color w:val="auto"/>
              </w:rPr>
              <w:t>33,152</w:t>
            </w:r>
          </w:p>
        </w:tc>
        <w:tc>
          <w:tcPr>
            <w:tcW w:w="1160" w:type="dxa"/>
            <w:vAlign w:val="bottom"/>
            <w:shd w:val="clear" w:color="auto" w:fill="D8D8D8"/>
          </w:tcPr>
          <w:p>
            <w:pPr>
              <w:jc w:val="right"/>
              <w:ind w:right="53"/>
              <w:spacing w:after="0" w:line="134" w:lineRule="exact"/>
              <w:rPr>
                <w:sz w:val="20"/>
                <w:szCs w:val="20"/>
                <w:color w:val="auto"/>
              </w:rPr>
            </w:pPr>
            <w:r>
              <w:rPr>
                <w:rFonts w:ascii="Arial" w:cs="Arial" w:eastAsia="Arial" w:hAnsi="Arial"/>
                <w:sz w:val="13"/>
                <w:szCs w:val="13"/>
                <w:color w:val="auto"/>
              </w:rPr>
              <w:t>––</w:t>
            </w:r>
          </w:p>
        </w:tc>
        <w:tc>
          <w:tcPr>
            <w:tcW w:w="1300" w:type="dxa"/>
            <w:vAlign w:val="bottom"/>
            <w:shd w:val="clear" w:color="auto" w:fill="D8D8D8"/>
          </w:tcPr>
          <w:p>
            <w:pPr>
              <w:jc w:val="right"/>
              <w:ind w:right="13"/>
              <w:spacing w:after="0" w:line="134" w:lineRule="exact"/>
              <w:rPr>
                <w:sz w:val="20"/>
                <w:szCs w:val="20"/>
                <w:color w:val="auto"/>
              </w:rPr>
            </w:pPr>
            <w:r>
              <w:rPr>
                <w:rFonts w:ascii="Arial" w:cs="Arial" w:eastAsia="Arial" w:hAnsi="Arial"/>
                <w:sz w:val="13"/>
                <w:szCs w:val="13"/>
                <w:color w:val="auto"/>
              </w:rPr>
              <w:t>580,801(7)</w:t>
            </w:r>
          </w:p>
        </w:tc>
        <w:tc>
          <w:tcPr>
            <w:tcW w:w="820" w:type="dxa"/>
            <w:vAlign w:val="bottom"/>
            <w:shd w:val="clear" w:color="auto" w:fill="D8D8D8"/>
          </w:tcPr>
          <w:p>
            <w:pPr>
              <w:jc w:val="right"/>
              <w:ind w:right="53"/>
              <w:spacing w:after="0" w:line="134" w:lineRule="exact"/>
              <w:rPr>
                <w:sz w:val="20"/>
                <w:szCs w:val="20"/>
                <w:color w:val="auto"/>
              </w:rPr>
            </w:pPr>
            <w:r>
              <w:rPr>
                <w:rFonts w:ascii="Arial" w:cs="Arial" w:eastAsia="Arial" w:hAnsi="Arial"/>
                <w:sz w:val="13"/>
                <w:szCs w:val="13"/>
                <w:color w:val="auto"/>
              </w:rPr>
              <w:t>693,661</w:t>
            </w:r>
          </w:p>
        </w:tc>
        <w:tc>
          <w:tcPr>
            <w:tcW w:w="0" w:type="dxa"/>
            <w:vAlign w:val="bottom"/>
          </w:tcPr>
          <w:p>
            <w:pPr>
              <w:spacing w:after="0"/>
              <w:rPr>
                <w:sz w:val="1"/>
                <w:szCs w:val="1"/>
                <w:color w:val="auto"/>
              </w:rPr>
            </w:pPr>
          </w:p>
        </w:tc>
      </w:tr>
      <w:tr>
        <w:trPr>
          <w:trHeight w:val="163"/>
        </w:trPr>
        <w:tc>
          <w:tcPr>
            <w:tcW w:w="522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3"/>
                <w:szCs w:val="13"/>
                <w:i w:val="1"/>
                <w:iCs w:val="1"/>
                <w:color w:val="auto"/>
              </w:rPr>
              <w:t>Former President and Chief Executive Officer</w:t>
            </w:r>
          </w:p>
        </w:tc>
        <w:tc>
          <w:tcPr>
            <w:tcW w:w="660" w:type="dxa"/>
            <w:vAlign w:val="bottom"/>
            <w:tcBorders>
              <w:bottom w:val="single" w:sz="8" w:color="auto"/>
            </w:tcBorders>
            <w:shd w:val="clear" w:color="auto" w:fill="D8D8D8"/>
          </w:tcPr>
          <w:p>
            <w:pPr>
              <w:ind w:left="160"/>
              <w:spacing w:after="0"/>
              <w:rPr>
                <w:sz w:val="20"/>
                <w:szCs w:val="20"/>
                <w:color w:val="auto"/>
              </w:rPr>
            </w:pPr>
            <w:r>
              <w:rPr>
                <w:rFonts w:ascii="Arial" w:cs="Arial" w:eastAsia="Arial" w:hAnsi="Arial"/>
                <w:sz w:val="13"/>
                <w:szCs w:val="13"/>
                <w:color w:val="auto"/>
              </w:rPr>
              <w:t>2018</w:t>
            </w:r>
          </w:p>
        </w:tc>
        <w:tc>
          <w:tcPr>
            <w:tcW w:w="1040" w:type="dxa"/>
            <w:vAlign w:val="bottom"/>
            <w:tcBorders>
              <w:bottom w:val="single" w:sz="8" w:color="auto"/>
            </w:tcBorders>
            <w:shd w:val="clear" w:color="auto" w:fill="D8D8D8"/>
          </w:tcPr>
          <w:p>
            <w:pPr>
              <w:jc w:val="right"/>
              <w:ind w:right="193"/>
              <w:spacing w:after="0"/>
              <w:rPr>
                <w:sz w:val="20"/>
                <w:szCs w:val="20"/>
                <w:color w:val="auto"/>
              </w:rPr>
            </w:pPr>
            <w:r>
              <w:rPr>
                <w:rFonts w:ascii="Arial" w:cs="Arial" w:eastAsia="Arial" w:hAnsi="Arial"/>
                <w:sz w:val="13"/>
                <w:szCs w:val="13"/>
                <w:color w:val="auto"/>
              </w:rPr>
              <w:t>595,000</w:t>
            </w:r>
          </w:p>
        </w:tc>
        <w:tc>
          <w:tcPr>
            <w:tcW w:w="82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3"/>
                <w:szCs w:val="13"/>
                <w:color w:val="auto"/>
              </w:rPr>
              <w:t>1,958,788</w:t>
            </w:r>
          </w:p>
        </w:tc>
        <w:tc>
          <w:tcPr>
            <w:tcW w:w="116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3"/>
                <w:szCs w:val="13"/>
                <w:color w:val="auto"/>
              </w:rPr>
              <w:t>278,200</w:t>
            </w:r>
          </w:p>
        </w:tc>
        <w:tc>
          <w:tcPr>
            <w:tcW w:w="1300" w:type="dxa"/>
            <w:vAlign w:val="bottom"/>
            <w:tcBorders>
              <w:bottom w:val="single" w:sz="8" w:color="auto"/>
            </w:tcBorders>
            <w:shd w:val="clear" w:color="auto" w:fill="D8D8D8"/>
          </w:tcPr>
          <w:p>
            <w:pPr>
              <w:jc w:val="right"/>
              <w:ind w:right="193"/>
              <w:spacing w:after="0"/>
              <w:rPr>
                <w:sz w:val="20"/>
                <w:szCs w:val="20"/>
                <w:color w:val="auto"/>
              </w:rPr>
            </w:pPr>
            <w:r>
              <w:rPr>
                <w:rFonts w:ascii="Arial" w:cs="Arial" w:eastAsia="Arial" w:hAnsi="Arial"/>
                <w:sz w:val="13"/>
                <w:szCs w:val="13"/>
                <w:color w:val="auto"/>
              </w:rPr>
              <w:t>186,072</w:t>
            </w:r>
          </w:p>
        </w:tc>
        <w:tc>
          <w:tcPr>
            <w:tcW w:w="82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3"/>
                <w:szCs w:val="13"/>
                <w:color w:val="auto"/>
              </w:rPr>
              <w:t>3,018,060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40" w:hanging="324"/>
        <w:spacing w:after="0"/>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January 2019, Mr. Shaff succeeded Dr. Pomerantz as our President and Chief Executive Officer.</w:t>
      </w:r>
    </w:p>
    <w:p>
      <w:pPr>
        <w:spacing w:after="0" w:line="66" w:lineRule="exact"/>
        <w:rPr>
          <w:rFonts w:ascii="Arial" w:cs="Arial" w:eastAsia="Arial" w:hAnsi="Arial"/>
          <w:sz w:val="13"/>
          <w:szCs w:val="13"/>
          <w:color w:val="auto"/>
        </w:rPr>
      </w:pPr>
    </w:p>
    <w:p>
      <w:pPr>
        <w:ind w:left="440" w:right="20" w:hanging="324"/>
        <w:spacing w:after="0" w:line="258" w:lineRule="auto"/>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Dr. Pomerantz resigned his employment with us in January 2019, and was succeeded by Mr. Shaff, our current President and Chief Executive Officer. Dr. Pomerantz served on our Board until December 12, 2019.</w:t>
      </w:r>
    </w:p>
    <w:p>
      <w:pPr>
        <w:spacing w:after="0" w:line="43" w:lineRule="exact"/>
        <w:rPr>
          <w:rFonts w:ascii="Arial" w:cs="Arial" w:eastAsia="Arial" w:hAnsi="Arial"/>
          <w:sz w:val="13"/>
          <w:szCs w:val="13"/>
          <w:color w:val="auto"/>
        </w:rPr>
      </w:pPr>
    </w:p>
    <w:p>
      <w:pPr>
        <w:jc w:val="both"/>
        <w:ind w:left="440" w:right="340" w:hanging="324"/>
        <w:spacing w:after="0" w:line="258" w:lineRule="auto"/>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option awards computed in accordance with FASB ASC Topic 718. For a description of the assumptions used in valuing these awards, see Notes 2 and 11 to our audited consolidated financial statements included in our Annual Report on Form 10-K for the fiscal year ended December 31, 2019.</w:t>
      </w:r>
    </w:p>
    <w:p>
      <w:pPr>
        <w:spacing w:after="0" w:line="43" w:lineRule="exact"/>
        <w:rPr>
          <w:rFonts w:ascii="Arial" w:cs="Arial" w:eastAsia="Arial" w:hAnsi="Arial"/>
          <w:sz w:val="13"/>
          <w:szCs w:val="13"/>
          <w:color w:val="auto"/>
        </w:rPr>
      </w:pPr>
    </w:p>
    <w:p>
      <w:pPr>
        <w:ind w:left="440" w:right="100" w:hanging="324"/>
        <w:spacing w:after="0" w:line="258" w:lineRule="auto"/>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amounts paid under our annual cash bonus program. For additional information regarding these amounts, refer to “—Narrative Disclosure to Summary Compensation Table—Annual Cash Bonuses.”</w:t>
      </w:r>
    </w:p>
    <w:p>
      <w:pPr>
        <w:spacing w:after="0" w:line="43" w:lineRule="exact"/>
        <w:rPr>
          <w:rFonts w:ascii="Arial" w:cs="Arial" w:eastAsia="Arial" w:hAnsi="Arial"/>
          <w:sz w:val="13"/>
          <w:szCs w:val="13"/>
          <w:color w:val="auto"/>
        </w:rPr>
      </w:pPr>
    </w:p>
    <w:p>
      <w:pPr>
        <w:ind w:left="440" w:hanging="324"/>
        <w:spacing w:after="0"/>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Consists of company matching contributions under our 401(k) plan.</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360" w:hanging="324"/>
        <w:spacing w:after="0" w:line="258" w:lineRule="auto"/>
        <w:tabs>
          <w:tab w:leader="none" w:pos="4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Consists of $24,792 in annual base salary earned prior to Dr. Pomerantz’s resignation of employment with us, $53,014 in fees earned for his service on our Board prior to Dr. Pomerantz’s resignation from our Board on December 12, 2019 and $1,902 in advisor fees earned for his service as an advisor to our Board during 2019.</w:t>
      </w:r>
    </w:p>
    <w:p>
      <w:pPr>
        <w:spacing w:after="0" w:line="43" w:lineRule="exact"/>
        <w:rPr>
          <w:rFonts w:ascii="Arial" w:cs="Arial" w:eastAsia="Arial" w:hAnsi="Arial"/>
          <w:sz w:val="13"/>
          <w:szCs w:val="13"/>
          <w:color w:val="auto"/>
        </w:rPr>
      </w:pPr>
    </w:p>
    <w:p>
      <w:pPr>
        <w:ind w:left="440" w:right="220" w:hanging="324"/>
        <w:spacing w:after="0" w:line="248" w:lineRule="auto"/>
        <w:tabs>
          <w:tab w:leader="none" w:pos="4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company matching contributions under our 401(k) plan of $372, $10,593 in reimbursements of travel and lodging expenses associated with working in the Cambridge, Massachusetts area in 2019, and $570,208 in payments paid to Dr. Pomerantz in connection with his resignation as our President and Chief Executive Officer. Refer to the description of these payments under the heading “Employment and Separation Agreements––Roger J. Pomerantz, M.D.” for additional information.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The primary elements of compensation for our NEOs are base salary, annual cash bonuses and long-term, equity-based compensation awards. Our NEOs also participate in employee benefit plans and programs that we offer to our other full-time employees on the same basis and have from time to time received relocation or other expense reimbursements from 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2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Our NEOs receive base salary to compensate them for the satisfactory performance of duties to our company. The base salary payable to each NEO is intended to provide a fixed component of compensation reflecting the executive’s skill set, experience, role and responsibilities.</w:t>
      </w:r>
    </w:p>
    <w:p>
      <w:pPr>
        <w:spacing w:after="0" w:line="95"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Our Compensation Committee periodically reviews NEO base salaries in consultation with management and Radford to determine whether any adjustments are necessary or appropriate. The following table shows the annual base salaries of our NEOs for 2018, 2019 and 2020. Except as otherwise noted, all annual base salary increases were effective January 1 of the given year.</w:t>
      </w:r>
    </w:p>
    <w:p>
      <w:pPr>
        <w:spacing w:after="0" w:line="109"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1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Name</w:t>
            </w:r>
          </w:p>
        </w:tc>
        <w:tc>
          <w:tcPr>
            <w:tcW w:w="2660" w:type="dxa"/>
            <w:vAlign w:val="bottom"/>
            <w:tcBorders>
              <w:bottom w:val="single" w:sz="8" w:color="auto"/>
            </w:tcBorders>
            <w:shd w:val="clear" w:color="auto" w:fill="E5E5E5"/>
          </w:tcPr>
          <w:p>
            <w:pPr>
              <w:jc w:val="right"/>
              <w:ind w:right="373"/>
              <w:spacing w:after="0"/>
              <w:rPr>
                <w:sz w:val="20"/>
                <w:szCs w:val="20"/>
                <w:color w:val="auto"/>
              </w:rPr>
            </w:pPr>
            <w:r>
              <w:rPr>
                <w:rFonts w:ascii="Arial" w:cs="Arial" w:eastAsia="Arial" w:hAnsi="Arial"/>
                <w:sz w:val="13"/>
                <w:szCs w:val="13"/>
                <w:b w:val="1"/>
                <w:bCs w:val="1"/>
                <w:color w:val="auto"/>
              </w:rPr>
              <w:t>2018 Annual Base Salary ($)</w:t>
            </w:r>
          </w:p>
        </w:tc>
        <w:tc>
          <w:tcPr>
            <w:tcW w:w="2660" w:type="dxa"/>
            <w:vAlign w:val="bottom"/>
            <w:tcBorders>
              <w:bottom w:val="single" w:sz="8" w:color="auto"/>
            </w:tcBorders>
            <w:shd w:val="clear" w:color="auto" w:fill="E5E5E5"/>
          </w:tcPr>
          <w:p>
            <w:pPr>
              <w:jc w:val="right"/>
              <w:ind w:right="373"/>
              <w:spacing w:after="0"/>
              <w:rPr>
                <w:sz w:val="20"/>
                <w:szCs w:val="20"/>
                <w:color w:val="auto"/>
              </w:rPr>
            </w:pPr>
            <w:r>
              <w:rPr>
                <w:rFonts w:ascii="Arial" w:cs="Arial" w:eastAsia="Arial" w:hAnsi="Arial"/>
                <w:sz w:val="13"/>
                <w:szCs w:val="13"/>
                <w:b w:val="1"/>
                <w:bCs w:val="1"/>
                <w:color w:val="auto"/>
              </w:rPr>
              <w:t>2019 Annual Base Salary ($)</w:t>
            </w:r>
          </w:p>
        </w:tc>
        <w:tc>
          <w:tcPr>
            <w:tcW w:w="2660" w:type="dxa"/>
            <w:vAlign w:val="bottom"/>
            <w:tcBorders>
              <w:bottom w:val="single" w:sz="8" w:color="auto"/>
            </w:tcBorders>
            <w:shd w:val="clear" w:color="auto" w:fill="E5E5E5"/>
          </w:tcPr>
          <w:p>
            <w:pPr>
              <w:jc w:val="right"/>
              <w:ind w:right="373"/>
              <w:spacing w:after="0"/>
              <w:rPr>
                <w:sz w:val="20"/>
                <w:szCs w:val="20"/>
                <w:color w:val="auto"/>
              </w:rPr>
            </w:pPr>
            <w:r>
              <w:rPr>
                <w:rFonts w:ascii="Arial" w:cs="Arial" w:eastAsia="Arial" w:hAnsi="Arial"/>
                <w:sz w:val="13"/>
                <w:szCs w:val="13"/>
                <w:b w:val="1"/>
                <w:bCs w:val="1"/>
                <w:color w:val="auto"/>
              </w:rPr>
              <w:t>2020 Annual Base Salary ($)</w:t>
            </w:r>
          </w:p>
        </w:tc>
      </w:tr>
      <w:tr>
        <w:trPr>
          <w:trHeight w:val="142"/>
        </w:trPr>
        <w:tc>
          <w:tcPr>
            <w:tcW w:w="2140" w:type="dxa"/>
            <w:vAlign w:val="bottom"/>
          </w:tcPr>
          <w:p>
            <w:pPr>
              <w:ind w:left="80"/>
              <w:spacing w:after="0" w:line="142" w:lineRule="exact"/>
              <w:rPr>
                <w:sz w:val="20"/>
                <w:szCs w:val="20"/>
                <w:color w:val="auto"/>
              </w:rPr>
            </w:pPr>
            <w:r>
              <w:rPr>
                <w:rFonts w:ascii="Arial" w:cs="Arial" w:eastAsia="Arial" w:hAnsi="Arial"/>
                <w:sz w:val="13"/>
                <w:szCs w:val="13"/>
                <w:color w:val="auto"/>
              </w:rPr>
              <w:t xml:space="preserve">Eric D. Shaff </w:t>
            </w:r>
            <w:r>
              <w:rPr>
                <w:rFonts w:ascii="Arial" w:cs="Arial" w:eastAsia="Arial" w:hAnsi="Arial"/>
                <w:sz w:val="11"/>
                <w:szCs w:val="11"/>
                <w:color w:val="auto"/>
              </w:rPr>
              <w:t>(1)</w:t>
            </w:r>
          </w:p>
        </w:tc>
        <w:tc>
          <w:tcPr>
            <w:tcW w:w="2660" w:type="dxa"/>
            <w:vAlign w:val="bottom"/>
          </w:tcPr>
          <w:p>
            <w:pPr>
              <w:jc w:val="right"/>
              <w:ind w:right="353"/>
              <w:spacing w:after="0" w:line="142" w:lineRule="exact"/>
              <w:rPr>
                <w:sz w:val="20"/>
                <w:szCs w:val="20"/>
                <w:color w:val="auto"/>
              </w:rPr>
            </w:pPr>
            <w:r>
              <w:rPr>
                <w:rFonts w:ascii="Arial" w:cs="Arial" w:eastAsia="Arial" w:hAnsi="Arial"/>
                <w:sz w:val="13"/>
                <w:szCs w:val="13"/>
                <w:color w:val="auto"/>
              </w:rPr>
              <w:t>435,000</w:t>
            </w:r>
          </w:p>
        </w:tc>
        <w:tc>
          <w:tcPr>
            <w:tcW w:w="2660" w:type="dxa"/>
            <w:vAlign w:val="bottom"/>
          </w:tcPr>
          <w:p>
            <w:pPr>
              <w:jc w:val="right"/>
              <w:ind w:right="373"/>
              <w:spacing w:after="0" w:line="142" w:lineRule="exact"/>
              <w:rPr>
                <w:sz w:val="20"/>
                <w:szCs w:val="20"/>
                <w:color w:val="auto"/>
              </w:rPr>
            </w:pPr>
            <w:r>
              <w:rPr>
                <w:rFonts w:ascii="Arial" w:cs="Arial" w:eastAsia="Arial" w:hAnsi="Arial"/>
                <w:sz w:val="13"/>
                <w:szCs w:val="13"/>
                <w:color w:val="auto"/>
              </w:rPr>
              <w:t>540,000</w:t>
            </w:r>
          </w:p>
        </w:tc>
        <w:tc>
          <w:tcPr>
            <w:tcW w:w="2660" w:type="dxa"/>
            <w:vAlign w:val="bottom"/>
          </w:tcPr>
          <w:p>
            <w:pPr>
              <w:jc w:val="right"/>
              <w:ind w:right="353"/>
              <w:spacing w:after="0" w:line="142" w:lineRule="exact"/>
              <w:rPr>
                <w:sz w:val="20"/>
                <w:szCs w:val="20"/>
                <w:color w:val="auto"/>
              </w:rPr>
            </w:pPr>
            <w:r>
              <w:rPr>
                <w:rFonts w:ascii="Arial" w:cs="Arial" w:eastAsia="Arial" w:hAnsi="Arial"/>
                <w:sz w:val="13"/>
                <w:szCs w:val="13"/>
                <w:color w:val="auto"/>
              </w:rPr>
              <w:t>590,000</w:t>
            </w:r>
          </w:p>
        </w:tc>
      </w:tr>
      <w:tr>
        <w:trPr>
          <w:trHeight w:val="148"/>
        </w:trPr>
        <w:tc>
          <w:tcPr>
            <w:tcW w:w="2140" w:type="dxa"/>
            <w:vAlign w:val="bottom"/>
            <w:shd w:val="clear" w:color="auto" w:fill="D8D8D8"/>
          </w:tcPr>
          <w:p>
            <w:pPr>
              <w:ind w:left="80"/>
              <w:spacing w:after="0"/>
              <w:rPr>
                <w:sz w:val="20"/>
                <w:szCs w:val="20"/>
                <w:color w:val="auto"/>
              </w:rPr>
            </w:pPr>
            <w:r>
              <w:rPr>
                <w:rFonts w:ascii="Arial" w:cs="Arial" w:eastAsia="Arial" w:hAnsi="Arial"/>
                <w:sz w:val="13"/>
                <w:szCs w:val="13"/>
                <w:color w:val="auto"/>
              </w:rPr>
              <w:t>Thomas J. DesRosier</w:t>
            </w:r>
          </w:p>
        </w:tc>
        <w:tc>
          <w:tcPr>
            <w:tcW w:w="2660" w:type="dxa"/>
            <w:vAlign w:val="bottom"/>
            <w:shd w:val="clear" w:color="auto" w:fill="D8D8D8"/>
          </w:tcPr>
          <w:p>
            <w:pPr>
              <w:jc w:val="right"/>
              <w:ind w:right="353"/>
              <w:spacing w:after="0"/>
              <w:rPr>
                <w:sz w:val="20"/>
                <w:szCs w:val="20"/>
                <w:color w:val="auto"/>
              </w:rPr>
            </w:pPr>
            <w:r>
              <w:rPr>
                <w:rFonts w:ascii="Arial" w:cs="Arial" w:eastAsia="Arial" w:hAnsi="Arial"/>
                <w:sz w:val="13"/>
                <w:szCs w:val="13"/>
                <w:color w:val="auto"/>
              </w:rPr>
              <w:t>413,800</w:t>
            </w:r>
          </w:p>
        </w:tc>
        <w:tc>
          <w:tcPr>
            <w:tcW w:w="2660" w:type="dxa"/>
            <w:vAlign w:val="bottom"/>
            <w:shd w:val="clear" w:color="auto" w:fill="D8D8D8"/>
          </w:tcPr>
          <w:p>
            <w:pPr>
              <w:jc w:val="right"/>
              <w:ind w:right="373"/>
              <w:spacing w:after="0"/>
              <w:rPr>
                <w:sz w:val="20"/>
                <w:szCs w:val="20"/>
                <w:color w:val="auto"/>
              </w:rPr>
            </w:pPr>
            <w:r>
              <w:rPr>
                <w:rFonts w:ascii="Arial" w:cs="Arial" w:eastAsia="Arial" w:hAnsi="Arial"/>
                <w:sz w:val="13"/>
                <w:szCs w:val="13"/>
                <w:color w:val="auto"/>
              </w:rPr>
              <w:t>428,300</w:t>
            </w:r>
          </w:p>
        </w:tc>
        <w:tc>
          <w:tcPr>
            <w:tcW w:w="2660" w:type="dxa"/>
            <w:vAlign w:val="bottom"/>
            <w:shd w:val="clear" w:color="auto" w:fill="D8D8D8"/>
          </w:tcPr>
          <w:p>
            <w:pPr>
              <w:jc w:val="right"/>
              <w:ind w:right="353"/>
              <w:spacing w:after="0"/>
              <w:rPr>
                <w:sz w:val="20"/>
                <w:szCs w:val="20"/>
                <w:color w:val="auto"/>
              </w:rPr>
            </w:pPr>
            <w:r>
              <w:rPr>
                <w:rFonts w:ascii="Arial" w:cs="Arial" w:eastAsia="Arial" w:hAnsi="Arial"/>
                <w:sz w:val="13"/>
                <w:szCs w:val="13"/>
                <w:color w:val="auto"/>
              </w:rPr>
              <w:t>450,000</w:t>
            </w:r>
          </w:p>
        </w:tc>
      </w:tr>
      <w:tr>
        <w:trPr>
          <w:trHeight w:val="148"/>
        </w:trPr>
        <w:tc>
          <w:tcPr>
            <w:tcW w:w="2140" w:type="dxa"/>
            <w:vAlign w:val="bottom"/>
          </w:tcPr>
          <w:p>
            <w:pPr>
              <w:ind w:left="80"/>
              <w:spacing w:after="0"/>
              <w:rPr>
                <w:sz w:val="20"/>
                <w:szCs w:val="20"/>
                <w:color w:val="auto"/>
              </w:rPr>
            </w:pPr>
            <w:r>
              <w:rPr>
                <w:rFonts w:ascii="Arial" w:cs="Arial" w:eastAsia="Arial" w:hAnsi="Arial"/>
                <w:sz w:val="13"/>
                <w:szCs w:val="13"/>
                <w:color w:val="auto"/>
              </w:rPr>
              <w:t>Matthew R. Henn, Ph.D.</w:t>
            </w:r>
          </w:p>
        </w:tc>
        <w:tc>
          <w:tcPr>
            <w:tcW w:w="2660" w:type="dxa"/>
            <w:vAlign w:val="bottom"/>
          </w:tcPr>
          <w:p>
            <w:pPr>
              <w:jc w:val="right"/>
              <w:ind w:right="353"/>
              <w:spacing w:after="0"/>
              <w:rPr>
                <w:sz w:val="20"/>
                <w:szCs w:val="20"/>
                <w:color w:val="auto"/>
              </w:rPr>
            </w:pPr>
            <w:r>
              <w:rPr>
                <w:rFonts w:ascii="Arial" w:cs="Arial" w:eastAsia="Arial" w:hAnsi="Arial"/>
                <w:sz w:val="13"/>
                <w:szCs w:val="13"/>
                <w:color w:val="auto"/>
              </w:rPr>
              <w:t>350,000</w:t>
            </w:r>
          </w:p>
        </w:tc>
        <w:tc>
          <w:tcPr>
            <w:tcW w:w="2660" w:type="dxa"/>
            <w:vAlign w:val="bottom"/>
          </w:tcPr>
          <w:p>
            <w:pPr>
              <w:jc w:val="right"/>
              <w:ind w:right="373"/>
              <w:spacing w:after="0"/>
              <w:rPr>
                <w:sz w:val="20"/>
                <w:szCs w:val="20"/>
                <w:color w:val="auto"/>
              </w:rPr>
            </w:pPr>
            <w:r>
              <w:rPr>
                <w:rFonts w:ascii="Arial" w:cs="Arial" w:eastAsia="Arial" w:hAnsi="Arial"/>
                <w:sz w:val="13"/>
                <w:szCs w:val="13"/>
                <w:color w:val="auto"/>
              </w:rPr>
              <w:t>385,000</w:t>
            </w:r>
          </w:p>
        </w:tc>
        <w:tc>
          <w:tcPr>
            <w:tcW w:w="2660" w:type="dxa"/>
            <w:vAlign w:val="bottom"/>
          </w:tcPr>
          <w:p>
            <w:pPr>
              <w:jc w:val="right"/>
              <w:ind w:right="353"/>
              <w:spacing w:after="0"/>
              <w:rPr>
                <w:sz w:val="20"/>
                <w:szCs w:val="20"/>
                <w:color w:val="auto"/>
              </w:rPr>
            </w:pPr>
            <w:r>
              <w:rPr>
                <w:rFonts w:ascii="Arial" w:cs="Arial" w:eastAsia="Arial" w:hAnsi="Arial"/>
                <w:sz w:val="13"/>
                <w:szCs w:val="13"/>
                <w:color w:val="auto"/>
              </w:rPr>
              <w:t>397,000</w:t>
            </w:r>
          </w:p>
        </w:tc>
      </w:tr>
      <w:tr>
        <w:trPr>
          <w:trHeight w:val="148"/>
        </w:trPr>
        <w:tc>
          <w:tcPr>
            <w:tcW w:w="214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3"/>
                <w:szCs w:val="13"/>
                <w:color w:val="auto"/>
              </w:rPr>
              <w:t xml:space="preserve">Roger J. Pomerantz, M.D. </w:t>
            </w:r>
            <w:r>
              <w:rPr>
                <w:rFonts w:ascii="Arial" w:cs="Arial" w:eastAsia="Arial" w:hAnsi="Arial"/>
                <w:sz w:val="11"/>
                <w:szCs w:val="11"/>
                <w:color w:val="auto"/>
              </w:rPr>
              <w:t>(2)</w:t>
            </w:r>
          </w:p>
        </w:tc>
        <w:tc>
          <w:tcPr>
            <w:tcW w:w="2660" w:type="dxa"/>
            <w:vAlign w:val="bottom"/>
            <w:tcBorders>
              <w:bottom w:val="single" w:sz="8" w:color="auto"/>
            </w:tcBorders>
            <w:shd w:val="clear" w:color="auto" w:fill="D8D8D8"/>
          </w:tcPr>
          <w:p>
            <w:pPr>
              <w:jc w:val="right"/>
              <w:ind w:right="353"/>
              <w:spacing w:after="0"/>
              <w:rPr>
                <w:sz w:val="20"/>
                <w:szCs w:val="20"/>
                <w:color w:val="auto"/>
              </w:rPr>
            </w:pPr>
            <w:r>
              <w:rPr>
                <w:rFonts w:ascii="Arial" w:cs="Arial" w:eastAsia="Arial" w:hAnsi="Arial"/>
                <w:sz w:val="13"/>
                <w:szCs w:val="13"/>
                <w:color w:val="auto"/>
              </w:rPr>
              <w:t>595,000</w:t>
            </w:r>
          </w:p>
        </w:tc>
        <w:tc>
          <w:tcPr>
            <w:tcW w:w="2660" w:type="dxa"/>
            <w:vAlign w:val="bottom"/>
            <w:tcBorders>
              <w:bottom w:val="single" w:sz="8" w:color="auto"/>
            </w:tcBorders>
            <w:shd w:val="clear" w:color="auto" w:fill="D8D8D8"/>
          </w:tcPr>
          <w:p>
            <w:pPr>
              <w:jc w:val="right"/>
              <w:ind w:right="373"/>
              <w:spacing w:after="0"/>
              <w:rPr>
                <w:sz w:val="20"/>
                <w:szCs w:val="20"/>
                <w:color w:val="auto"/>
              </w:rPr>
            </w:pPr>
            <w:r>
              <w:rPr>
                <w:rFonts w:ascii="Arial" w:cs="Arial" w:eastAsia="Arial" w:hAnsi="Arial"/>
                <w:sz w:val="13"/>
                <w:szCs w:val="13"/>
                <w:color w:val="auto"/>
              </w:rPr>
              <w:t>595,000</w:t>
            </w:r>
          </w:p>
        </w:tc>
        <w:tc>
          <w:tcPr>
            <w:tcW w:w="2660" w:type="dxa"/>
            <w:vAlign w:val="bottom"/>
            <w:tcBorders>
              <w:bottom w:val="single" w:sz="8" w:color="auto"/>
            </w:tcBorders>
            <w:shd w:val="clear" w:color="auto" w:fill="D8D8D8"/>
          </w:tcPr>
          <w:p>
            <w:pPr>
              <w:jc w:val="right"/>
              <w:ind w:right="353"/>
              <w:spacing w:after="0"/>
              <w:rPr>
                <w:sz w:val="20"/>
                <w:szCs w:val="20"/>
                <w:color w:val="auto"/>
              </w:rPr>
            </w:pPr>
            <w:r>
              <w:rPr>
                <w:rFonts w:ascii="Arial" w:cs="Arial" w:eastAsia="Arial" w:hAnsi="Arial"/>
                <w:sz w:val="13"/>
                <w:szCs w:val="13"/>
                <w:color w:val="auto"/>
              </w:rPr>
              <w:t>—</w:t>
            </w:r>
          </w:p>
        </w:tc>
      </w:tr>
    </w:tbl>
    <w:p>
      <w:pPr>
        <w:spacing w:after="0" w:line="121" w:lineRule="exact"/>
        <w:rPr>
          <w:sz w:val="20"/>
          <w:szCs w:val="20"/>
          <w:color w:val="auto"/>
        </w:rPr>
      </w:pPr>
    </w:p>
    <w:p>
      <w:pPr>
        <w:ind w:left="440" w:hanging="324"/>
        <w:spacing w:after="0"/>
        <w:tabs>
          <w:tab w:leader="none" w:pos="4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Mr. Shaff’s 2019 Annual Base Salary reflects an increase related to his promotion to Chief Executive Officer on January 14, 2019.</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Dr. Pomerantz ceased serving as an employee on January 14, 2019.</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2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Our NEOs have the opportunity to earn annual performance bonuses based on the achievement of short-term performance goals. The NEOs’ 2019 target annual cash bonuses, expressed as a percentage of base salary, were: 55% for Mr. Shaff, 40% for Mr. DesRosier and 40% for Dr. Henn. Dr. Pomerantz ceased serving as an employee on January 14, 2019 and was not eligible to receive an annual performance bonus in respect of 2019 performance.</w:t>
      </w:r>
    </w:p>
    <w:p>
      <w:pPr>
        <w:spacing w:after="0" w:line="9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Compensation Committee generally determines annual bonuses for our NEOs by multiplying (a) base salary, by (b) target cash bonus percentage, by (c) the level of achievement of corporate and/or individual performance objectives. In addition, the Compensation Committee retains discretion to adjust annual bonuses as it determines to be appropriate to reflect company performance, individual performance or other factors that the committee believes to be appropriate. For Mr. DesRosier and Dr. Henn, the achievement of 2019 corporate objectives was weighted 80% and the achievement of individual objectives was weighted at 20%. Mr. Shaff’s 2019 bonus was weighted 100% on corporate objectives.</w:t>
      </w:r>
    </w:p>
    <w:p>
      <w:pPr>
        <w:spacing w:after="0" w:line="97"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For 2019, our corporate bonus objectives were based on operational and developmental milestones related to our clinical and preclinical development programs and business and corporate development initiatives. For each of our NEOs who was eligible to receive an annual bonus for 2019, the 2019 individual performance considerations focused on their respective areas of responsibility within our company. In January 2020, in consultation with management and based on guidance from Radford,</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the Compensation Committee determined to award Messrs. Shaff and DesRosier, and Dr. Henn 2019 performance bonuses of approximately 85% of the corporate objective portion of their target bonus levels. The actual amounts paid to our NEOs under our 2019 annual cash bonus program are set forth in the Summary Compensation Table above.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6"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We have historically offered stock options and, in 2017, restricted stock units to our employees, including our NEOs, as the long-term incentive component of our compensation program. We typically grant options to employees when they commence employment with us and may thereafter grant additional options in the discretion of our Board of Directors or Compensation Committee. Our stock options allow employees to purchase shares of our Common Stock at a price equal to the fair market value of our Common Stock on the grant date and may be intended to qualify as “incentive stock options” under the Internal Revenue Code of 1986, as amended (the “Code”). Each restricted stock unit represents the right to receive one share of our Common Stock or its cash value equivalent upon vesting. In 2019, the long-term incentive component of the compensation of our NEOs consisted solely of stock options.</w:t>
      </w:r>
    </w:p>
    <w:p>
      <w:pPr>
        <w:spacing w:after="0" w:line="9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stock options typically vest as to 25% of the shares subject to the option on the first anniversary of the grant date (or service commencement date for initial grants) and in 12 quarterly installments during the three-year period thereafter, subject to the holder’s continued service with us. From time to time, our Board of Directors or Compensation Committee may also construct alternate vesting schedules as it determines are appropriate to motivate particular employees. Stock options and restricted stock units granted to our employees may be subject to accelerated vesting in certain circumstances, as described in the section titled “Employment and Separation Agreements.”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awarded stock options to our NEOs during 2019 in the following amounts and with the vesting schedules indicated below.</w:t>
      </w:r>
    </w:p>
    <w:p>
      <w:pPr>
        <w:spacing w:after="0" w:line="118"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3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Name</w:t>
            </w:r>
          </w:p>
        </w:tc>
        <w:tc>
          <w:tcPr>
            <w:tcW w:w="3680" w:type="dxa"/>
            <w:vAlign w:val="bottom"/>
            <w:tcBorders>
              <w:bottom w:val="single" w:sz="8" w:color="auto"/>
            </w:tcBorders>
            <w:shd w:val="clear" w:color="auto" w:fill="E5E5E5"/>
          </w:tcPr>
          <w:p>
            <w:pPr>
              <w:jc w:val="right"/>
              <w:ind w:right="793"/>
              <w:spacing w:after="0"/>
              <w:rPr>
                <w:sz w:val="20"/>
                <w:szCs w:val="20"/>
                <w:color w:val="auto"/>
              </w:rPr>
            </w:pPr>
            <w:r>
              <w:rPr>
                <w:rFonts w:ascii="Arial" w:cs="Arial" w:eastAsia="Arial" w:hAnsi="Arial"/>
                <w:sz w:val="13"/>
                <w:szCs w:val="13"/>
                <w:b w:val="1"/>
                <w:bCs w:val="1"/>
                <w:color w:val="auto"/>
              </w:rPr>
              <w:t>Time-Based Options Granted (#)</w:t>
            </w:r>
          </w:p>
        </w:tc>
        <w:tc>
          <w:tcPr>
            <w:tcW w:w="4060" w:type="dxa"/>
            <w:vAlign w:val="bottom"/>
            <w:tcBorders>
              <w:bottom w:val="single" w:sz="8" w:color="auto"/>
            </w:tcBorders>
            <w:shd w:val="clear" w:color="auto" w:fill="E5E5E5"/>
          </w:tcPr>
          <w:p>
            <w:pPr>
              <w:jc w:val="right"/>
              <w:ind w:right="713"/>
              <w:spacing w:after="0"/>
              <w:rPr>
                <w:sz w:val="20"/>
                <w:szCs w:val="20"/>
                <w:color w:val="auto"/>
              </w:rPr>
            </w:pPr>
            <w:r>
              <w:rPr>
                <w:rFonts w:ascii="Arial" w:cs="Arial" w:eastAsia="Arial" w:hAnsi="Arial"/>
                <w:sz w:val="13"/>
                <w:szCs w:val="13"/>
                <w:b w:val="1"/>
                <w:bCs w:val="1"/>
                <w:color w:val="auto"/>
              </w:rPr>
              <w:t xml:space="preserve">Milestone-Based Options Granted (#) </w:t>
            </w:r>
            <w:r>
              <w:rPr>
                <w:rFonts w:ascii="Arial" w:cs="Arial" w:eastAsia="Arial" w:hAnsi="Arial"/>
                <w:sz w:val="11"/>
                <w:szCs w:val="11"/>
                <w:b w:val="1"/>
                <w:bCs w:val="1"/>
                <w:color w:val="auto"/>
              </w:rPr>
              <w:t>(2)</w:t>
            </w:r>
          </w:p>
        </w:tc>
      </w:tr>
      <w:tr>
        <w:trPr>
          <w:trHeight w:val="142"/>
        </w:trPr>
        <w:tc>
          <w:tcPr>
            <w:tcW w:w="2380" w:type="dxa"/>
            <w:vAlign w:val="bottom"/>
          </w:tcPr>
          <w:p>
            <w:pPr>
              <w:ind w:left="80"/>
              <w:spacing w:after="0" w:line="142" w:lineRule="exact"/>
              <w:rPr>
                <w:sz w:val="20"/>
                <w:szCs w:val="20"/>
                <w:color w:val="auto"/>
              </w:rPr>
            </w:pPr>
            <w:r>
              <w:rPr>
                <w:rFonts w:ascii="Arial" w:cs="Arial" w:eastAsia="Arial" w:hAnsi="Arial"/>
                <w:sz w:val="13"/>
                <w:szCs w:val="13"/>
                <w:color w:val="auto"/>
              </w:rPr>
              <w:t>Eric D. Shaff</w:t>
            </w:r>
          </w:p>
        </w:tc>
        <w:tc>
          <w:tcPr>
            <w:tcW w:w="3680" w:type="dxa"/>
            <w:vAlign w:val="bottom"/>
          </w:tcPr>
          <w:p>
            <w:pPr>
              <w:jc w:val="right"/>
              <w:ind w:right="633"/>
              <w:spacing w:after="0" w:line="142" w:lineRule="exact"/>
              <w:rPr>
                <w:sz w:val="20"/>
                <w:szCs w:val="20"/>
                <w:color w:val="auto"/>
              </w:rPr>
            </w:pPr>
            <w:r>
              <w:rPr>
                <w:rFonts w:ascii="Arial" w:cs="Arial" w:eastAsia="Arial" w:hAnsi="Arial"/>
                <w:sz w:val="13"/>
                <w:szCs w:val="13"/>
                <w:color w:val="auto"/>
              </w:rPr>
              <w:t>275,000</w:t>
            </w:r>
            <w:r>
              <w:rPr>
                <w:rFonts w:ascii="Arial" w:cs="Arial" w:eastAsia="Arial" w:hAnsi="Arial"/>
                <w:sz w:val="11"/>
                <w:szCs w:val="11"/>
                <w:color w:val="auto"/>
              </w:rPr>
              <w:t>(1)</w:t>
            </w:r>
          </w:p>
        </w:tc>
        <w:tc>
          <w:tcPr>
            <w:tcW w:w="4060" w:type="dxa"/>
            <w:vAlign w:val="bottom"/>
          </w:tcPr>
          <w:p>
            <w:pPr>
              <w:jc w:val="right"/>
              <w:ind w:right="713"/>
              <w:spacing w:after="0" w:line="142" w:lineRule="exact"/>
              <w:rPr>
                <w:sz w:val="20"/>
                <w:szCs w:val="20"/>
                <w:color w:val="auto"/>
              </w:rPr>
            </w:pPr>
            <w:r>
              <w:rPr>
                <w:rFonts w:ascii="Arial" w:cs="Arial" w:eastAsia="Arial" w:hAnsi="Arial"/>
                <w:sz w:val="13"/>
                <w:szCs w:val="13"/>
                <w:color w:val="auto"/>
              </w:rPr>
              <w:t>286,000</w:t>
            </w:r>
          </w:p>
        </w:tc>
      </w:tr>
      <w:tr>
        <w:trPr>
          <w:trHeight w:val="148"/>
        </w:trPr>
        <w:tc>
          <w:tcPr>
            <w:tcW w:w="2380" w:type="dxa"/>
            <w:vAlign w:val="bottom"/>
            <w:shd w:val="clear" w:color="auto" w:fill="D8D8D8"/>
          </w:tcPr>
          <w:p>
            <w:pPr>
              <w:ind w:left="80"/>
              <w:spacing w:after="0"/>
              <w:rPr>
                <w:sz w:val="20"/>
                <w:szCs w:val="20"/>
                <w:color w:val="auto"/>
              </w:rPr>
            </w:pPr>
            <w:r>
              <w:rPr>
                <w:rFonts w:ascii="Arial" w:cs="Arial" w:eastAsia="Arial" w:hAnsi="Arial"/>
                <w:sz w:val="13"/>
                <w:szCs w:val="13"/>
                <w:color w:val="auto"/>
              </w:rPr>
              <w:t>Thomas J. DesRosier</w:t>
            </w:r>
          </w:p>
        </w:tc>
        <w:tc>
          <w:tcPr>
            <w:tcW w:w="3680" w:type="dxa"/>
            <w:vAlign w:val="bottom"/>
            <w:shd w:val="clear" w:color="auto" w:fill="D8D8D8"/>
          </w:tcPr>
          <w:p>
            <w:pPr>
              <w:jc w:val="right"/>
              <w:ind w:right="633"/>
              <w:spacing w:after="0"/>
              <w:rPr>
                <w:sz w:val="20"/>
                <w:szCs w:val="20"/>
                <w:color w:val="auto"/>
              </w:rPr>
            </w:pPr>
            <w:r>
              <w:rPr>
                <w:rFonts w:ascii="Arial" w:cs="Arial" w:eastAsia="Arial" w:hAnsi="Arial"/>
                <w:sz w:val="13"/>
                <w:szCs w:val="13"/>
                <w:color w:val="auto"/>
              </w:rPr>
              <w:t>84,800</w:t>
            </w:r>
            <w:r>
              <w:rPr>
                <w:rFonts w:ascii="Arial" w:cs="Arial" w:eastAsia="Arial" w:hAnsi="Arial"/>
                <w:sz w:val="11"/>
                <w:szCs w:val="11"/>
                <w:color w:val="auto"/>
              </w:rPr>
              <w:t>(1)</w:t>
            </w:r>
          </w:p>
        </w:tc>
        <w:tc>
          <w:tcPr>
            <w:tcW w:w="4060" w:type="dxa"/>
            <w:vAlign w:val="bottom"/>
            <w:shd w:val="clear" w:color="auto" w:fill="D8D8D8"/>
          </w:tcPr>
          <w:p>
            <w:pPr>
              <w:jc w:val="right"/>
              <w:ind w:right="713"/>
              <w:spacing w:after="0"/>
              <w:rPr>
                <w:sz w:val="20"/>
                <w:szCs w:val="20"/>
                <w:color w:val="auto"/>
              </w:rPr>
            </w:pPr>
            <w:r>
              <w:rPr>
                <w:rFonts w:ascii="Arial" w:cs="Arial" w:eastAsia="Arial" w:hAnsi="Arial"/>
                <w:sz w:val="13"/>
                <w:szCs w:val="13"/>
                <w:color w:val="auto"/>
              </w:rPr>
              <w:t>84,800</w:t>
            </w:r>
          </w:p>
        </w:tc>
      </w:tr>
      <w:tr>
        <w:trPr>
          <w:trHeight w:val="149"/>
        </w:trPr>
        <w:tc>
          <w:tcPr>
            <w:tcW w:w="2380" w:type="dxa"/>
            <w:vAlign w:val="bottom"/>
          </w:tcPr>
          <w:p>
            <w:pPr>
              <w:ind w:left="80"/>
              <w:spacing w:after="0"/>
              <w:rPr>
                <w:sz w:val="20"/>
                <w:szCs w:val="20"/>
                <w:color w:val="auto"/>
              </w:rPr>
            </w:pPr>
            <w:r>
              <w:rPr>
                <w:rFonts w:ascii="Arial" w:cs="Arial" w:eastAsia="Arial" w:hAnsi="Arial"/>
                <w:sz w:val="13"/>
                <w:szCs w:val="13"/>
                <w:color w:val="auto"/>
              </w:rPr>
              <w:t>Matthew R. Henn, Ph.D.</w:t>
            </w:r>
          </w:p>
        </w:tc>
        <w:tc>
          <w:tcPr>
            <w:tcW w:w="3680" w:type="dxa"/>
            <w:vAlign w:val="bottom"/>
          </w:tcPr>
          <w:p>
            <w:pPr>
              <w:jc w:val="right"/>
              <w:ind w:right="633"/>
              <w:spacing w:after="0"/>
              <w:rPr>
                <w:sz w:val="20"/>
                <w:szCs w:val="20"/>
                <w:color w:val="auto"/>
              </w:rPr>
            </w:pPr>
            <w:r>
              <w:rPr>
                <w:rFonts w:ascii="Arial" w:cs="Arial" w:eastAsia="Arial" w:hAnsi="Arial"/>
                <w:sz w:val="13"/>
                <w:szCs w:val="13"/>
                <w:color w:val="auto"/>
              </w:rPr>
              <w:t>73,500</w:t>
            </w:r>
            <w:r>
              <w:rPr>
                <w:rFonts w:ascii="Arial" w:cs="Arial" w:eastAsia="Arial" w:hAnsi="Arial"/>
                <w:sz w:val="11"/>
                <w:szCs w:val="11"/>
                <w:color w:val="auto"/>
              </w:rPr>
              <w:t>(1)</w:t>
            </w:r>
          </w:p>
        </w:tc>
        <w:tc>
          <w:tcPr>
            <w:tcW w:w="4060" w:type="dxa"/>
            <w:vAlign w:val="bottom"/>
          </w:tcPr>
          <w:p>
            <w:pPr>
              <w:jc w:val="right"/>
              <w:ind w:right="713"/>
              <w:spacing w:after="0"/>
              <w:rPr>
                <w:sz w:val="20"/>
                <w:szCs w:val="20"/>
                <w:color w:val="auto"/>
              </w:rPr>
            </w:pPr>
            <w:r>
              <w:rPr>
                <w:rFonts w:ascii="Arial" w:cs="Arial" w:eastAsia="Arial" w:hAnsi="Arial"/>
                <w:sz w:val="13"/>
                <w:szCs w:val="13"/>
                <w:color w:val="auto"/>
              </w:rPr>
              <w:t>73,500</w:t>
            </w:r>
          </w:p>
        </w:tc>
      </w:tr>
      <w:tr>
        <w:trPr>
          <w:trHeight w:val="148"/>
        </w:trPr>
        <w:tc>
          <w:tcPr>
            <w:tcW w:w="238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3"/>
                <w:szCs w:val="13"/>
                <w:color w:val="auto"/>
              </w:rPr>
              <w:t>Roger J. Pomerantz, M.D.</w:t>
            </w:r>
          </w:p>
        </w:tc>
        <w:tc>
          <w:tcPr>
            <w:tcW w:w="3680" w:type="dxa"/>
            <w:vAlign w:val="bottom"/>
            <w:tcBorders>
              <w:bottom w:val="single" w:sz="8" w:color="auto"/>
            </w:tcBorders>
            <w:shd w:val="clear" w:color="auto" w:fill="D8D8D8"/>
          </w:tcPr>
          <w:p>
            <w:pPr>
              <w:jc w:val="right"/>
              <w:ind w:right="633"/>
              <w:spacing w:after="0"/>
              <w:rPr>
                <w:sz w:val="20"/>
                <w:szCs w:val="20"/>
                <w:color w:val="auto"/>
              </w:rPr>
            </w:pPr>
            <w:r>
              <w:rPr>
                <w:rFonts w:ascii="Arial" w:cs="Arial" w:eastAsia="Arial" w:hAnsi="Arial"/>
                <w:sz w:val="13"/>
                <w:szCs w:val="13"/>
                <w:color w:val="auto"/>
              </w:rPr>
              <w:t>15,000</w:t>
            </w:r>
            <w:r>
              <w:rPr>
                <w:rFonts w:ascii="Arial" w:cs="Arial" w:eastAsia="Arial" w:hAnsi="Arial"/>
                <w:sz w:val="11"/>
                <w:szCs w:val="11"/>
                <w:color w:val="auto"/>
              </w:rPr>
              <w:t>(3)</w:t>
            </w:r>
          </w:p>
        </w:tc>
        <w:tc>
          <w:tcPr>
            <w:tcW w:w="4060" w:type="dxa"/>
            <w:vAlign w:val="bottom"/>
            <w:tcBorders>
              <w:bottom w:val="single" w:sz="8" w:color="auto"/>
            </w:tcBorders>
            <w:shd w:val="clear" w:color="auto" w:fill="D8D8D8"/>
          </w:tcPr>
          <w:p>
            <w:pPr>
              <w:jc w:val="right"/>
              <w:ind w:right="713"/>
              <w:spacing w:after="0"/>
              <w:rPr>
                <w:sz w:val="20"/>
                <w:szCs w:val="20"/>
                <w:color w:val="auto"/>
              </w:rPr>
            </w:pPr>
            <w:r>
              <w:rPr>
                <w:rFonts w:ascii="Arial" w:cs="Arial" w:eastAsia="Arial" w:hAnsi="Arial"/>
                <w:sz w:val="13"/>
                <w:szCs w:val="13"/>
                <w:color w:val="auto"/>
              </w:rPr>
              <w:t>––</w:t>
            </w:r>
          </w:p>
        </w:tc>
      </w:tr>
    </w:tbl>
    <w:p>
      <w:pPr>
        <w:spacing w:after="0" w:line="121" w:lineRule="exact"/>
        <w:rPr>
          <w:sz w:val="20"/>
          <w:szCs w:val="20"/>
          <w:color w:val="auto"/>
        </w:rPr>
      </w:pPr>
    </w:p>
    <w:p>
      <w:pPr>
        <w:ind w:left="440" w:right="140" w:hanging="324"/>
        <w:spacing w:after="0" w:line="248" w:lineRule="auto"/>
        <w:tabs>
          <w:tab w:leader="none" w:pos="4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“Employment and Separation Agreements.”</w:t>
      </w:r>
    </w:p>
    <w:p>
      <w:pPr>
        <w:spacing w:after="0" w:line="49" w:lineRule="exact"/>
        <w:rPr>
          <w:rFonts w:ascii="Arial" w:cs="Arial" w:eastAsia="Arial" w:hAnsi="Arial"/>
          <w:sz w:val="13"/>
          <w:szCs w:val="13"/>
          <w:color w:val="auto"/>
        </w:rPr>
      </w:pPr>
    </w:p>
    <w:p>
      <w:pPr>
        <w:ind w:left="440" w:right="80" w:hanging="324"/>
        <w:spacing w:after="0" w:line="258" w:lineRule="auto"/>
        <w:tabs>
          <w:tab w:leader="none" w:pos="4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Option vests in full upon the day our Board of Directors determines that the primary endpoint in the SER-287 Phase 2b study has been attained, subject to the holder’s continued employment with us through the applicable vesting date.</w:t>
      </w:r>
    </w:p>
    <w:p>
      <w:pPr>
        <w:spacing w:after="0" w:line="43" w:lineRule="exact"/>
        <w:rPr>
          <w:rFonts w:ascii="Arial" w:cs="Arial" w:eastAsia="Arial" w:hAnsi="Arial"/>
          <w:sz w:val="13"/>
          <w:szCs w:val="13"/>
          <w:color w:val="auto"/>
        </w:rPr>
      </w:pPr>
    </w:p>
    <w:p>
      <w:pPr>
        <w:ind w:left="440" w:hanging="324"/>
        <w:spacing w:after="0"/>
        <w:tabs>
          <w:tab w:leader="none" w:pos="4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Option vests in full on June 13, 2020, in accordance with our Non-Employee Director Compensation Program.</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12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NEOs are eligible to participate in our employee benefit plans and programs, including medical and dental benefits, life insurance, short-term disability and long-term disability to the same extent as our other full-time employees, subject to the terms and eligibility requirements of those plans. We also sponsor a 401(k) defined contribution plan in which our NEOs may participate, subject to limits imposed by the Code, to the same extent as all of our other full-time employees. During 2019, we made discretionary employer matching contributions equal to 50% of elective contributions made by participants in the 401(k) plan, up to 6% of a participant’s eligible compensation. These matching contributions are fully vested as of the date on which the contribution is made. We believe that providing a vehicle for tax-deferred retirement savings through our 401(k) plan adds to the overall desirability of our executive compensation package and further incentivizes our employees, including our NEOs, in accordance with our compensation policies. We did not provide any perquisites or special personal benefits to our NEOs for 2019.</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OUTSTANDING EQUITY AWARDS AT 2019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0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160" w:type="dxa"/>
            <w:vAlign w:val="bottom"/>
            <w:shd w:val="clear" w:color="auto" w:fill="E5E5E5"/>
          </w:tcPr>
          <w:p>
            <w:pPr>
              <w:ind w:left="240"/>
              <w:spacing w:after="0"/>
              <w:rPr>
                <w:sz w:val="20"/>
                <w:szCs w:val="20"/>
                <w:color w:val="auto"/>
              </w:rPr>
            </w:pPr>
            <w:r>
              <w:rPr>
                <w:rFonts w:ascii="Arial" w:cs="Arial" w:eastAsia="Arial" w:hAnsi="Arial"/>
                <w:sz w:val="13"/>
                <w:szCs w:val="13"/>
                <w:b w:val="1"/>
                <w:bCs w:val="1"/>
                <w:color w:val="auto"/>
                <w:w w:val="97"/>
              </w:rPr>
              <w:t>Option Awards</w:t>
            </w:r>
          </w:p>
        </w:tc>
        <w:tc>
          <w:tcPr>
            <w:tcW w:w="86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1740" w:type="dxa"/>
            <w:vAlign w:val="bottom"/>
            <w:gridSpan w:val="3"/>
            <w:shd w:val="clear" w:color="auto" w:fill="E5E5E5"/>
          </w:tcPr>
          <w:p>
            <w:pPr>
              <w:ind w:left="400"/>
              <w:spacing w:after="0"/>
              <w:rPr>
                <w:sz w:val="20"/>
                <w:szCs w:val="20"/>
                <w:color w:val="auto"/>
              </w:rPr>
            </w:pPr>
            <w:r>
              <w:rPr>
                <w:rFonts w:ascii="Arial" w:cs="Arial" w:eastAsia="Arial" w:hAnsi="Arial"/>
                <w:sz w:val="13"/>
                <w:szCs w:val="13"/>
                <w:b w:val="1"/>
                <w:bCs w:val="1"/>
                <w:color w:val="auto"/>
              </w:rPr>
              <w:t>Stock Awards</w:t>
            </w:r>
          </w:p>
        </w:tc>
      </w:tr>
      <w:tr>
        <w:trPr>
          <w:trHeight w:val="107"/>
        </w:trPr>
        <w:tc>
          <w:tcPr>
            <w:tcW w:w="3400" w:type="dxa"/>
            <w:vAlign w:val="bottom"/>
            <w:tcBorders>
              <w:top w:val="single" w:sz="8" w:color="E5E5E5"/>
            </w:tcBorders>
            <w:shd w:val="clear" w:color="auto" w:fill="E5E5E5"/>
          </w:tcPr>
          <w:p>
            <w:pPr>
              <w:spacing w:after="0"/>
              <w:rPr>
                <w:sz w:val="9"/>
                <w:szCs w:val="9"/>
                <w:color w:val="auto"/>
              </w:rPr>
            </w:pPr>
          </w:p>
        </w:tc>
        <w:tc>
          <w:tcPr>
            <w:tcW w:w="1140" w:type="dxa"/>
            <w:vAlign w:val="bottom"/>
            <w:tcBorders>
              <w:top w:val="single" w:sz="8" w:color="auto"/>
            </w:tcBorders>
            <w:shd w:val="clear" w:color="auto" w:fill="E5E5E5"/>
          </w:tcPr>
          <w:p>
            <w:pPr>
              <w:spacing w:after="0"/>
              <w:rPr>
                <w:sz w:val="9"/>
                <w:szCs w:val="9"/>
                <w:color w:val="auto"/>
              </w:rPr>
            </w:pPr>
          </w:p>
        </w:tc>
        <w:tc>
          <w:tcPr>
            <w:tcW w:w="1000" w:type="dxa"/>
            <w:vAlign w:val="bottom"/>
            <w:tcBorders>
              <w:top w:val="single" w:sz="8" w:color="auto"/>
            </w:tcBorders>
            <w:shd w:val="clear" w:color="auto" w:fill="E5E5E5"/>
          </w:tcPr>
          <w:p>
            <w:pPr>
              <w:spacing w:after="0"/>
              <w:rPr>
                <w:sz w:val="9"/>
                <w:szCs w:val="9"/>
                <w:color w:val="auto"/>
              </w:rPr>
            </w:pPr>
          </w:p>
        </w:tc>
        <w:tc>
          <w:tcPr>
            <w:tcW w:w="1160" w:type="dxa"/>
            <w:vAlign w:val="bottom"/>
            <w:tcBorders>
              <w:top w:val="single" w:sz="8" w:color="auto"/>
            </w:tcBorders>
            <w:shd w:val="clear" w:color="auto" w:fill="E5E5E5"/>
          </w:tcPr>
          <w:p>
            <w:pPr>
              <w:spacing w:after="0"/>
              <w:rPr>
                <w:sz w:val="9"/>
                <w:szCs w:val="9"/>
                <w:color w:val="auto"/>
              </w:rPr>
            </w:pPr>
          </w:p>
        </w:tc>
        <w:tc>
          <w:tcPr>
            <w:tcW w:w="860" w:type="dxa"/>
            <w:vAlign w:val="bottom"/>
            <w:tcBorders>
              <w:top w:val="single" w:sz="8" w:color="auto"/>
            </w:tcBorders>
            <w:shd w:val="clear" w:color="auto" w:fill="E5E5E5"/>
          </w:tcPr>
          <w:p>
            <w:pPr>
              <w:jc w:val="center"/>
              <w:ind w:right="18"/>
              <w:spacing w:after="0" w:line="107" w:lineRule="exact"/>
              <w:rPr>
                <w:sz w:val="20"/>
                <w:szCs w:val="20"/>
                <w:color w:val="auto"/>
              </w:rPr>
            </w:pPr>
            <w:r>
              <w:rPr>
                <w:rFonts w:ascii="Arial" w:cs="Arial" w:eastAsia="Arial" w:hAnsi="Arial"/>
                <w:sz w:val="12"/>
                <w:szCs w:val="12"/>
                <w:b w:val="1"/>
                <w:bCs w:val="1"/>
                <w:color w:val="auto"/>
              </w:rPr>
              <w:t>Equity</w:t>
            </w:r>
          </w:p>
        </w:tc>
        <w:tc>
          <w:tcPr>
            <w:tcW w:w="740" w:type="dxa"/>
            <w:vAlign w:val="bottom"/>
            <w:tcBorders>
              <w:top w:val="single" w:sz="8" w:color="auto"/>
            </w:tcBorders>
            <w:shd w:val="clear" w:color="auto" w:fill="E5E5E5"/>
          </w:tcPr>
          <w:p>
            <w:pPr>
              <w:spacing w:after="0"/>
              <w:rPr>
                <w:sz w:val="9"/>
                <w:szCs w:val="9"/>
                <w:color w:val="auto"/>
              </w:rPr>
            </w:pPr>
          </w:p>
        </w:tc>
        <w:tc>
          <w:tcPr>
            <w:tcW w:w="760" w:type="dxa"/>
            <w:vAlign w:val="bottom"/>
            <w:tcBorders>
              <w:top w:val="single" w:sz="8" w:color="auto"/>
            </w:tcBorders>
            <w:shd w:val="clear" w:color="auto" w:fill="E5E5E5"/>
          </w:tcPr>
          <w:p>
            <w:pPr>
              <w:spacing w:after="0"/>
              <w:rPr>
                <w:sz w:val="9"/>
                <w:szCs w:val="9"/>
                <w:color w:val="auto"/>
              </w:rPr>
            </w:pPr>
          </w:p>
        </w:tc>
        <w:tc>
          <w:tcPr>
            <w:tcW w:w="220" w:type="dxa"/>
            <w:vAlign w:val="bottom"/>
            <w:tcBorders>
              <w:top w:val="single" w:sz="8" w:color="E5E5E5"/>
            </w:tcBorders>
            <w:shd w:val="clear" w:color="auto" w:fill="E5E5E5"/>
          </w:tcPr>
          <w:p>
            <w:pPr>
              <w:spacing w:after="0"/>
              <w:rPr>
                <w:sz w:val="9"/>
                <w:szCs w:val="9"/>
                <w:color w:val="auto"/>
              </w:rPr>
            </w:pPr>
          </w:p>
        </w:tc>
        <w:tc>
          <w:tcPr>
            <w:tcW w:w="740" w:type="dxa"/>
            <w:vAlign w:val="bottom"/>
            <w:tcBorders>
              <w:top w:val="single" w:sz="8" w:color="auto"/>
            </w:tcBorders>
            <w:shd w:val="clear" w:color="auto" w:fill="E5E5E5"/>
          </w:tcPr>
          <w:p>
            <w:pPr>
              <w:spacing w:after="0"/>
              <w:rPr>
                <w:sz w:val="9"/>
                <w:szCs w:val="9"/>
                <w:color w:val="auto"/>
              </w:rPr>
            </w:pPr>
          </w:p>
        </w:tc>
        <w:tc>
          <w:tcPr>
            <w:tcW w:w="880" w:type="dxa"/>
            <w:vAlign w:val="bottom"/>
            <w:tcBorders>
              <w:top w:val="single" w:sz="8" w:color="auto"/>
            </w:tcBorders>
            <w:shd w:val="clear" w:color="auto" w:fill="E5E5E5"/>
          </w:tcPr>
          <w:p>
            <w:pPr>
              <w:spacing w:after="0"/>
              <w:rPr>
                <w:sz w:val="9"/>
                <w:szCs w:val="9"/>
                <w:color w:val="auto"/>
              </w:rPr>
            </w:pPr>
          </w:p>
        </w:tc>
        <w:tc>
          <w:tcPr>
            <w:tcW w:w="120" w:type="dxa"/>
            <w:vAlign w:val="bottom"/>
            <w:tcBorders>
              <w:top w:val="single" w:sz="8" w:color="E5E5E5"/>
            </w:tcBorders>
            <w:shd w:val="clear" w:color="auto" w:fill="E5E5E5"/>
          </w:tcPr>
          <w:p>
            <w:pPr>
              <w:spacing w:after="0"/>
              <w:rPr>
                <w:sz w:val="9"/>
                <w:szCs w:val="9"/>
                <w:color w:val="auto"/>
              </w:rPr>
            </w:pPr>
          </w:p>
        </w:tc>
      </w:tr>
      <w:tr>
        <w:trPr>
          <w:trHeight w:val="135"/>
        </w:trPr>
        <w:tc>
          <w:tcPr>
            <w:tcW w:w="3400" w:type="dxa"/>
            <w:vAlign w:val="bottom"/>
            <w:shd w:val="clear" w:color="auto" w:fill="E5E5E5"/>
          </w:tcPr>
          <w:p>
            <w:pPr>
              <w:spacing w:after="0"/>
              <w:rPr>
                <w:sz w:val="11"/>
                <w:szCs w:val="11"/>
                <w:color w:val="auto"/>
              </w:rPr>
            </w:pPr>
          </w:p>
        </w:tc>
        <w:tc>
          <w:tcPr>
            <w:tcW w:w="1140" w:type="dxa"/>
            <w:vAlign w:val="bottom"/>
            <w:shd w:val="clear" w:color="auto" w:fill="E5E5E5"/>
          </w:tcPr>
          <w:p>
            <w:pPr>
              <w:spacing w:after="0"/>
              <w:rPr>
                <w:sz w:val="11"/>
                <w:szCs w:val="11"/>
                <w:color w:val="auto"/>
              </w:rPr>
            </w:pPr>
          </w:p>
        </w:tc>
        <w:tc>
          <w:tcPr>
            <w:tcW w:w="1000" w:type="dxa"/>
            <w:vAlign w:val="bottom"/>
            <w:shd w:val="clear" w:color="auto" w:fill="E5E5E5"/>
          </w:tcPr>
          <w:p>
            <w:pPr>
              <w:spacing w:after="0"/>
              <w:rPr>
                <w:sz w:val="11"/>
                <w:szCs w:val="11"/>
                <w:color w:val="auto"/>
              </w:rPr>
            </w:pPr>
          </w:p>
        </w:tc>
        <w:tc>
          <w:tcPr>
            <w:tcW w:w="1160" w:type="dxa"/>
            <w:vAlign w:val="bottom"/>
            <w:shd w:val="clear" w:color="auto" w:fill="E5E5E5"/>
          </w:tcPr>
          <w:p>
            <w:pPr>
              <w:spacing w:after="0"/>
              <w:rPr>
                <w:sz w:val="11"/>
                <w:szCs w:val="11"/>
                <w:color w:val="auto"/>
              </w:rPr>
            </w:pPr>
          </w:p>
        </w:tc>
        <w:tc>
          <w:tcPr>
            <w:tcW w:w="860" w:type="dxa"/>
            <w:vAlign w:val="bottom"/>
            <w:shd w:val="clear" w:color="auto" w:fill="E5E5E5"/>
          </w:tcPr>
          <w:p>
            <w:pPr>
              <w:jc w:val="center"/>
              <w:ind w:right="18"/>
              <w:spacing w:after="0" w:line="135" w:lineRule="exact"/>
              <w:rPr>
                <w:sz w:val="20"/>
                <w:szCs w:val="20"/>
                <w:color w:val="auto"/>
              </w:rPr>
            </w:pPr>
            <w:r>
              <w:rPr>
                <w:rFonts w:ascii="Arial" w:cs="Arial" w:eastAsia="Arial" w:hAnsi="Arial"/>
                <w:sz w:val="13"/>
                <w:szCs w:val="13"/>
                <w:b w:val="1"/>
                <w:bCs w:val="1"/>
                <w:color w:val="auto"/>
                <w:w w:val="95"/>
              </w:rPr>
              <w:t>Incentive</w:t>
            </w:r>
          </w:p>
        </w:tc>
        <w:tc>
          <w:tcPr>
            <w:tcW w:w="74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88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r>
      <w:tr>
        <w:trPr>
          <w:trHeight w:val="135"/>
        </w:trPr>
        <w:tc>
          <w:tcPr>
            <w:tcW w:w="3400" w:type="dxa"/>
            <w:vAlign w:val="bottom"/>
            <w:shd w:val="clear" w:color="auto" w:fill="E5E5E5"/>
          </w:tcPr>
          <w:p>
            <w:pPr>
              <w:spacing w:after="0"/>
              <w:rPr>
                <w:sz w:val="11"/>
                <w:szCs w:val="11"/>
                <w:color w:val="auto"/>
              </w:rPr>
            </w:pPr>
          </w:p>
        </w:tc>
        <w:tc>
          <w:tcPr>
            <w:tcW w:w="1140" w:type="dxa"/>
            <w:vAlign w:val="bottom"/>
            <w:shd w:val="clear" w:color="auto" w:fill="E5E5E5"/>
          </w:tcPr>
          <w:p>
            <w:pPr>
              <w:spacing w:after="0"/>
              <w:rPr>
                <w:sz w:val="11"/>
                <w:szCs w:val="11"/>
                <w:color w:val="auto"/>
              </w:rPr>
            </w:pPr>
          </w:p>
        </w:tc>
        <w:tc>
          <w:tcPr>
            <w:tcW w:w="1000" w:type="dxa"/>
            <w:vAlign w:val="bottom"/>
            <w:shd w:val="clear" w:color="auto" w:fill="E5E5E5"/>
          </w:tcPr>
          <w:p>
            <w:pPr>
              <w:spacing w:after="0"/>
              <w:rPr>
                <w:sz w:val="11"/>
                <w:szCs w:val="11"/>
                <w:color w:val="auto"/>
              </w:rPr>
            </w:pPr>
          </w:p>
        </w:tc>
        <w:tc>
          <w:tcPr>
            <w:tcW w:w="1160" w:type="dxa"/>
            <w:vAlign w:val="bottom"/>
            <w:shd w:val="clear" w:color="auto" w:fill="E5E5E5"/>
          </w:tcPr>
          <w:p>
            <w:pPr>
              <w:spacing w:after="0"/>
              <w:rPr>
                <w:sz w:val="11"/>
                <w:szCs w:val="11"/>
                <w:color w:val="auto"/>
              </w:rPr>
            </w:pPr>
          </w:p>
        </w:tc>
        <w:tc>
          <w:tcPr>
            <w:tcW w:w="860" w:type="dxa"/>
            <w:vAlign w:val="bottom"/>
            <w:shd w:val="clear" w:color="auto" w:fill="E5E5E5"/>
          </w:tcPr>
          <w:p>
            <w:pPr>
              <w:jc w:val="center"/>
              <w:ind w:right="18"/>
              <w:spacing w:after="0" w:line="135" w:lineRule="exact"/>
              <w:rPr>
                <w:sz w:val="20"/>
                <w:szCs w:val="20"/>
                <w:color w:val="auto"/>
              </w:rPr>
            </w:pPr>
            <w:r>
              <w:rPr>
                <w:rFonts w:ascii="Arial" w:cs="Arial" w:eastAsia="Arial" w:hAnsi="Arial"/>
                <w:sz w:val="13"/>
                <w:szCs w:val="13"/>
                <w:b w:val="1"/>
                <w:bCs w:val="1"/>
                <w:color w:val="auto"/>
                <w:w w:val="94"/>
              </w:rPr>
              <w:t>Plan</w:t>
            </w:r>
          </w:p>
        </w:tc>
        <w:tc>
          <w:tcPr>
            <w:tcW w:w="74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88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r>
      <w:tr>
        <w:trPr>
          <w:trHeight w:val="135"/>
        </w:trPr>
        <w:tc>
          <w:tcPr>
            <w:tcW w:w="3400" w:type="dxa"/>
            <w:vAlign w:val="bottom"/>
            <w:shd w:val="clear" w:color="auto" w:fill="E5E5E5"/>
          </w:tcPr>
          <w:p>
            <w:pPr>
              <w:spacing w:after="0"/>
              <w:rPr>
                <w:sz w:val="11"/>
                <w:szCs w:val="11"/>
                <w:color w:val="auto"/>
              </w:rPr>
            </w:pPr>
          </w:p>
        </w:tc>
        <w:tc>
          <w:tcPr>
            <w:tcW w:w="1140" w:type="dxa"/>
            <w:vAlign w:val="bottom"/>
            <w:shd w:val="clear" w:color="auto" w:fill="E5E5E5"/>
          </w:tcPr>
          <w:p>
            <w:pPr>
              <w:spacing w:after="0"/>
              <w:rPr>
                <w:sz w:val="11"/>
                <w:szCs w:val="11"/>
                <w:color w:val="auto"/>
              </w:rPr>
            </w:pPr>
          </w:p>
        </w:tc>
        <w:tc>
          <w:tcPr>
            <w:tcW w:w="1000" w:type="dxa"/>
            <w:vAlign w:val="bottom"/>
            <w:shd w:val="clear" w:color="auto" w:fill="E5E5E5"/>
          </w:tcPr>
          <w:p>
            <w:pPr>
              <w:spacing w:after="0"/>
              <w:rPr>
                <w:sz w:val="11"/>
                <w:szCs w:val="11"/>
                <w:color w:val="auto"/>
              </w:rPr>
            </w:pPr>
          </w:p>
        </w:tc>
        <w:tc>
          <w:tcPr>
            <w:tcW w:w="1160" w:type="dxa"/>
            <w:vAlign w:val="bottom"/>
            <w:shd w:val="clear" w:color="auto" w:fill="E5E5E5"/>
          </w:tcPr>
          <w:p>
            <w:pPr>
              <w:spacing w:after="0"/>
              <w:rPr>
                <w:sz w:val="11"/>
                <w:szCs w:val="11"/>
                <w:color w:val="auto"/>
              </w:rPr>
            </w:pPr>
          </w:p>
        </w:tc>
        <w:tc>
          <w:tcPr>
            <w:tcW w:w="860" w:type="dxa"/>
            <w:vAlign w:val="bottom"/>
            <w:shd w:val="clear" w:color="auto" w:fill="E5E5E5"/>
          </w:tcPr>
          <w:p>
            <w:pPr>
              <w:jc w:val="center"/>
              <w:ind w:right="18"/>
              <w:spacing w:after="0" w:line="135" w:lineRule="exact"/>
              <w:rPr>
                <w:sz w:val="20"/>
                <w:szCs w:val="20"/>
                <w:color w:val="auto"/>
              </w:rPr>
            </w:pPr>
            <w:r>
              <w:rPr>
                <w:rFonts w:ascii="Arial" w:cs="Arial" w:eastAsia="Arial" w:hAnsi="Arial"/>
                <w:sz w:val="13"/>
                <w:szCs w:val="13"/>
                <w:b w:val="1"/>
                <w:bCs w:val="1"/>
                <w:color w:val="auto"/>
                <w:w w:val="97"/>
              </w:rPr>
              <w:t>Awards:</w:t>
            </w:r>
          </w:p>
        </w:tc>
        <w:tc>
          <w:tcPr>
            <w:tcW w:w="74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740" w:type="dxa"/>
            <w:vAlign w:val="bottom"/>
            <w:shd w:val="clear" w:color="auto" w:fill="E5E5E5"/>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Number</w:t>
            </w:r>
          </w:p>
        </w:tc>
        <w:tc>
          <w:tcPr>
            <w:tcW w:w="88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r>
      <w:tr>
        <w:trPr>
          <w:trHeight w:val="135"/>
        </w:trPr>
        <w:tc>
          <w:tcPr>
            <w:tcW w:w="3400" w:type="dxa"/>
            <w:vAlign w:val="bottom"/>
            <w:shd w:val="clear" w:color="auto" w:fill="E5E5E5"/>
          </w:tcPr>
          <w:p>
            <w:pPr>
              <w:spacing w:after="0"/>
              <w:rPr>
                <w:sz w:val="11"/>
                <w:szCs w:val="11"/>
                <w:color w:val="auto"/>
              </w:rPr>
            </w:pPr>
          </w:p>
        </w:tc>
        <w:tc>
          <w:tcPr>
            <w:tcW w:w="1140" w:type="dxa"/>
            <w:vAlign w:val="bottom"/>
            <w:shd w:val="clear" w:color="auto" w:fill="E5E5E5"/>
          </w:tcPr>
          <w:p>
            <w:pPr>
              <w:spacing w:after="0"/>
              <w:rPr>
                <w:sz w:val="11"/>
                <w:szCs w:val="11"/>
                <w:color w:val="auto"/>
              </w:rPr>
            </w:pPr>
          </w:p>
        </w:tc>
        <w:tc>
          <w:tcPr>
            <w:tcW w:w="100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1160" w:type="dxa"/>
            <w:vAlign w:val="bottom"/>
            <w:shd w:val="clear" w:color="auto" w:fill="E5E5E5"/>
          </w:tcPr>
          <w:p>
            <w:pPr>
              <w:jc w:val="center"/>
              <w:ind w:right="37"/>
              <w:spacing w:after="0" w:line="135" w:lineRule="exact"/>
              <w:rPr>
                <w:sz w:val="20"/>
                <w:szCs w:val="20"/>
                <w:color w:val="auto"/>
              </w:rPr>
            </w:pPr>
            <w:r>
              <w:rPr>
                <w:rFonts w:ascii="Arial" w:cs="Arial" w:eastAsia="Arial" w:hAnsi="Arial"/>
                <w:sz w:val="13"/>
                <w:szCs w:val="13"/>
                <w:b w:val="1"/>
                <w:bCs w:val="1"/>
                <w:color w:val="auto"/>
                <w:w w:val="95"/>
              </w:rPr>
              <w:t>Number of</w:t>
            </w:r>
          </w:p>
        </w:tc>
        <w:tc>
          <w:tcPr>
            <w:tcW w:w="860" w:type="dxa"/>
            <w:vAlign w:val="bottom"/>
            <w:shd w:val="clear" w:color="auto" w:fill="E5E5E5"/>
          </w:tcPr>
          <w:p>
            <w:pPr>
              <w:jc w:val="center"/>
              <w:ind w:right="18"/>
              <w:spacing w:after="0" w:line="135" w:lineRule="exact"/>
              <w:rPr>
                <w:sz w:val="20"/>
                <w:szCs w:val="20"/>
                <w:color w:val="auto"/>
              </w:rPr>
            </w:pPr>
            <w:r>
              <w:rPr>
                <w:rFonts w:ascii="Arial" w:cs="Arial" w:eastAsia="Arial" w:hAnsi="Arial"/>
                <w:sz w:val="13"/>
                <w:szCs w:val="13"/>
                <w:b w:val="1"/>
                <w:bCs w:val="1"/>
                <w:color w:val="auto"/>
                <w:w w:val="95"/>
              </w:rPr>
              <w:t>Number of</w:t>
            </w:r>
          </w:p>
        </w:tc>
        <w:tc>
          <w:tcPr>
            <w:tcW w:w="74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740" w:type="dxa"/>
            <w:vAlign w:val="bottom"/>
            <w:shd w:val="clear" w:color="auto" w:fill="E5E5E5"/>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of shares</w:t>
            </w:r>
          </w:p>
        </w:tc>
        <w:tc>
          <w:tcPr>
            <w:tcW w:w="1000" w:type="dxa"/>
            <w:vAlign w:val="bottom"/>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Market value</w:t>
            </w:r>
          </w:p>
        </w:tc>
      </w:tr>
      <w:tr>
        <w:trPr>
          <w:trHeight w:val="135"/>
        </w:trPr>
        <w:tc>
          <w:tcPr>
            <w:tcW w:w="3400" w:type="dxa"/>
            <w:vAlign w:val="bottom"/>
            <w:shd w:val="clear" w:color="auto" w:fill="E5E5E5"/>
          </w:tcPr>
          <w:p>
            <w:pPr>
              <w:spacing w:after="0"/>
              <w:rPr>
                <w:sz w:val="11"/>
                <w:szCs w:val="11"/>
                <w:color w:val="auto"/>
              </w:rPr>
            </w:pPr>
          </w:p>
        </w:tc>
        <w:tc>
          <w:tcPr>
            <w:tcW w:w="1140" w:type="dxa"/>
            <w:vAlign w:val="bottom"/>
            <w:shd w:val="clear" w:color="auto" w:fill="E5E5E5"/>
          </w:tcPr>
          <w:p>
            <w:pPr>
              <w:spacing w:after="0"/>
              <w:rPr>
                <w:sz w:val="11"/>
                <w:szCs w:val="11"/>
                <w:color w:val="auto"/>
              </w:rPr>
            </w:pPr>
          </w:p>
        </w:tc>
        <w:tc>
          <w:tcPr>
            <w:tcW w:w="100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5"/>
              </w:rPr>
              <w:t>securities</w:t>
            </w:r>
          </w:p>
        </w:tc>
        <w:tc>
          <w:tcPr>
            <w:tcW w:w="1160" w:type="dxa"/>
            <w:vAlign w:val="bottom"/>
            <w:shd w:val="clear" w:color="auto" w:fill="E5E5E5"/>
          </w:tcPr>
          <w:p>
            <w:pPr>
              <w:jc w:val="center"/>
              <w:ind w:right="37"/>
              <w:spacing w:after="0" w:line="135" w:lineRule="exact"/>
              <w:rPr>
                <w:sz w:val="20"/>
                <w:szCs w:val="20"/>
                <w:color w:val="auto"/>
              </w:rPr>
            </w:pPr>
            <w:r>
              <w:rPr>
                <w:rFonts w:ascii="Arial" w:cs="Arial" w:eastAsia="Arial" w:hAnsi="Arial"/>
                <w:sz w:val="13"/>
                <w:szCs w:val="13"/>
                <w:b w:val="1"/>
                <w:bCs w:val="1"/>
                <w:color w:val="auto"/>
                <w:w w:val="95"/>
              </w:rPr>
              <w:t>securities</w:t>
            </w:r>
          </w:p>
        </w:tc>
        <w:tc>
          <w:tcPr>
            <w:tcW w:w="860" w:type="dxa"/>
            <w:vAlign w:val="bottom"/>
            <w:shd w:val="clear" w:color="auto" w:fill="E5E5E5"/>
          </w:tcPr>
          <w:p>
            <w:pPr>
              <w:jc w:val="center"/>
              <w:ind w:right="18"/>
              <w:spacing w:after="0" w:line="135" w:lineRule="exact"/>
              <w:rPr>
                <w:sz w:val="20"/>
                <w:szCs w:val="20"/>
                <w:color w:val="auto"/>
              </w:rPr>
            </w:pPr>
            <w:r>
              <w:rPr>
                <w:rFonts w:ascii="Arial" w:cs="Arial" w:eastAsia="Arial" w:hAnsi="Arial"/>
                <w:sz w:val="13"/>
                <w:szCs w:val="13"/>
                <w:b w:val="1"/>
                <w:bCs w:val="1"/>
                <w:color w:val="auto"/>
                <w:w w:val="99"/>
              </w:rPr>
              <w:t>Securities</w:t>
            </w:r>
          </w:p>
        </w:tc>
        <w:tc>
          <w:tcPr>
            <w:tcW w:w="74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740" w:type="dxa"/>
            <w:vAlign w:val="bottom"/>
            <w:shd w:val="clear" w:color="auto" w:fill="E5E5E5"/>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or units</w:t>
            </w:r>
          </w:p>
        </w:tc>
        <w:tc>
          <w:tcPr>
            <w:tcW w:w="1000" w:type="dxa"/>
            <w:vAlign w:val="bottom"/>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6"/>
              </w:rPr>
              <w:t>of shares</w:t>
            </w:r>
          </w:p>
        </w:tc>
      </w:tr>
      <w:tr>
        <w:trPr>
          <w:trHeight w:val="135"/>
        </w:trPr>
        <w:tc>
          <w:tcPr>
            <w:tcW w:w="3400" w:type="dxa"/>
            <w:vAlign w:val="bottom"/>
            <w:shd w:val="clear" w:color="auto" w:fill="E5E5E5"/>
          </w:tcPr>
          <w:p>
            <w:pPr>
              <w:spacing w:after="0"/>
              <w:rPr>
                <w:sz w:val="11"/>
                <w:szCs w:val="11"/>
                <w:color w:val="auto"/>
              </w:rPr>
            </w:pPr>
          </w:p>
        </w:tc>
        <w:tc>
          <w:tcPr>
            <w:tcW w:w="1140" w:type="dxa"/>
            <w:vAlign w:val="bottom"/>
            <w:shd w:val="clear" w:color="auto" w:fill="E5E5E5"/>
          </w:tcPr>
          <w:p>
            <w:pPr>
              <w:spacing w:after="0"/>
              <w:rPr>
                <w:sz w:val="11"/>
                <w:szCs w:val="11"/>
                <w:color w:val="auto"/>
              </w:rPr>
            </w:pPr>
          </w:p>
        </w:tc>
        <w:tc>
          <w:tcPr>
            <w:tcW w:w="100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9"/>
              </w:rPr>
              <w:t>underlying</w:t>
            </w:r>
          </w:p>
        </w:tc>
        <w:tc>
          <w:tcPr>
            <w:tcW w:w="1160" w:type="dxa"/>
            <w:vAlign w:val="bottom"/>
            <w:shd w:val="clear" w:color="auto" w:fill="E5E5E5"/>
          </w:tcPr>
          <w:p>
            <w:pPr>
              <w:jc w:val="center"/>
              <w:ind w:right="37"/>
              <w:spacing w:after="0" w:line="135" w:lineRule="exact"/>
              <w:rPr>
                <w:sz w:val="20"/>
                <w:szCs w:val="20"/>
                <w:color w:val="auto"/>
              </w:rPr>
            </w:pPr>
            <w:r>
              <w:rPr>
                <w:rFonts w:ascii="Arial" w:cs="Arial" w:eastAsia="Arial" w:hAnsi="Arial"/>
                <w:sz w:val="13"/>
                <w:szCs w:val="13"/>
                <w:b w:val="1"/>
                <w:bCs w:val="1"/>
                <w:color w:val="auto"/>
                <w:w w:val="99"/>
              </w:rPr>
              <w:t>underlying</w:t>
            </w:r>
          </w:p>
        </w:tc>
        <w:tc>
          <w:tcPr>
            <w:tcW w:w="860" w:type="dxa"/>
            <w:vAlign w:val="bottom"/>
            <w:shd w:val="clear" w:color="auto" w:fill="E5E5E5"/>
          </w:tcPr>
          <w:p>
            <w:pPr>
              <w:jc w:val="center"/>
              <w:ind w:right="18"/>
              <w:spacing w:after="0" w:line="135" w:lineRule="exact"/>
              <w:rPr>
                <w:sz w:val="20"/>
                <w:szCs w:val="20"/>
                <w:color w:val="auto"/>
              </w:rPr>
            </w:pPr>
            <w:r>
              <w:rPr>
                <w:rFonts w:ascii="Arial" w:cs="Arial" w:eastAsia="Arial" w:hAnsi="Arial"/>
                <w:sz w:val="13"/>
                <w:szCs w:val="13"/>
                <w:b w:val="1"/>
                <w:bCs w:val="1"/>
                <w:color w:val="auto"/>
                <w:w w:val="99"/>
              </w:rPr>
              <w:t>underlying</w:t>
            </w:r>
          </w:p>
        </w:tc>
        <w:tc>
          <w:tcPr>
            <w:tcW w:w="74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740" w:type="dxa"/>
            <w:vAlign w:val="bottom"/>
            <w:shd w:val="clear" w:color="auto" w:fill="E5E5E5"/>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of stock</w:t>
            </w:r>
          </w:p>
        </w:tc>
        <w:tc>
          <w:tcPr>
            <w:tcW w:w="1000" w:type="dxa"/>
            <w:vAlign w:val="bottom"/>
            <w:gridSpan w:val="2"/>
            <w:shd w:val="clear" w:color="auto" w:fill="E5E5E5"/>
          </w:tcPr>
          <w:p>
            <w:pPr>
              <w:jc w:val="center"/>
              <w:ind w:right="20"/>
              <w:spacing w:after="0" w:line="135" w:lineRule="exact"/>
              <w:rPr>
                <w:sz w:val="20"/>
                <w:szCs w:val="20"/>
                <w:color w:val="auto"/>
              </w:rPr>
            </w:pPr>
            <w:r>
              <w:rPr>
                <w:rFonts w:ascii="Arial" w:cs="Arial" w:eastAsia="Arial" w:hAnsi="Arial"/>
                <w:sz w:val="13"/>
                <w:szCs w:val="13"/>
                <w:b w:val="1"/>
                <w:bCs w:val="1"/>
                <w:color w:val="auto"/>
                <w:w w:val="97"/>
              </w:rPr>
              <w:t>or units of</w:t>
            </w:r>
          </w:p>
        </w:tc>
      </w:tr>
      <w:tr>
        <w:trPr>
          <w:trHeight w:val="135"/>
        </w:trPr>
        <w:tc>
          <w:tcPr>
            <w:tcW w:w="3400" w:type="dxa"/>
            <w:vAlign w:val="bottom"/>
            <w:shd w:val="clear" w:color="auto" w:fill="E5E5E5"/>
          </w:tcPr>
          <w:p>
            <w:pPr>
              <w:spacing w:after="0"/>
              <w:rPr>
                <w:sz w:val="11"/>
                <w:szCs w:val="11"/>
                <w:color w:val="auto"/>
              </w:rPr>
            </w:pPr>
          </w:p>
        </w:tc>
        <w:tc>
          <w:tcPr>
            <w:tcW w:w="1140" w:type="dxa"/>
            <w:vAlign w:val="bottom"/>
            <w:shd w:val="clear" w:color="auto" w:fill="E5E5E5"/>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Vesting</w:t>
            </w:r>
          </w:p>
        </w:tc>
        <w:tc>
          <w:tcPr>
            <w:tcW w:w="100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7"/>
              </w:rPr>
              <w:t>unexercised</w:t>
            </w:r>
          </w:p>
        </w:tc>
        <w:tc>
          <w:tcPr>
            <w:tcW w:w="1160" w:type="dxa"/>
            <w:vAlign w:val="bottom"/>
            <w:shd w:val="clear" w:color="auto" w:fill="E5E5E5"/>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unexercised</w:t>
            </w:r>
          </w:p>
        </w:tc>
        <w:tc>
          <w:tcPr>
            <w:tcW w:w="860" w:type="dxa"/>
            <w:vAlign w:val="bottom"/>
            <w:shd w:val="clear" w:color="auto" w:fill="E5E5E5"/>
          </w:tcPr>
          <w:p>
            <w:pPr>
              <w:jc w:val="center"/>
              <w:ind w:right="18"/>
              <w:spacing w:after="0" w:line="135" w:lineRule="exact"/>
              <w:rPr>
                <w:sz w:val="20"/>
                <w:szCs w:val="20"/>
                <w:color w:val="auto"/>
              </w:rPr>
            </w:pPr>
            <w:r>
              <w:rPr>
                <w:rFonts w:ascii="Arial" w:cs="Arial" w:eastAsia="Arial" w:hAnsi="Arial"/>
                <w:sz w:val="13"/>
                <w:szCs w:val="13"/>
                <w:b w:val="1"/>
                <w:bCs w:val="1"/>
                <w:color w:val="auto"/>
                <w:w w:val="97"/>
              </w:rPr>
              <w:t>unexercised</w:t>
            </w:r>
          </w:p>
        </w:tc>
        <w:tc>
          <w:tcPr>
            <w:tcW w:w="74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980" w:type="dxa"/>
            <w:vAlign w:val="bottom"/>
            <w:gridSpan w:val="2"/>
            <w:shd w:val="clear" w:color="auto" w:fill="E5E5E5"/>
          </w:tcPr>
          <w:p>
            <w:pPr>
              <w:jc w:val="center"/>
              <w:ind w:right="120"/>
              <w:spacing w:after="0" w:line="135" w:lineRule="exact"/>
              <w:rPr>
                <w:sz w:val="20"/>
                <w:szCs w:val="20"/>
                <w:color w:val="auto"/>
              </w:rPr>
            </w:pPr>
            <w:r>
              <w:rPr>
                <w:rFonts w:ascii="Arial" w:cs="Arial" w:eastAsia="Arial" w:hAnsi="Arial"/>
                <w:sz w:val="13"/>
                <w:szCs w:val="13"/>
                <w:b w:val="1"/>
                <w:bCs w:val="1"/>
                <w:color w:val="auto"/>
              </w:rPr>
              <w:t>Option</w:t>
            </w:r>
          </w:p>
        </w:tc>
        <w:tc>
          <w:tcPr>
            <w:tcW w:w="740" w:type="dxa"/>
            <w:vAlign w:val="bottom"/>
            <w:shd w:val="clear" w:color="auto" w:fill="E5E5E5"/>
          </w:tcPr>
          <w:p>
            <w:pPr>
              <w:jc w:val="center"/>
              <w:ind w:right="57"/>
              <w:spacing w:after="0" w:line="135" w:lineRule="exact"/>
              <w:rPr>
                <w:sz w:val="20"/>
                <w:szCs w:val="20"/>
                <w:color w:val="auto"/>
              </w:rPr>
            </w:pPr>
            <w:r>
              <w:rPr>
                <w:rFonts w:ascii="Arial" w:cs="Arial" w:eastAsia="Arial" w:hAnsi="Arial"/>
                <w:sz w:val="13"/>
                <w:szCs w:val="13"/>
                <w:b w:val="1"/>
                <w:bCs w:val="1"/>
                <w:color w:val="auto"/>
                <w:w w:val="94"/>
              </w:rPr>
              <w:t>that have</w:t>
            </w:r>
          </w:p>
        </w:tc>
        <w:tc>
          <w:tcPr>
            <w:tcW w:w="1000" w:type="dxa"/>
            <w:vAlign w:val="bottom"/>
            <w:gridSpan w:val="2"/>
            <w:shd w:val="clear" w:color="auto" w:fill="E5E5E5"/>
          </w:tcPr>
          <w:p>
            <w:pPr>
              <w:jc w:val="center"/>
              <w:ind w:right="20"/>
              <w:spacing w:after="0" w:line="135" w:lineRule="exact"/>
              <w:rPr>
                <w:sz w:val="20"/>
                <w:szCs w:val="20"/>
                <w:color w:val="auto"/>
              </w:rPr>
            </w:pPr>
            <w:r>
              <w:rPr>
                <w:rFonts w:ascii="Arial" w:cs="Arial" w:eastAsia="Arial" w:hAnsi="Arial"/>
                <w:sz w:val="13"/>
                <w:szCs w:val="13"/>
                <w:b w:val="1"/>
                <w:bCs w:val="1"/>
                <w:color w:val="auto"/>
                <w:w w:val="94"/>
              </w:rPr>
              <w:t>stock that</w:t>
            </w:r>
          </w:p>
        </w:tc>
      </w:tr>
      <w:tr>
        <w:trPr>
          <w:trHeight w:val="135"/>
        </w:trPr>
        <w:tc>
          <w:tcPr>
            <w:tcW w:w="3400" w:type="dxa"/>
            <w:vAlign w:val="bottom"/>
            <w:shd w:val="clear" w:color="auto" w:fill="E5E5E5"/>
          </w:tcPr>
          <w:p>
            <w:pPr>
              <w:spacing w:after="0"/>
              <w:rPr>
                <w:sz w:val="11"/>
                <w:szCs w:val="11"/>
                <w:color w:val="auto"/>
              </w:rPr>
            </w:pPr>
          </w:p>
        </w:tc>
        <w:tc>
          <w:tcPr>
            <w:tcW w:w="1140" w:type="dxa"/>
            <w:vAlign w:val="bottom"/>
            <w:shd w:val="clear" w:color="auto" w:fill="E5E5E5"/>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Commencement</w:t>
            </w:r>
          </w:p>
        </w:tc>
        <w:tc>
          <w:tcPr>
            <w:tcW w:w="100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8"/>
              </w:rPr>
              <w:t>options (#):</w:t>
            </w:r>
          </w:p>
        </w:tc>
        <w:tc>
          <w:tcPr>
            <w:tcW w:w="1160" w:type="dxa"/>
            <w:vAlign w:val="bottom"/>
            <w:shd w:val="clear" w:color="auto" w:fill="E5E5E5"/>
          </w:tcPr>
          <w:p>
            <w:pPr>
              <w:jc w:val="center"/>
              <w:ind w:right="37"/>
              <w:spacing w:after="0" w:line="135" w:lineRule="exact"/>
              <w:rPr>
                <w:sz w:val="20"/>
                <w:szCs w:val="20"/>
                <w:color w:val="auto"/>
              </w:rPr>
            </w:pPr>
            <w:r>
              <w:rPr>
                <w:rFonts w:ascii="Arial" w:cs="Arial" w:eastAsia="Arial" w:hAnsi="Arial"/>
                <w:sz w:val="13"/>
                <w:szCs w:val="13"/>
                <w:b w:val="1"/>
                <w:bCs w:val="1"/>
                <w:color w:val="auto"/>
                <w:w w:val="98"/>
              </w:rPr>
              <w:t>options (#):</w:t>
            </w:r>
          </w:p>
        </w:tc>
        <w:tc>
          <w:tcPr>
            <w:tcW w:w="860" w:type="dxa"/>
            <w:vAlign w:val="bottom"/>
            <w:shd w:val="clear" w:color="auto" w:fill="E5E5E5"/>
          </w:tcPr>
          <w:p>
            <w:pPr>
              <w:jc w:val="center"/>
              <w:ind w:right="18"/>
              <w:spacing w:after="0" w:line="135" w:lineRule="exact"/>
              <w:rPr>
                <w:sz w:val="20"/>
                <w:szCs w:val="20"/>
                <w:color w:val="auto"/>
              </w:rPr>
            </w:pPr>
            <w:r>
              <w:rPr>
                <w:rFonts w:ascii="Arial" w:cs="Arial" w:eastAsia="Arial" w:hAnsi="Arial"/>
                <w:sz w:val="13"/>
                <w:szCs w:val="13"/>
                <w:b w:val="1"/>
                <w:bCs w:val="1"/>
                <w:color w:val="auto"/>
                <w:w w:val="99"/>
              </w:rPr>
              <w:t>unearned</w:t>
            </w:r>
          </w:p>
        </w:tc>
        <w:tc>
          <w:tcPr>
            <w:tcW w:w="740" w:type="dxa"/>
            <w:vAlign w:val="bottom"/>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5"/>
              </w:rPr>
              <w:t>exercise</w:t>
            </w:r>
          </w:p>
        </w:tc>
        <w:tc>
          <w:tcPr>
            <w:tcW w:w="980" w:type="dxa"/>
            <w:vAlign w:val="bottom"/>
            <w:gridSpan w:val="2"/>
            <w:shd w:val="clear" w:color="auto" w:fill="E5E5E5"/>
          </w:tcPr>
          <w:p>
            <w:pPr>
              <w:jc w:val="center"/>
              <w:ind w:right="120"/>
              <w:spacing w:after="0" w:line="135" w:lineRule="exact"/>
              <w:rPr>
                <w:sz w:val="20"/>
                <w:szCs w:val="20"/>
                <w:color w:val="auto"/>
              </w:rPr>
            </w:pPr>
            <w:r>
              <w:rPr>
                <w:rFonts w:ascii="Arial" w:cs="Arial" w:eastAsia="Arial" w:hAnsi="Arial"/>
                <w:sz w:val="13"/>
                <w:szCs w:val="13"/>
                <w:b w:val="1"/>
                <w:bCs w:val="1"/>
                <w:color w:val="auto"/>
                <w:w w:val="99"/>
              </w:rPr>
              <w:t>expiration</w:t>
            </w:r>
          </w:p>
        </w:tc>
        <w:tc>
          <w:tcPr>
            <w:tcW w:w="740" w:type="dxa"/>
            <w:vAlign w:val="bottom"/>
            <w:shd w:val="clear" w:color="auto" w:fill="E5E5E5"/>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not vested</w:t>
            </w:r>
          </w:p>
        </w:tc>
        <w:tc>
          <w:tcPr>
            <w:tcW w:w="1000" w:type="dxa"/>
            <w:vAlign w:val="bottom"/>
            <w:gridSpan w:val="2"/>
            <w:shd w:val="clear" w:color="auto" w:fill="E5E5E5"/>
          </w:tcPr>
          <w:p>
            <w:pPr>
              <w:jc w:val="center"/>
              <w:spacing w:after="0" w:line="135" w:lineRule="exact"/>
              <w:rPr>
                <w:sz w:val="20"/>
                <w:szCs w:val="20"/>
                <w:color w:val="auto"/>
              </w:rPr>
            </w:pPr>
            <w:r>
              <w:rPr>
                <w:rFonts w:ascii="Arial" w:cs="Arial" w:eastAsia="Arial" w:hAnsi="Arial"/>
                <w:sz w:val="13"/>
                <w:szCs w:val="13"/>
                <w:b w:val="1"/>
                <w:bCs w:val="1"/>
                <w:color w:val="auto"/>
                <w:w w:val="97"/>
              </w:rPr>
              <w:t>have not</w:t>
            </w:r>
          </w:p>
        </w:tc>
      </w:tr>
      <w:tr>
        <w:trPr>
          <w:trHeight w:val="157"/>
        </w:trPr>
        <w:tc>
          <w:tcPr>
            <w:tcW w:w="3400" w:type="dxa"/>
            <w:vAlign w:val="bottom"/>
            <w:shd w:val="clear" w:color="auto" w:fill="E5E5E5"/>
          </w:tcPr>
          <w:p>
            <w:pPr>
              <w:ind w:left="60"/>
              <w:spacing w:after="0"/>
              <w:rPr>
                <w:sz w:val="20"/>
                <w:szCs w:val="20"/>
                <w:color w:val="auto"/>
              </w:rPr>
            </w:pPr>
            <w:r>
              <w:rPr>
                <w:rFonts w:ascii="Arial" w:cs="Arial" w:eastAsia="Arial" w:hAnsi="Arial"/>
                <w:sz w:val="13"/>
                <w:szCs w:val="13"/>
                <w:b w:val="1"/>
                <w:bCs w:val="1"/>
                <w:color w:val="auto"/>
              </w:rPr>
              <w:t>Name</w:t>
            </w:r>
          </w:p>
        </w:tc>
        <w:tc>
          <w:tcPr>
            <w:tcW w:w="1140" w:type="dxa"/>
            <w:vAlign w:val="bottom"/>
            <w:shd w:val="clear" w:color="auto" w:fill="E5E5E5"/>
          </w:tcPr>
          <w:p>
            <w:pPr>
              <w:jc w:val="center"/>
              <w:ind w:right="97"/>
              <w:spacing w:after="0"/>
              <w:rPr>
                <w:sz w:val="20"/>
                <w:szCs w:val="20"/>
                <w:color w:val="auto"/>
              </w:rPr>
            </w:pPr>
            <w:r>
              <w:rPr>
                <w:rFonts w:ascii="Arial" w:cs="Arial" w:eastAsia="Arial" w:hAnsi="Arial"/>
                <w:sz w:val="13"/>
                <w:szCs w:val="13"/>
                <w:b w:val="1"/>
                <w:bCs w:val="1"/>
                <w:color w:val="auto"/>
                <w:w w:val="92"/>
              </w:rPr>
              <w:t>Date</w:t>
            </w:r>
          </w:p>
        </w:tc>
        <w:tc>
          <w:tcPr>
            <w:tcW w:w="100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160" w:type="dxa"/>
            <w:vAlign w:val="bottom"/>
            <w:shd w:val="clear" w:color="auto" w:fill="E5E5E5"/>
          </w:tcPr>
          <w:p>
            <w:pPr>
              <w:jc w:val="center"/>
              <w:ind w:right="37"/>
              <w:spacing w:after="0"/>
              <w:rPr>
                <w:sz w:val="20"/>
                <w:szCs w:val="20"/>
                <w:color w:val="auto"/>
              </w:rPr>
            </w:pPr>
            <w:r>
              <w:rPr>
                <w:rFonts w:ascii="Arial" w:cs="Arial" w:eastAsia="Arial" w:hAnsi="Arial"/>
                <w:sz w:val="13"/>
                <w:szCs w:val="13"/>
                <w:b w:val="1"/>
                <w:bCs w:val="1"/>
                <w:color w:val="auto"/>
                <w:w w:val="97"/>
              </w:rPr>
              <w:t>Unexercisable</w:t>
            </w:r>
          </w:p>
        </w:tc>
        <w:tc>
          <w:tcPr>
            <w:tcW w:w="860" w:type="dxa"/>
            <w:vAlign w:val="bottom"/>
            <w:shd w:val="clear" w:color="auto" w:fill="E5E5E5"/>
          </w:tcPr>
          <w:p>
            <w:pPr>
              <w:jc w:val="center"/>
              <w:ind w:right="18"/>
              <w:spacing w:after="0"/>
              <w:rPr>
                <w:sz w:val="20"/>
                <w:szCs w:val="20"/>
                <w:color w:val="auto"/>
              </w:rPr>
            </w:pPr>
            <w:r>
              <w:rPr>
                <w:rFonts w:ascii="Arial" w:cs="Arial" w:eastAsia="Arial" w:hAnsi="Arial"/>
                <w:sz w:val="13"/>
                <w:szCs w:val="13"/>
                <w:b w:val="1"/>
                <w:bCs w:val="1"/>
                <w:color w:val="auto"/>
                <w:w w:val="99"/>
              </w:rPr>
              <w:t>options (#)</w:t>
            </w:r>
          </w:p>
        </w:tc>
        <w:tc>
          <w:tcPr>
            <w:tcW w:w="74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w w:val="98"/>
              </w:rPr>
              <w:t>price ($)</w:t>
            </w:r>
          </w:p>
        </w:tc>
        <w:tc>
          <w:tcPr>
            <w:tcW w:w="980" w:type="dxa"/>
            <w:vAlign w:val="bottom"/>
            <w:gridSpan w:val="2"/>
            <w:shd w:val="clear" w:color="auto" w:fill="E5E5E5"/>
          </w:tcPr>
          <w:p>
            <w:pPr>
              <w:jc w:val="center"/>
              <w:ind w:right="120"/>
              <w:spacing w:after="0"/>
              <w:rPr>
                <w:sz w:val="20"/>
                <w:szCs w:val="20"/>
                <w:color w:val="auto"/>
              </w:rPr>
            </w:pPr>
            <w:r>
              <w:rPr>
                <w:rFonts w:ascii="Arial" w:cs="Arial" w:eastAsia="Arial" w:hAnsi="Arial"/>
                <w:sz w:val="13"/>
                <w:szCs w:val="13"/>
                <w:b w:val="1"/>
                <w:bCs w:val="1"/>
                <w:color w:val="auto"/>
                <w:w w:val="97"/>
              </w:rPr>
              <w:t>date</w:t>
            </w:r>
          </w:p>
        </w:tc>
        <w:tc>
          <w:tcPr>
            <w:tcW w:w="740" w:type="dxa"/>
            <w:vAlign w:val="bottom"/>
            <w:shd w:val="clear" w:color="auto" w:fill="E5E5E5"/>
          </w:tcPr>
          <w:p>
            <w:pPr>
              <w:jc w:val="center"/>
              <w:ind w:right="57"/>
              <w:spacing w:after="0"/>
              <w:rPr>
                <w:sz w:val="20"/>
                <w:szCs w:val="20"/>
                <w:color w:val="auto"/>
              </w:rPr>
            </w:pPr>
            <w:r>
              <w:rPr>
                <w:rFonts w:ascii="Arial" w:cs="Arial" w:eastAsia="Arial" w:hAnsi="Arial"/>
                <w:sz w:val="13"/>
                <w:szCs w:val="13"/>
                <w:b w:val="1"/>
                <w:bCs w:val="1"/>
                <w:color w:val="auto"/>
                <w:w w:val="87"/>
              </w:rPr>
              <w:t>(#)</w:t>
            </w:r>
          </w:p>
        </w:tc>
        <w:tc>
          <w:tcPr>
            <w:tcW w:w="1000" w:type="dxa"/>
            <w:vAlign w:val="bottom"/>
            <w:gridSpan w:val="2"/>
            <w:shd w:val="clear" w:color="auto" w:fill="E5E5E5"/>
          </w:tcPr>
          <w:p>
            <w:pPr>
              <w:jc w:val="center"/>
              <w:ind w:right="20"/>
              <w:spacing w:after="0"/>
              <w:rPr>
                <w:sz w:val="20"/>
                <w:szCs w:val="20"/>
                <w:color w:val="auto"/>
              </w:rPr>
            </w:pPr>
            <w:r>
              <w:rPr>
                <w:rFonts w:ascii="Arial" w:cs="Arial" w:eastAsia="Arial" w:hAnsi="Arial"/>
                <w:sz w:val="13"/>
                <w:szCs w:val="13"/>
                <w:b w:val="1"/>
                <w:bCs w:val="1"/>
                <w:color w:val="auto"/>
                <w:w w:val="95"/>
              </w:rPr>
              <w:t>vested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Eric D. Shaff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Thomas J. DesRosier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Matthew R. Henn, Ph.D.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2/6/2019</w:t>
            </w:r>
            <w:r>
              <w:rPr>
                <w:rFonts w:ascii="Arial" w:cs="Arial" w:eastAsia="Arial" w:hAnsi="Arial"/>
                <w:sz w:val="11"/>
                <w:szCs w:val="11"/>
                <w:color w:val="auto"/>
              </w:rPr>
              <w:t>(1)</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0</w:t>
            </w:r>
          </w:p>
        </w:tc>
        <w:tc>
          <w:tcPr>
            <w:tcW w:w="1020" w:type="dxa"/>
            <w:vAlign w:val="bottom"/>
          </w:tcPr>
          <w:p>
            <w:pPr>
              <w:spacing w:after="0"/>
              <w:rPr>
                <w:sz w:val="13"/>
                <w:szCs w:val="13"/>
                <w:color w:val="auto"/>
              </w:rPr>
            </w:pP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286,000</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6.15</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2/7/2029</w:t>
            </w:r>
          </w:p>
        </w:tc>
        <w:tc>
          <w:tcPr>
            <w:tcW w:w="820" w:type="dxa"/>
            <w:vAlign w:val="bottom"/>
          </w:tcPr>
          <w:p>
            <w:pPr>
              <w:spacing w:after="0"/>
              <w:rPr>
                <w:sz w:val="13"/>
                <w:szCs w:val="13"/>
                <w:color w:val="auto"/>
              </w:rPr>
            </w:pPr>
          </w:p>
        </w:tc>
      </w:tr>
      <w:tr>
        <w:trPr>
          <w:trHeight w:val="148"/>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1/25/2019</w:t>
            </w:r>
            <w:r>
              <w:rPr>
                <w:rFonts w:ascii="Arial" w:cs="Arial" w:eastAsia="Arial" w:hAnsi="Arial"/>
                <w:sz w:val="11"/>
                <w:szCs w:val="11"/>
                <w:color w:val="auto"/>
              </w:rPr>
              <w:t>(2)</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0</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275,000</w:t>
            </w:r>
          </w:p>
        </w:tc>
        <w:tc>
          <w:tcPr>
            <w:tcW w:w="920" w:type="dxa"/>
            <w:vAlign w:val="bottom"/>
          </w:tcPr>
          <w:p>
            <w:pPr>
              <w:spacing w:after="0"/>
              <w:rPr>
                <w:sz w:val="12"/>
                <w:szCs w:val="12"/>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6.01</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1/24/2029</w:t>
            </w:r>
          </w:p>
        </w:tc>
        <w:tc>
          <w:tcPr>
            <w:tcW w:w="820" w:type="dxa"/>
            <w:vAlign w:val="bottom"/>
          </w:tcPr>
          <w:p>
            <w:pPr>
              <w:spacing w:after="0"/>
              <w:rPr>
                <w:sz w:val="12"/>
                <w:szCs w:val="12"/>
                <w:color w:val="auto"/>
              </w:rPr>
            </w:pPr>
          </w:p>
        </w:tc>
      </w:tr>
      <w:tr>
        <w:trPr>
          <w:trHeight w:val="148"/>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1/30/2018</w:t>
            </w:r>
            <w:r>
              <w:rPr>
                <w:rFonts w:ascii="Arial" w:cs="Arial" w:eastAsia="Arial" w:hAnsi="Arial"/>
                <w:sz w:val="11"/>
                <w:szCs w:val="11"/>
                <w:color w:val="auto"/>
              </w:rPr>
              <w:t>(2)</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52,500</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67,500</w:t>
            </w:r>
          </w:p>
        </w:tc>
        <w:tc>
          <w:tcPr>
            <w:tcW w:w="920" w:type="dxa"/>
            <w:vAlign w:val="bottom"/>
          </w:tcPr>
          <w:p>
            <w:pPr>
              <w:spacing w:after="0"/>
              <w:rPr>
                <w:sz w:val="12"/>
                <w:szCs w:val="12"/>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10.42</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1/29/2028</w:t>
            </w:r>
          </w:p>
        </w:tc>
        <w:tc>
          <w:tcPr>
            <w:tcW w:w="820" w:type="dxa"/>
            <w:vAlign w:val="bottom"/>
          </w:tcPr>
          <w:p>
            <w:pPr>
              <w:spacing w:after="0"/>
              <w:rPr>
                <w:sz w:val="12"/>
                <w:szCs w:val="12"/>
                <w:color w:val="auto"/>
              </w:rPr>
            </w:pPr>
          </w:p>
        </w:tc>
      </w:tr>
      <w:tr>
        <w:trPr>
          <w:trHeight w:val="149"/>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1/26/2017</w:t>
            </w:r>
            <w:r>
              <w:rPr>
                <w:rFonts w:ascii="Arial" w:cs="Arial" w:eastAsia="Arial" w:hAnsi="Arial"/>
                <w:sz w:val="11"/>
                <w:szCs w:val="11"/>
                <w:color w:val="auto"/>
              </w:rPr>
              <w:t>(2)</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72,187</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32,813</w:t>
            </w:r>
          </w:p>
        </w:tc>
        <w:tc>
          <w:tcPr>
            <w:tcW w:w="920" w:type="dxa"/>
            <w:vAlign w:val="bottom"/>
          </w:tcPr>
          <w:p>
            <w:pPr>
              <w:spacing w:after="0"/>
              <w:rPr>
                <w:sz w:val="12"/>
                <w:szCs w:val="12"/>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9.89</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1/25/2027</w:t>
            </w:r>
          </w:p>
        </w:tc>
        <w:tc>
          <w:tcPr>
            <w:tcW w:w="820" w:type="dxa"/>
            <w:vAlign w:val="bottom"/>
          </w:tcPr>
          <w:p>
            <w:pPr>
              <w:spacing w:after="0"/>
              <w:rPr>
                <w:sz w:val="12"/>
                <w:szCs w:val="12"/>
                <w:color w:val="auto"/>
              </w:rPr>
            </w:pPr>
          </w:p>
        </w:tc>
      </w:tr>
      <w:tr>
        <w:trPr>
          <w:trHeight w:val="148"/>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1/26/2017</w:t>
            </w:r>
            <w:r>
              <w:rPr>
                <w:rFonts w:ascii="Arial" w:cs="Arial" w:eastAsia="Arial" w:hAnsi="Arial"/>
                <w:sz w:val="11"/>
                <w:szCs w:val="11"/>
                <w:color w:val="auto"/>
              </w:rPr>
              <w:t>(3)</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80" w:type="dxa"/>
            <w:vAlign w:val="bottom"/>
          </w:tcPr>
          <w:p>
            <w:pPr>
              <w:jc w:val="right"/>
              <w:ind w:right="233"/>
              <w:spacing w:after="0"/>
              <w:rPr>
                <w:sz w:val="20"/>
                <w:szCs w:val="20"/>
                <w:color w:val="auto"/>
              </w:rPr>
            </w:pPr>
            <w:r>
              <w:rPr>
                <w:rFonts w:ascii="Arial" w:cs="Arial" w:eastAsia="Arial" w:hAnsi="Arial"/>
                <w:sz w:val="13"/>
                <w:szCs w:val="13"/>
                <w:color w:val="auto"/>
              </w:rPr>
              <w:t>20,000</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69,000</w:t>
            </w:r>
          </w:p>
        </w:tc>
      </w:tr>
      <w:tr>
        <w:trPr>
          <w:trHeight w:val="148"/>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2/1/2016</w:t>
            </w:r>
            <w:r>
              <w:rPr>
                <w:rFonts w:ascii="Arial" w:cs="Arial" w:eastAsia="Arial" w:hAnsi="Arial"/>
                <w:sz w:val="11"/>
                <w:szCs w:val="11"/>
                <w:color w:val="auto"/>
              </w:rPr>
              <w:t>(2)</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73,593</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4,907</w:t>
            </w:r>
          </w:p>
        </w:tc>
        <w:tc>
          <w:tcPr>
            <w:tcW w:w="920" w:type="dxa"/>
            <w:vAlign w:val="bottom"/>
          </w:tcPr>
          <w:p>
            <w:pPr>
              <w:spacing w:after="0"/>
              <w:rPr>
                <w:sz w:val="12"/>
                <w:szCs w:val="12"/>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26.20</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1/31/2026</w:t>
            </w:r>
          </w:p>
        </w:tc>
        <w:tc>
          <w:tcPr>
            <w:tcW w:w="820" w:type="dxa"/>
            <w:vAlign w:val="bottom"/>
          </w:tcPr>
          <w:p>
            <w:pPr>
              <w:spacing w:after="0"/>
              <w:rPr>
                <w:sz w:val="12"/>
                <w:szCs w:val="12"/>
                <w:color w:val="auto"/>
              </w:rPr>
            </w:pPr>
          </w:p>
        </w:tc>
      </w:tr>
      <w:tr>
        <w:trPr>
          <w:trHeight w:val="148"/>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6/26/2015</w:t>
            </w:r>
            <w:r>
              <w:rPr>
                <w:rFonts w:ascii="Arial" w:cs="Arial" w:eastAsia="Arial" w:hAnsi="Arial"/>
                <w:sz w:val="11"/>
                <w:szCs w:val="11"/>
                <w:color w:val="auto"/>
              </w:rPr>
              <w:t>(4)</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100,000</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0</w:t>
            </w:r>
          </w:p>
        </w:tc>
        <w:tc>
          <w:tcPr>
            <w:tcW w:w="920" w:type="dxa"/>
            <w:vAlign w:val="bottom"/>
          </w:tcPr>
          <w:p>
            <w:pPr>
              <w:spacing w:after="0"/>
              <w:rPr>
                <w:sz w:val="12"/>
                <w:szCs w:val="12"/>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18.00</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6/25/2025</w:t>
            </w:r>
          </w:p>
        </w:tc>
        <w:tc>
          <w:tcPr>
            <w:tcW w:w="820" w:type="dxa"/>
            <w:vAlign w:val="bottom"/>
          </w:tcPr>
          <w:p>
            <w:pPr>
              <w:spacing w:after="0"/>
              <w:rPr>
                <w:sz w:val="12"/>
                <w:szCs w:val="12"/>
                <w:color w:val="auto"/>
              </w:rPr>
            </w:pPr>
          </w:p>
        </w:tc>
      </w:tr>
      <w:tr>
        <w:trPr>
          <w:trHeight w:val="148"/>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12/9/2014</w:t>
            </w:r>
            <w:r>
              <w:rPr>
                <w:rFonts w:ascii="Arial" w:cs="Arial" w:eastAsia="Arial" w:hAnsi="Arial"/>
                <w:sz w:val="11"/>
                <w:szCs w:val="11"/>
                <w:color w:val="auto"/>
              </w:rPr>
              <w:t>(4)</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233,454</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0</w:t>
            </w:r>
          </w:p>
        </w:tc>
        <w:tc>
          <w:tcPr>
            <w:tcW w:w="920" w:type="dxa"/>
            <w:vAlign w:val="bottom"/>
          </w:tcPr>
          <w:p>
            <w:pPr>
              <w:spacing w:after="0"/>
              <w:rPr>
                <w:sz w:val="12"/>
                <w:szCs w:val="12"/>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7.79</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12/8/2024</w:t>
            </w:r>
          </w:p>
        </w:tc>
        <w:tc>
          <w:tcPr>
            <w:tcW w:w="820" w:type="dxa"/>
            <w:vAlign w:val="bottom"/>
          </w:tcPr>
          <w:p>
            <w:pPr>
              <w:spacing w:after="0"/>
              <w:rPr>
                <w:sz w:val="12"/>
                <w:szCs w:val="12"/>
                <w:color w:val="auto"/>
              </w:rPr>
            </w:pPr>
          </w:p>
        </w:tc>
      </w:tr>
      <w:tr>
        <w:trPr>
          <w:trHeight w:val="149"/>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2/6/2019</w:t>
            </w:r>
            <w:r>
              <w:rPr>
                <w:rFonts w:ascii="Arial" w:cs="Arial" w:eastAsia="Arial" w:hAnsi="Arial"/>
                <w:sz w:val="11"/>
                <w:szCs w:val="11"/>
                <w:color w:val="auto"/>
              </w:rPr>
              <w:t>(1)</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0</w:t>
            </w:r>
          </w:p>
        </w:tc>
        <w:tc>
          <w:tcPr>
            <w:tcW w:w="1020" w:type="dxa"/>
            <w:vAlign w:val="bottom"/>
          </w:tcPr>
          <w:p>
            <w:pPr>
              <w:spacing w:after="0"/>
              <w:rPr>
                <w:sz w:val="12"/>
                <w:szCs w:val="12"/>
                <w:color w:val="auto"/>
              </w:rPr>
            </w:pP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84,800</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6.15</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2/7/2029</w:t>
            </w:r>
          </w:p>
        </w:tc>
        <w:tc>
          <w:tcPr>
            <w:tcW w:w="820" w:type="dxa"/>
            <w:vAlign w:val="bottom"/>
          </w:tcPr>
          <w:p>
            <w:pPr>
              <w:spacing w:after="0"/>
              <w:rPr>
                <w:sz w:val="12"/>
                <w:szCs w:val="12"/>
                <w:color w:val="auto"/>
              </w:rPr>
            </w:pPr>
          </w:p>
        </w:tc>
      </w:tr>
      <w:tr>
        <w:trPr>
          <w:trHeight w:val="148"/>
        </w:trPr>
        <w:tc>
          <w:tcPr>
            <w:tcW w:w="1300" w:type="dxa"/>
            <w:vAlign w:val="bottom"/>
            <w:gridSpan w:val="2"/>
            <w:shd w:val="clear" w:color="auto" w:fill="D8D8D8"/>
          </w:tcPr>
          <w:p>
            <w:pPr>
              <w:jc w:val="right"/>
              <w:ind w:right="3"/>
              <w:spacing w:after="0" w:line="148" w:lineRule="exact"/>
              <w:rPr>
                <w:sz w:val="20"/>
                <w:szCs w:val="20"/>
                <w:color w:val="auto"/>
              </w:rPr>
            </w:pPr>
            <w:r>
              <w:rPr>
                <w:rFonts w:ascii="Arial" w:cs="Arial" w:eastAsia="Arial" w:hAnsi="Arial"/>
                <w:sz w:val="13"/>
                <w:szCs w:val="13"/>
                <w:color w:val="auto"/>
              </w:rPr>
              <w:t>1/25/2019</w:t>
            </w:r>
            <w:r>
              <w:rPr>
                <w:rFonts w:ascii="Arial" w:cs="Arial" w:eastAsia="Arial" w:hAnsi="Arial"/>
                <w:sz w:val="11"/>
                <w:szCs w:val="11"/>
                <w:color w:val="auto"/>
              </w:rPr>
              <w:t>(2)</w:t>
            </w:r>
          </w:p>
        </w:tc>
        <w:tc>
          <w:tcPr>
            <w:tcW w:w="1140" w:type="dxa"/>
            <w:vAlign w:val="bottom"/>
            <w:shd w:val="clear" w:color="auto" w:fill="D8D8D8"/>
          </w:tcPr>
          <w:p>
            <w:pPr>
              <w:jc w:val="right"/>
              <w:ind w:right="233"/>
              <w:spacing w:after="0" w:line="148" w:lineRule="exact"/>
              <w:rPr>
                <w:sz w:val="20"/>
                <w:szCs w:val="20"/>
                <w:color w:val="auto"/>
              </w:rPr>
            </w:pPr>
            <w:r>
              <w:rPr>
                <w:rFonts w:ascii="Arial" w:cs="Arial" w:eastAsia="Arial" w:hAnsi="Arial"/>
                <w:sz w:val="13"/>
                <w:szCs w:val="13"/>
                <w:color w:val="auto"/>
              </w:rPr>
              <w:t>0</w:t>
            </w:r>
          </w:p>
        </w:tc>
        <w:tc>
          <w:tcPr>
            <w:tcW w:w="1020" w:type="dxa"/>
            <w:vAlign w:val="bottom"/>
            <w:shd w:val="clear" w:color="auto" w:fill="D8D8D8"/>
          </w:tcPr>
          <w:p>
            <w:pPr>
              <w:jc w:val="right"/>
              <w:ind w:right="173"/>
              <w:spacing w:after="0" w:line="148" w:lineRule="exact"/>
              <w:rPr>
                <w:sz w:val="20"/>
                <w:szCs w:val="20"/>
                <w:color w:val="auto"/>
              </w:rPr>
            </w:pPr>
            <w:r>
              <w:rPr>
                <w:rFonts w:ascii="Arial" w:cs="Arial" w:eastAsia="Arial" w:hAnsi="Arial"/>
                <w:sz w:val="13"/>
                <w:szCs w:val="13"/>
                <w:color w:val="auto"/>
              </w:rPr>
              <w:t>84,800</w:t>
            </w:r>
          </w:p>
        </w:tc>
        <w:tc>
          <w:tcPr>
            <w:tcW w:w="920" w:type="dxa"/>
            <w:vAlign w:val="bottom"/>
            <w:shd w:val="clear" w:color="auto" w:fill="D8D8D8"/>
          </w:tcPr>
          <w:p>
            <w:pPr>
              <w:spacing w:after="0"/>
              <w:rPr>
                <w:sz w:val="12"/>
                <w:szCs w:val="12"/>
                <w:color w:val="auto"/>
              </w:rPr>
            </w:pPr>
          </w:p>
        </w:tc>
        <w:tc>
          <w:tcPr>
            <w:tcW w:w="660" w:type="dxa"/>
            <w:vAlign w:val="bottom"/>
            <w:shd w:val="clear" w:color="auto" w:fill="D8D8D8"/>
          </w:tcPr>
          <w:p>
            <w:pPr>
              <w:jc w:val="right"/>
              <w:ind w:right="53"/>
              <w:spacing w:after="0" w:line="148" w:lineRule="exact"/>
              <w:rPr>
                <w:sz w:val="20"/>
                <w:szCs w:val="20"/>
                <w:color w:val="auto"/>
              </w:rPr>
            </w:pPr>
            <w:r>
              <w:rPr>
                <w:rFonts w:ascii="Arial" w:cs="Arial" w:eastAsia="Arial" w:hAnsi="Arial"/>
                <w:sz w:val="13"/>
                <w:szCs w:val="13"/>
                <w:color w:val="auto"/>
              </w:rPr>
              <w:t>6.01</w:t>
            </w:r>
          </w:p>
        </w:tc>
        <w:tc>
          <w:tcPr>
            <w:tcW w:w="1880" w:type="dxa"/>
            <w:vAlign w:val="bottom"/>
            <w:shd w:val="clear" w:color="auto" w:fill="D8D8D8"/>
          </w:tcPr>
          <w:p>
            <w:pPr>
              <w:jc w:val="right"/>
              <w:ind w:right="1073"/>
              <w:spacing w:after="0" w:line="148" w:lineRule="exact"/>
              <w:rPr>
                <w:sz w:val="20"/>
                <w:szCs w:val="20"/>
                <w:color w:val="auto"/>
              </w:rPr>
            </w:pPr>
            <w:r>
              <w:rPr>
                <w:rFonts w:ascii="Arial" w:cs="Arial" w:eastAsia="Arial" w:hAnsi="Arial"/>
                <w:sz w:val="13"/>
                <w:szCs w:val="13"/>
                <w:color w:val="auto"/>
              </w:rPr>
              <w:t>1/24/2029</w:t>
            </w:r>
          </w:p>
        </w:tc>
        <w:tc>
          <w:tcPr>
            <w:tcW w:w="820" w:type="dxa"/>
            <w:vAlign w:val="bottom"/>
            <w:shd w:val="clear" w:color="auto" w:fill="D8D8D8"/>
          </w:tcPr>
          <w:p>
            <w:pPr>
              <w:spacing w:after="0"/>
              <w:rPr>
                <w:sz w:val="12"/>
                <w:szCs w:val="12"/>
                <w:color w:val="auto"/>
              </w:rPr>
            </w:pPr>
          </w:p>
        </w:tc>
      </w:tr>
      <w:tr>
        <w:trPr>
          <w:trHeight w:val="148"/>
        </w:trPr>
        <w:tc>
          <w:tcPr>
            <w:tcW w:w="1300" w:type="dxa"/>
            <w:vAlign w:val="bottom"/>
            <w:gridSpan w:val="2"/>
            <w:shd w:val="clear" w:color="auto" w:fill="D8D8D8"/>
          </w:tcPr>
          <w:p>
            <w:pPr>
              <w:jc w:val="right"/>
              <w:ind w:right="3"/>
              <w:spacing w:after="0"/>
              <w:rPr>
                <w:sz w:val="20"/>
                <w:szCs w:val="20"/>
                <w:color w:val="auto"/>
              </w:rPr>
            </w:pPr>
            <w:r>
              <w:rPr>
                <w:rFonts w:ascii="Arial" w:cs="Arial" w:eastAsia="Arial" w:hAnsi="Arial"/>
                <w:sz w:val="13"/>
                <w:szCs w:val="13"/>
                <w:color w:val="auto"/>
              </w:rPr>
              <w:t>1/30/2018</w:t>
            </w:r>
            <w:r>
              <w:rPr>
                <w:rFonts w:ascii="Arial" w:cs="Arial" w:eastAsia="Arial" w:hAnsi="Arial"/>
                <w:sz w:val="11"/>
                <w:szCs w:val="11"/>
                <w:color w:val="auto"/>
              </w:rPr>
              <w:t>(2)</w:t>
            </w:r>
          </w:p>
        </w:tc>
        <w:tc>
          <w:tcPr>
            <w:tcW w:w="1140" w:type="dxa"/>
            <w:vAlign w:val="bottom"/>
            <w:shd w:val="clear" w:color="auto" w:fill="D8D8D8"/>
          </w:tcPr>
          <w:p>
            <w:pPr>
              <w:jc w:val="right"/>
              <w:ind w:right="233"/>
              <w:spacing w:after="0"/>
              <w:rPr>
                <w:sz w:val="20"/>
                <w:szCs w:val="20"/>
                <w:color w:val="auto"/>
              </w:rPr>
            </w:pPr>
            <w:r>
              <w:rPr>
                <w:rFonts w:ascii="Arial" w:cs="Arial" w:eastAsia="Arial" w:hAnsi="Arial"/>
                <w:sz w:val="13"/>
                <w:szCs w:val="13"/>
                <w:color w:val="auto"/>
              </w:rPr>
              <w:t>35,000</w:t>
            </w:r>
          </w:p>
        </w:tc>
        <w:tc>
          <w:tcPr>
            <w:tcW w:w="1020" w:type="dxa"/>
            <w:vAlign w:val="bottom"/>
            <w:shd w:val="clear" w:color="auto" w:fill="D8D8D8"/>
          </w:tcPr>
          <w:p>
            <w:pPr>
              <w:jc w:val="right"/>
              <w:ind w:right="173"/>
              <w:spacing w:after="0"/>
              <w:rPr>
                <w:sz w:val="20"/>
                <w:szCs w:val="20"/>
                <w:color w:val="auto"/>
              </w:rPr>
            </w:pPr>
            <w:r>
              <w:rPr>
                <w:rFonts w:ascii="Arial" w:cs="Arial" w:eastAsia="Arial" w:hAnsi="Arial"/>
                <w:sz w:val="13"/>
                <w:szCs w:val="13"/>
                <w:color w:val="auto"/>
              </w:rPr>
              <w:t>45,000</w:t>
            </w:r>
          </w:p>
        </w:tc>
        <w:tc>
          <w:tcPr>
            <w:tcW w:w="920" w:type="dxa"/>
            <w:vAlign w:val="bottom"/>
            <w:shd w:val="clear" w:color="auto" w:fill="D8D8D8"/>
          </w:tcPr>
          <w:p>
            <w:pPr>
              <w:spacing w:after="0"/>
              <w:rPr>
                <w:sz w:val="12"/>
                <w:szCs w:val="12"/>
                <w:color w:val="auto"/>
              </w:rPr>
            </w:pPr>
          </w:p>
        </w:tc>
        <w:tc>
          <w:tcPr>
            <w:tcW w:w="66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10.42</w:t>
            </w:r>
          </w:p>
        </w:tc>
        <w:tc>
          <w:tcPr>
            <w:tcW w:w="1880" w:type="dxa"/>
            <w:vAlign w:val="bottom"/>
            <w:shd w:val="clear" w:color="auto" w:fill="D8D8D8"/>
          </w:tcPr>
          <w:p>
            <w:pPr>
              <w:jc w:val="right"/>
              <w:ind w:right="1073"/>
              <w:spacing w:after="0"/>
              <w:rPr>
                <w:sz w:val="20"/>
                <w:szCs w:val="20"/>
                <w:color w:val="auto"/>
              </w:rPr>
            </w:pPr>
            <w:r>
              <w:rPr>
                <w:rFonts w:ascii="Arial" w:cs="Arial" w:eastAsia="Arial" w:hAnsi="Arial"/>
                <w:sz w:val="13"/>
                <w:szCs w:val="13"/>
                <w:color w:val="auto"/>
              </w:rPr>
              <w:t>1/29/2028</w:t>
            </w:r>
          </w:p>
        </w:tc>
        <w:tc>
          <w:tcPr>
            <w:tcW w:w="820" w:type="dxa"/>
            <w:vAlign w:val="bottom"/>
            <w:shd w:val="clear" w:color="auto" w:fill="D8D8D8"/>
          </w:tcPr>
          <w:p>
            <w:pPr>
              <w:spacing w:after="0"/>
              <w:rPr>
                <w:sz w:val="12"/>
                <w:szCs w:val="12"/>
                <w:color w:val="auto"/>
              </w:rPr>
            </w:pPr>
          </w:p>
        </w:tc>
      </w:tr>
      <w:tr>
        <w:trPr>
          <w:trHeight w:val="148"/>
        </w:trPr>
        <w:tc>
          <w:tcPr>
            <w:tcW w:w="11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1/30/2018</w:t>
            </w:r>
          </w:p>
        </w:tc>
        <w:tc>
          <w:tcPr>
            <w:tcW w:w="200" w:type="dxa"/>
            <w:vAlign w:val="bottom"/>
            <w:shd w:val="clear" w:color="auto" w:fill="D8D8D8"/>
          </w:tcPr>
          <w:p>
            <w:pPr>
              <w:jc w:val="right"/>
              <w:ind w:right="3"/>
              <w:spacing w:after="0"/>
              <w:rPr>
                <w:sz w:val="20"/>
                <w:szCs w:val="20"/>
                <w:color w:val="auto"/>
              </w:rPr>
            </w:pPr>
            <w:r>
              <w:rPr>
                <w:rFonts w:ascii="Arial" w:cs="Arial" w:eastAsia="Arial" w:hAnsi="Arial"/>
                <w:sz w:val="11"/>
                <w:szCs w:val="11"/>
                <w:color w:val="auto"/>
                <w:w w:val="88"/>
              </w:rPr>
              <w:t>(5)</w:t>
            </w:r>
          </w:p>
        </w:tc>
        <w:tc>
          <w:tcPr>
            <w:tcW w:w="1140" w:type="dxa"/>
            <w:vAlign w:val="bottom"/>
            <w:shd w:val="clear" w:color="auto" w:fill="D8D8D8"/>
          </w:tcPr>
          <w:p>
            <w:pPr>
              <w:jc w:val="right"/>
              <w:ind w:right="233"/>
              <w:spacing w:after="0"/>
              <w:rPr>
                <w:sz w:val="20"/>
                <w:szCs w:val="20"/>
                <w:color w:val="auto"/>
              </w:rPr>
            </w:pPr>
            <w:r>
              <w:rPr>
                <w:rFonts w:ascii="Arial" w:cs="Arial" w:eastAsia="Arial" w:hAnsi="Arial"/>
                <w:sz w:val="13"/>
                <w:szCs w:val="13"/>
                <w:color w:val="auto"/>
              </w:rPr>
              <w:t>33,333</w:t>
            </w:r>
          </w:p>
        </w:tc>
        <w:tc>
          <w:tcPr>
            <w:tcW w:w="1020" w:type="dxa"/>
            <w:vAlign w:val="bottom"/>
            <w:shd w:val="clear" w:color="auto" w:fill="D8D8D8"/>
          </w:tcPr>
          <w:p>
            <w:pPr>
              <w:jc w:val="right"/>
              <w:ind w:right="173"/>
              <w:spacing w:after="0"/>
              <w:rPr>
                <w:sz w:val="20"/>
                <w:szCs w:val="20"/>
                <w:color w:val="auto"/>
              </w:rPr>
            </w:pPr>
            <w:r>
              <w:rPr>
                <w:rFonts w:ascii="Arial" w:cs="Arial" w:eastAsia="Arial" w:hAnsi="Arial"/>
                <w:sz w:val="13"/>
                <w:szCs w:val="13"/>
                <w:color w:val="auto"/>
              </w:rPr>
              <w:t>66,667</w:t>
            </w:r>
          </w:p>
        </w:tc>
        <w:tc>
          <w:tcPr>
            <w:tcW w:w="920" w:type="dxa"/>
            <w:vAlign w:val="bottom"/>
            <w:shd w:val="clear" w:color="auto" w:fill="D8D8D8"/>
          </w:tcPr>
          <w:p>
            <w:pPr>
              <w:spacing w:after="0"/>
              <w:rPr>
                <w:sz w:val="12"/>
                <w:szCs w:val="12"/>
                <w:color w:val="auto"/>
              </w:rPr>
            </w:pPr>
          </w:p>
        </w:tc>
        <w:tc>
          <w:tcPr>
            <w:tcW w:w="66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10.42</w:t>
            </w:r>
          </w:p>
        </w:tc>
        <w:tc>
          <w:tcPr>
            <w:tcW w:w="1880" w:type="dxa"/>
            <w:vAlign w:val="bottom"/>
            <w:shd w:val="clear" w:color="auto" w:fill="D8D8D8"/>
          </w:tcPr>
          <w:p>
            <w:pPr>
              <w:jc w:val="right"/>
              <w:ind w:right="1073"/>
              <w:spacing w:after="0"/>
              <w:rPr>
                <w:sz w:val="20"/>
                <w:szCs w:val="20"/>
                <w:color w:val="auto"/>
              </w:rPr>
            </w:pPr>
            <w:r>
              <w:rPr>
                <w:rFonts w:ascii="Arial" w:cs="Arial" w:eastAsia="Arial" w:hAnsi="Arial"/>
                <w:sz w:val="13"/>
                <w:szCs w:val="13"/>
                <w:color w:val="auto"/>
              </w:rPr>
              <w:t>1/29/2028</w:t>
            </w:r>
          </w:p>
        </w:tc>
        <w:tc>
          <w:tcPr>
            <w:tcW w:w="820" w:type="dxa"/>
            <w:vAlign w:val="bottom"/>
            <w:shd w:val="clear" w:color="auto" w:fill="D8D8D8"/>
          </w:tcPr>
          <w:p>
            <w:pPr>
              <w:spacing w:after="0"/>
              <w:rPr>
                <w:sz w:val="12"/>
                <w:szCs w:val="12"/>
                <w:color w:val="auto"/>
              </w:rPr>
            </w:pPr>
          </w:p>
        </w:tc>
      </w:tr>
      <w:tr>
        <w:trPr>
          <w:trHeight w:val="148"/>
        </w:trPr>
        <w:tc>
          <w:tcPr>
            <w:tcW w:w="11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1/26/2017</w:t>
            </w:r>
          </w:p>
        </w:tc>
        <w:tc>
          <w:tcPr>
            <w:tcW w:w="200" w:type="dxa"/>
            <w:vAlign w:val="bottom"/>
            <w:shd w:val="clear" w:color="auto" w:fill="D8D8D8"/>
          </w:tcPr>
          <w:p>
            <w:pPr>
              <w:jc w:val="right"/>
              <w:ind w:right="3"/>
              <w:spacing w:after="0"/>
              <w:rPr>
                <w:sz w:val="20"/>
                <w:szCs w:val="20"/>
                <w:color w:val="auto"/>
              </w:rPr>
            </w:pPr>
            <w:r>
              <w:rPr>
                <w:rFonts w:ascii="Arial" w:cs="Arial" w:eastAsia="Arial" w:hAnsi="Arial"/>
                <w:sz w:val="11"/>
                <w:szCs w:val="11"/>
                <w:color w:val="auto"/>
                <w:w w:val="88"/>
              </w:rPr>
              <w:t>(3)</w:t>
            </w:r>
          </w:p>
        </w:tc>
        <w:tc>
          <w:tcPr>
            <w:tcW w:w="1140" w:type="dxa"/>
            <w:vAlign w:val="bottom"/>
            <w:shd w:val="clear" w:color="auto" w:fill="D8D8D8"/>
          </w:tcPr>
          <w:p>
            <w:pPr>
              <w:spacing w:after="0"/>
              <w:rPr>
                <w:sz w:val="12"/>
                <w:szCs w:val="12"/>
                <w:color w:val="auto"/>
              </w:rPr>
            </w:pPr>
          </w:p>
        </w:tc>
        <w:tc>
          <w:tcPr>
            <w:tcW w:w="1020" w:type="dxa"/>
            <w:vAlign w:val="bottom"/>
            <w:shd w:val="clear" w:color="auto" w:fill="D8D8D8"/>
          </w:tcPr>
          <w:p>
            <w:pPr>
              <w:spacing w:after="0"/>
              <w:rPr>
                <w:sz w:val="12"/>
                <w:szCs w:val="12"/>
                <w:color w:val="auto"/>
              </w:rPr>
            </w:pPr>
          </w:p>
        </w:tc>
        <w:tc>
          <w:tcPr>
            <w:tcW w:w="92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1880" w:type="dxa"/>
            <w:vAlign w:val="bottom"/>
            <w:shd w:val="clear" w:color="auto" w:fill="D8D8D8"/>
          </w:tcPr>
          <w:p>
            <w:pPr>
              <w:jc w:val="right"/>
              <w:ind w:right="233"/>
              <w:spacing w:after="0"/>
              <w:rPr>
                <w:sz w:val="20"/>
                <w:szCs w:val="20"/>
                <w:color w:val="auto"/>
              </w:rPr>
            </w:pPr>
            <w:r>
              <w:rPr>
                <w:rFonts w:ascii="Arial" w:cs="Arial" w:eastAsia="Arial" w:hAnsi="Arial"/>
                <w:sz w:val="13"/>
                <w:szCs w:val="13"/>
                <w:color w:val="auto"/>
              </w:rPr>
              <w:t>25,000</w:t>
            </w:r>
          </w:p>
        </w:tc>
        <w:tc>
          <w:tcPr>
            <w:tcW w:w="82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86,250</w:t>
            </w:r>
          </w:p>
        </w:tc>
      </w:tr>
      <w:tr>
        <w:trPr>
          <w:trHeight w:val="148"/>
        </w:trPr>
        <w:tc>
          <w:tcPr>
            <w:tcW w:w="11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1/26/2017</w:t>
            </w:r>
          </w:p>
        </w:tc>
        <w:tc>
          <w:tcPr>
            <w:tcW w:w="200" w:type="dxa"/>
            <w:vAlign w:val="bottom"/>
            <w:shd w:val="clear" w:color="auto" w:fill="D8D8D8"/>
          </w:tcPr>
          <w:p>
            <w:pPr>
              <w:jc w:val="right"/>
              <w:ind w:right="3"/>
              <w:spacing w:after="0"/>
              <w:rPr>
                <w:sz w:val="20"/>
                <w:szCs w:val="20"/>
                <w:color w:val="auto"/>
              </w:rPr>
            </w:pPr>
            <w:r>
              <w:rPr>
                <w:rFonts w:ascii="Arial" w:cs="Arial" w:eastAsia="Arial" w:hAnsi="Arial"/>
                <w:sz w:val="11"/>
                <w:szCs w:val="11"/>
                <w:color w:val="auto"/>
                <w:w w:val="88"/>
              </w:rPr>
              <w:t>(2)</w:t>
            </w:r>
          </w:p>
        </w:tc>
        <w:tc>
          <w:tcPr>
            <w:tcW w:w="1140" w:type="dxa"/>
            <w:vAlign w:val="bottom"/>
            <w:shd w:val="clear" w:color="auto" w:fill="D8D8D8"/>
          </w:tcPr>
          <w:p>
            <w:pPr>
              <w:jc w:val="right"/>
              <w:ind w:right="233"/>
              <w:spacing w:after="0"/>
              <w:rPr>
                <w:sz w:val="20"/>
                <w:szCs w:val="20"/>
                <w:color w:val="auto"/>
              </w:rPr>
            </w:pPr>
            <w:r>
              <w:rPr>
                <w:rFonts w:ascii="Arial" w:cs="Arial" w:eastAsia="Arial" w:hAnsi="Arial"/>
                <w:sz w:val="13"/>
                <w:szCs w:val="13"/>
                <w:color w:val="auto"/>
              </w:rPr>
              <w:t>41,250</w:t>
            </w:r>
          </w:p>
        </w:tc>
        <w:tc>
          <w:tcPr>
            <w:tcW w:w="1020" w:type="dxa"/>
            <w:vAlign w:val="bottom"/>
            <w:shd w:val="clear" w:color="auto" w:fill="D8D8D8"/>
          </w:tcPr>
          <w:p>
            <w:pPr>
              <w:jc w:val="right"/>
              <w:ind w:right="173"/>
              <w:spacing w:after="0"/>
              <w:rPr>
                <w:sz w:val="20"/>
                <w:szCs w:val="20"/>
                <w:color w:val="auto"/>
              </w:rPr>
            </w:pPr>
            <w:r>
              <w:rPr>
                <w:rFonts w:ascii="Arial" w:cs="Arial" w:eastAsia="Arial" w:hAnsi="Arial"/>
                <w:sz w:val="13"/>
                <w:szCs w:val="13"/>
                <w:color w:val="auto"/>
              </w:rPr>
              <w:t>18,750</w:t>
            </w:r>
          </w:p>
        </w:tc>
        <w:tc>
          <w:tcPr>
            <w:tcW w:w="920" w:type="dxa"/>
            <w:vAlign w:val="bottom"/>
            <w:shd w:val="clear" w:color="auto" w:fill="D8D8D8"/>
          </w:tcPr>
          <w:p>
            <w:pPr>
              <w:spacing w:after="0"/>
              <w:rPr>
                <w:sz w:val="12"/>
                <w:szCs w:val="12"/>
                <w:color w:val="auto"/>
              </w:rPr>
            </w:pPr>
          </w:p>
        </w:tc>
        <w:tc>
          <w:tcPr>
            <w:tcW w:w="66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9.89</w:t>
            </w:r>
          </w:p>
        </w:tc>
        <w:tc>
          <w:tcPr>
            <w:tcW w:w="1880" w:type="dxa"/>
            <w:vAlign w:val="bottom"/>
            <w:shd w:val="clear" w:color="auto" w:fill="D8D8D8"/>
          </w:tcPr>
          <w:p>
            <w:pPr>
              <w:jc w:val="right"/>
              <w:ind w:right="1073"/>
              <w:spacing w:after="0"/>
              <w:rPr>
                <w:sz w:val="20"/>
                <w:szCs w:val="20"/>
                <w:color w:val="auto"/>
              </w:rPr>
            </w:pPr>
            <w:r>
              <w:rPr>
                <w:rFonts w:ascii="Arial" w:cs="Arial" w:eastAsia="Arial" w:hAnsi="Arial"/>
                <w:sz w:val="13"/>
                <w:szCs w:val="13"/>
                <w:color w:val="auto"/>
              </w:rPr>
              <w:t>1/25/2027</w:t>
            </w:r>
          </w:p>
        </w:tc>
        <w:tc>
          <w:tcPr>
            <w:tcW w:w="820" w:type="dxa"/>
            <w:vAlign w:val="bottom"/>
            <w:shd w:val="clear" w:color="auto" w:fill="D8D8D8"/>
          </w:tcPr>
          <w:p>
            <w:pPr>
              <w:spacing w:after="0"/>
              <w:rPr>
                <w:sz w:val="12"/>
                <w:szCs w:val="12"/>
                <w:color w:val="auto"/>
              </w:rPr>
            </w:pPr>
          </w:p>
        </w:tc>
      </w:tr>
      <w:tr>
        <w:trPr>
          <w:trHeight w:val="149"/>
        </w:trPr>
        <w:tc>
          <w:tcPr>
            <w:tcW w:w="11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6/1/2016</w:t>
            </w:r>
          </w:p>
        </w:tc>
        <w:tc>
          <w:tcPr>
            <w:tcW w:w="200" w:type="dxa"/>
            <w:vAlign w:val="bottom"/>
            <w:shd w:val="clear" w:color="auto" w:fill="D8D8D8"/>
          </w:tcPr>
          <w:p>
            <w:pPr>
              <w:jc w:val="right"/>
              <w:ind w:right="3"/>
              <w:spacing w:after="0"/>
              <w:rPr>
                <w:sz w:val="20"/>
                <w:szCs w:val="20"/>
                <w:color w:val="auto"/>
              </w:rPr>
            </w:pPr>
            <w:r>
              <w:rPr>
                <w:rFonts w:ascii="Arial" w:cs="Arial" w:eastAsia="Arial" w:hAnsi="Arial"/>
                <w:sz w:val="11"/>
                <w:szCs w:val="11"/>
                <w:color w:val="auto"/>
                <w:w w:val="88"/>
              </w:rPr>
              <w:t>(2)</w:t>
            </w:r>
          </w:p>
        </w:tc>
        <w:tc>
          <w:tcPr>
            <w:tcW w:w="1140" w:type="dxa"/>
            <w:vAlign w:val="bottom"/>
            <w:shd w:val="clear" w:color="auto" w:fill="D8D8D8"/>
          </w:tcPr>
          <w:p>
            <w:pPr>
              <w:jc w:val="right"/>
              <w:ind w:right="233"/>
              <w:spacing w:after="0"/>
              <w:rPr>
                <w:sz w:val="20"/>
                <w:szCs w:val="20"/>
                <w:color w:val="auto"/>
              </w:rPr>
            </w:pPr>
            <w:r>
              <w:rPr>
                <w:rFonts w:ascii="Arial" w:cs="Arial" w:eastAsia="Arial" w:hAnsi="Arial"/>
                <w:sz w:val="13"/>
                <w:szCs w:val="13"/>
                <w:color w:val="auto"/>
              </w:rPr>
              <w:t>87,500</w:t>
            </w:r>
          </w:p>
        </w:tc>
        <w:tc>
          <w:tcPr>
            <w:tcW w:w="1020" w:type="dxa"/>
            <w:vAlign w:val="bottom"/>
            <w:shd w:val="clear" w:color="auto" w:fill="D8D8D8"/>
          </w:tcPr>
          <w:p>
            <w:pPr>
              <w:jc w:val="right"/>
              <w:ind w:right="173"/>
              <w:spacing w:after="0"/>
              <w:rPr>
                <w:sz w:val="20"/>
                <w:szCs w:val="20"/>
                <w:color w:val="auto"/>
              </w:rPr>
            </w:pPr>
            <w:r>
              <w:rPr>
                <w:rFonts w:ascii="Arial" w:cs="Arial" w:eastAsia="Arial" w:hAnsi="Arial"/>
                <w:sz w:val="13"/>
                <w:szCs w:val="13"/>
                <w:color w:val="auto"/>
              </w:rPr>
              <w:t>12,500</w:t>
            </w:r>
          </w:p>
        </w:tc>
        <w:tc>
          <w:tcPr>
            <w:tcW w:w="920" w:type="dxa"/>
            <w:vAlign w:val="bottom"/>
            <w:shd w:val="clear" w:color="auto" w:fill="D8D8D8"/>
          </w:tcPr>
          <w:p>
            <w:pPr>
              <w:spacing w:after="0"/>
              <w:rPr>
                <w:sz w:val="12"/>
                <w:szCs w:val="12"/>
                <w:color w:val="auto"/>
              </w:rPr>
            </w:pPr>
          </w:p>
        </w:tc>
        <w:tc>
          <w:tcPr>
            <w:tcW w:w="66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30.90</w:t>
            </w:r>
          </w:p>
        </w:tc>
        <w:tc>
          <w:tcPr>
            <w:tcW w:w="1880" w:type="dxa"/>
            <w:vAlign w:val="bottom"/>
            <w:shd w:val="clear" w:color="auto" w:fill="D8D8D8"/>
          </w:tcPr>
          <w:p>
            <w:pPr>
              <w:jc w:val="right"/>
              <w:ind w:right="1073"/>
              <w:spacing w:after="0"/>
              <w:rPr>
                <w:sz w:val="20"/>
                <w:szCs w:val="20"/>
                <w:color w:val="auto"/>
              </w:rPr>
            </w:pPr>
            <w:r>
              <w:rPr>
                <w:rFonts w:ascii="Arial" w:cs="Arial" w:eastAsia="Arial" w:hAnsi="Arial"/>
                <w:sz w:val="13"/>
                <w:szCs w:val="13"/>
                <w:color w:val="auto"/>
              </w:rPr>
              <w:t>5/31/2026</w:t>
            </w:r>
          </w:p>
        </w:tc>
        <w:tc>
          <w:tcPr>
            <w:tcW w:w="820" w:type="dxa"/>
            <w:vAlign w:val="bottom"/>
            <w:shd w:val="clear" w:color="auto" w:fill="D8D8D8"/>
          </w:tcPr>
          <w:p>
            <w:pPr>
              <w:spacing w:after="0"/>
              <w:rPr>
                <w:sz w:val="12"/>
                <w:szCs w:val="12"/>
                <w:color w:val="auto"/>
              </w:rPr>
            </w:pPr>
          </w:p>
        </w:tc>
      </w:tr>
      <w:tr>
        <w:trPr>
          <w:trHeight w:val="148"/>
        </w:trPr>
        <w:tc>
          <w:tcPr>
            <w:tcW w:w="1100" w:type="dxa"/>
            <w:vAlign w:val="bottom"/>
          </w:tcPr>
          <w:p>
            <w:pPr>
              <w:jc w:val="right"/>
              <w:spacing w:after="0" w:line="148" w:lineRule="exact"/>
              <w:rPr>
                <w:sz w:val="20"/>
                <w:szCs w:val="20"/>
                <w:color w:val="auto"/>
              </w:rPr>
            </w:pPr>
            <w:r>
              <w:rPr>
                <w:rFonts w:ascii="Arial" w:cs="Arial" w:eastAsia="Arial" w:hAnsi="Arial"/>
                <w:sz w:val="13"/>
                <w:szCs w:val="13"/>
                <w:color w:val="auto"/>
              </w:rPr>
              <w:t>2/6/2019</w:t>
            </w:r>
          </w:p>
        </w:tc>
        <w:tc>
          <w:tcPr>
            <w:tcW w:w="200" w:type="dxa"/>
            <w:vAlign w:val="bottom"/>
          </w:tcPr>
          <w:p>
            <w:pPr>
              <w:jc w:val="right"/>
              <w:ind w:right="3"/>
              <w:spacing w:after="0"/>
              <w:rPr>
                <w:sz w:val="20"/>
                <w:szCs w:val="20"/>
                <w:color w:val="auto"/>
              </w:rPr>
            </w:pPr>
            <w:r>
              <w:rPr>
                <w:rFonts w:ascii="Arial" w:cs="Arial" w:eastAsia="Arial" w:hAnsi="Arial"/>
                <w:sz w:val="11"/>
                <w:szCs w:val="11"/>
                <w:color w:val="auto"/>
                <w:w w:val="88"/>
              </w:rPr>
              <w:t>(1)</w:t>
            </w:r>
          </w:p>
        </w:tc>
        <w:tc>
          <w:tcPr>
            <w:tcW w:w="1140" w:type="dxa"/>
            <w:vAlign w:val="bottom"/>
          </w:tcPr>
          <w:p>
            <w:pPr>
              <w:jc w:val="right"/>
              <w:ind w:right="233"/>
              <w:spacing w:after="0" w:line="148" w:lineRule="exact"/>
              <w:rPr>
                <w:sz w:val="20"/>
                <w:szCs w:val="20"/>
                <w:color w:val="auto"/>
              </w:rPr>
            </w:pPr>
            <w:r>
              <w:rPr>
                <w:rFonts w:ascii="Arial" w:cs="Arial" w:eastAsia="Arial" w:hAnsi="Arial"/>
                <w:sz w:val="13"/>
                <w:szCs w:val="13"/>
                <w:color w:val="auto"/>
              </w:rPr>
              <w:t>0</w:t>
            </w:r>
          </w:p>
        </w:tc>
        <w:tc>
          <w:tcPr>
            <w:tcW w:w="1020" w:type="dxa"/>
            <w:vAlign w:val="bottom"/>
          </w:tcPr>
          <w:p>
            <w:pPr>
              <w:spacing w:after="0"/>
              <w:rPr>
                <w:sz w:val="12"/>
                <w:szCs w:val="12"/>
                <w:color w:val="auto"/>
              </w:rPr>
            </w:pPr>
          </w:p>
        </w:tc>
        <w:tc>
          <w:tcPr>
            <w:tcW w:w="920" w:type="dxa"/>
            <w:vAlign w:val="bottom"/>
          </w:tcPr>
          <w:p>
            <w:pPr>
              <w:jc w:val="right"/>
              <w:ind w:right="133"/>
              <w:spacing w:after="0" w:line="148" w:lineRule="exact"/>
              <w:rPr>
                <w:sz w:val="20"/>
                <w:szCs w:val="20"/>
                <w:color w:val="auto"/>
              </w:rPr>
            </w:pPr>
            <w:r>
              <w:rPr>
                <w:rFonts w:ascii="Arial" w:cs="Arial" w:eastAsia="Arial" w:hAnsi="Arial"/>
                <w:sz w:val="13"/>
                <w:szCs w:val="13"/>
                <w:color w:val="auto"/>
              </w:rPr>
              <w:t>73,500</w:t>
            </w:r>
          </w:p>
        </w:tc>
        <w:tc>
          <w:tcPr>
            <w:tcW w:w="660" w:type="dxa"/>
            <w:vAlign w:val="bottom"/>
          </w:tcPr>
          <w:p>
            <w:pPr>
              <w:jc w:val="right"/>
              <w:ind w:right="53"/>
              <w:spacing w:after="0" w:line="148" w:lineRule="exact"/>
              <w:rPr>
                <w:sz w:val="20"/>
                <w:szCs w:val="20"/>
                <w:color w:val="auto"/>
              </w:rPr>
            </w:pPr>
            <w:r>
              <w:rPr>
                <w:rFonts w:ascii="Arial" w:cs="Arial" w:eastAsia="Arial" w:hAnsi="Arial"/>
                <w:sz w:val="13"/>
                <w:szCs w:val="13"/>
                <w:color w:val="auto"/>
              </w:rPr>
              <w:t>6.15</w:t>
            </w:r>
          </w:p>
        </w:tc>
        <w:tc>
          <w:tcPr>
            <w:tcW w:w="1880" w:type="dxa"/>
            <w:vAlign w:val="bottom"/>
          </w:tcPr>
          <w:p>
            <w:pPr>
              <w:jc w:val="right"/>
              <w:ind w:right="1073"/>
              <w:spacing w:after="0" w:line="148" w:lineRule="exact"/>
              <w:rPr>
                <w:sz w:val="20"/>
                <w:szCs w:val="20"/>
                <w:color w:val="auto"/>
              </w:rPr>
            </w:pPr>
            <w:r>
              <w:rPr>
                <w:rFonts w:ascii="Arial" w:cs="Arial" w:eastAsia="Arial" w:hAnsi="Arial"/>
                <w:sz w:val="13"/>
                <w:szCs w:val="13"/>
                <w:color w:val="auto"/>
              </w:rPr>
              <w:t>2/7/2029</w:t>
            </w:r>
          </w:p>
        </w:tc>
        <w:tc>
          <w:tcPr>
            <w:tcW w:w="820" w:type="dxa"/>
            <w:vAlign w:val="bottom"/>
          </w:tcPr>
          <w:p>
            <w:pPr>
              <w:spacing w:after="0"/>
              <w:rPr>
                <w:sz w:val="12"/>
                <w:szCs w:val="12"/>
                <w:color w:val="auto"/>
              </w:rPr>
            </w:pPr>
          </w:p>
        </w:tc>
      </w:tr>
      <w:tr>
        <w:trPr>
          <w:trHeight w:val="148"/>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1/25/2019</w:t>
            </w:r>
            <w:r>
              <w:rPr>
                <w:rFonts w:ascii="Arial" w:cs="Arial" w:eastAsia="Arial" w:hAnsi="Arial"/>
                <w:sz w:val="11"/>
                <w:szCs w:val="11"/>
                <w:color w:val="auto"/>
              </w:rPr>
              <w:t>(2)</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0</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73,500</w:t>
            </w:r>
          </w:p>
        </w:tc>
        <w:tc>
          <w:tcPr>
            <w:tcW w:w="920" w:type="dxa"/>
            <w:vAlign w:val="bottom"/>
          </w:tcPr>
          <w:p>
            <w:pPr>
              <w:spacing w:after="0"/>
              <w:rPr>
                <w:sz w:val="12"/>
                <w:szCs w:val="12"/>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6.01</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1/24/2029</w:t>
            </w:r>
          </w:p>
        </w:tc>
        <w:tc>
          <w:tcPr>
            <w:tcW w:w="820" w:type="dxa"/>
            <w:vAlign w:val="bottom"/>
          </w:tcPr>
          <w:p>
            <w:pPr>
              <w:spacing w:after="0"/>
              <w:rPr>
                <w:sz w:val="12"/>
                <w:szCs w:val="12"/>
                <w:color w:val="auto"/>
              </w:rPr>
            </w:pPr>
          </w:p>
        </w:tc>
      </w:tr>
      <w:tr>
        <w:trPr>
          <w:trHeight w:val="148"/>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1/30/2018</w:t>
            </w:r>
            <w:r>
              <w:rPr>
                <w:rFonts w:ascii="Arial" w:cs="Arial" w:eastAsia="Arial" w:hAnsi="Arial"/>
                <w:sz w:val="11"/>
                <w:szCs w:val="11"/>
                <w:color w:val="auto"/>
              </w:rPr>
              <w:t>(2)</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26,250</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33,750</w:t>
            </w:r>
          </w:p>
        </w:tc>
        <w:tc>
          <w:tcPr>
            <w:tcW w:w="920" w:type="dxa"/>
            <w:vAlign w:val="bottom"/>
          </w:tcPr>
          <w:p>
            <w:pPr>
              <w:spacing w:after="0"/>
              <w:rPr>
                <w:sz w:val="12"/>
                <w:szCs w:val="12"/>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10.42</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1/29/2028</w:t>
            </w:r>
          </w:p>
        </w:tc>
        <w:tc>
          <w:tcPr>
            <w:tcW w:w="820" w:type="dxa"/>
            <w:vAlign w:val="bottom"/>
          </w:tcPr>
          <w:p>
            <w:pPr>
              <w:spacing w:after="0"/>
              <w:rPr>
                <w:sz w:val="12"/>
                <w:szCs w:val="12"/>
                <w:color w:val="auto"/>
              </w:rPr>
            </w:pPr>
          </w:p>
        </w:tc>
      </w:tr>
      <w:tr>
        <w:trPr>
          <w:trHeight w:val="148"/>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6/19/2017</w:t>
            </w:r>
            <w:r>
              <w:rPr>
                <w:rFonts w:ascii="Arial" w:cs="Arial" w:eastAsia="Arial" w:hAnsi="Arial"/>
                <w:sz w:val="11"/>
                <w:szCs w:val="11"/>
                <w:color w:val="auto"/>
              </w:rPr>
              <w:t>(7)</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70,000</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0</w:t>
            </w:r>
          </w:p>
        </w:tc>
        <w:tc>
          <w:tcPr>
            <w:tcW w:w="920" w:type="dxa"/>
            <w:vAlign w:val="bottom"/>
          </w:tcPr>
          <w:p>
            <w:pPr>
              <w:spacing w:after="0"/>
              <w:rPr>
                <w:sz w:val="12"/>
                <w:szCs w:val="12"/>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10.84</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6/18/2029</w:t>
            </w:r>
          </w:p>
        </w:tc>
        <w:tc>
          <w:tcPr>
            <w:tcW w:w="820" w:type="dxa"/>
            <w:vAlign w:val="bottom"/>
          </w:tcPr>
          <w:p>
            <w:pPr>
              <w:spacing w:after="0"/>
              <w:rPr>
                <w:sz w:val="12"/>
                <w:szCs w:val="12"/>
                <w:color w:val="auto"/>
              </w:rPr>
            </w:pPr>
          </w:p>
        </w:tc>
      </w:tr>
      <w:tr>
        <w:trPr>
          <w:trHeight w:val="149"/>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1/26/2017</w:t>
            </w:r>
            <w:r>
              <w:rPr>
                <w:rFonts w:ascii="Arial" w:cs="Arial" w:eastAsia="Arial" w:hAnsi="Arial"/>
                <w:sz w:val="11"/>
                <w:szCs w:val="11"/>
                <w:color w:val="auto"/>
              </w:rPr>
              <w:t>(2)</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20,625</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9,375</w:t>
            </w:r>
          </w:p>
        </w:tc>
        <w:tc>
          <w:tcPr>
            <w:tcW w:w="920" w:type="dxa"/>
            <w:vAlign w:val="bottom"/>
          </w:tcPr>
          <w:p>
            <w:pPr>
              <w:spacing w:after="0"/>
              <w:rPr>
                <w:sz w:val="12"/>
                <w:szCs w:val="12"/>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9.89</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1/25/2027</w:t>
            </w:r>
          </w:p>
        </w:tc>
        <w:tc>
          <w:tcPr>
            <w:tcW w:w="820" w:type="dxa"/>
            <w:vAlign w:val="bottom"/>
          </w:tcPr>
          <w:p>
            <w:pPr>
              <w:spacing w:after="0"/>
              <w:rPr>
                <w:sz w:val="12"/>
                <w:szCs w:val="12"/>
                <w:color w:val="auto"/>
              </w:rPr>
            </w:pPr>
          </w:p>
        </w:tc>
      </w:tr>
      <w:tr>
        <w:trPr>
          <w:trHeight w:val="148"/>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1/26/2017</w:t>
            </w:r>
            <w:r>
              <w:rPr>
                <w:rFonts w:ascii="Arial" w:cs="Arial" w:eastAsia="Arial" w:hAnsi="Arial"/>
                <w:sz w:val="11"/>
                <w:szCs w:val="11"/>
                <w:color w:val="auto"/>
              </w:rPr>
              <w:t>(3)</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80" w:type="dxa"/>
            <w:vAlign w:val="bottom"/>
          </w:tcPr>
          <w:p>
            <w:pPr>
              <w:jc w:val="right"/>
              <w:ind w:right="233"/>
              <w:spacing w:after="0"/>
              <w:rPr>
                <w:sz w:val="20"/>
                <w:szCs w:val="20"/>
                <w:color w:val="auto"/>
              </w:rPr>
            </w:pPr>
            <w:r>
              <w:rPr>
                <w:rFonts w:ascii="Arial" w:cs="Arial" w:eastAsia="Arial" w:hAnsi="Arial"/>
                <w:sz w:val="13"/>
                <w:szCs w:val="13"/>
                <w:color w:val="auto"/>
              </w:rPr>
              <w:t>7,500</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25,875</w:t>
            </w:r>
          </w:p>
        </w:tc>
      </w:tr>
      <w:tr>
        <w:trPr>
          <w:trHeight w:val="148"/>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2/1/2016</w:t>
            </w:r>
            <w:r>
              <w:rPr>
                <w:rFonts w:ascii="Arial" w:cs="Arial" w:eastAsia="Arial" w:hAnsi="Arial"/>
                <w:sz w:val="11"/>
                <w:szCs w:val="11"/>
                <w:color w:val="auto"/>
              </w:rPr>
              <w:t>(2)</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11,718</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782</w:t>
            </w:r>
          </w:p>
        </w:tc>
        <w:tc>
          <w:tcPr>
            <w:tcW w:w="920" w:type="dxa"/>
            <w:vAlign w:val="bottom"/>
          </w:tcPr>
          <w:p>
            <w:pPr>
              <w:spacing w:after="0"/>
              <w:rPr>
                <w:sz w:val="12"/>
                <w:szCs w:val="12"/>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26.20</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1/31/2026</w:t>
            </w:r>
          </w:p>
        </w:tc>
        <w:tc>
          <w:tcPr>
            <w:tcW w:w="820" w:type="dxa"/>
            <w:vAlign w:val="bottom"/>
          </w:tcPr>
          <w:p>
            <w:pPr>
              <w:spacing w:after="0"/>
              <w:rPr>
                <w:sz w:val="12"/>
                <w:szCs w:val="12"/>
                <w:color w:val="auto"/>
              </w:rPr>
            </w:pPr>
          </w:p>
        </w:tc>
      </w:tr>
      <w:tr>
        <w:trPr>
          <w:trHeight w:val="148"/>
        </w:trPr>
        <w:tc>
          <w:tcPr>
            <w:tcW w:w="1300" w:type="dxa"/>
            <w:vAlign w:val="bottom"/>
            <w:gridSpan w:val="2"/>
          </w:tcPr>
          <w:p>
            <w:pPr>
              <w:jc w:val="right"/>
              <w:ind w:right="3"/>
              <w:spacing w:after="0"/>
              <w:rPr>
                <w:sz w:val="20"/>
                <w:szCs w:val="20"/>
                <w:color w:val="auto"/>
              </w:rPr>
            </w:pPr>
            <w:r>
              <w:rPr>
                <w:rFonts w:ascii="Arial" w:cs="Arial" w:eastAsia="Arial" w:hAnsi="Arial"/>
                <w:sz w:val="13"/>
                <w:szCs w:val="13"/>
                <w:color w:val="auto"/>
              </w:rPr>
              <w:t>6/26/2015</w:t>
            </w:r>
            <w:r>
              <w:rPr>
                <w:rFonts w:ascii="Arial" w:cs="Arial" w:eastAsia="Arial" w:hAnsi="Arial"/>
                <w:sz w:val="11"/>
                <w:szCs w:val="11"/>
                <w:color w:val="auto"/>
              </w:rPr>
              <w:t>(4)</w:t>
            </w:r>
          </w:p>
        </w:tc>
        <w:tc>
          <w:tcPr>
            <w:tcW w:w="1140" w:type="dxa"/>
            <w:vAlign w:val="bottom"/>
          </w:tcPr>
          <w:p>
            <w:pPr>
              <w:jc w:val="right"/>
              <w:ind w:right="233"/>
              <w:spacing w:after="0"/>
              <w:rPr>
                <w:sz w:val="20"/>
                <w:szCs w:val="20"/>
                <w:color w:val="auto"/>
              </w:rPr>
            </w:pPr>
            <w:r>
              <w:rPr>
                <w:rFonts w:ascii="Arial" w:cs="Arial" w:eastAsia="Arial" w:hAnsi="Arial"/>
                <w:sz w:val="13"/>
                <w:szCs w:val="13"/>
                <w:color w:val="auto"/>
              </w:rPr>
              <w:t>40,000</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0</w:t>
            </w:r>
          </w:p>
        </w:tc>
        <w:tc>
          <w:tcPr>
            <w:tcW w:w="920" w:type="dxa"/>
            <w:vAlign w:val="bottom"/>
          </w:tcPr>
          <w:p>
            <w:pPr>
              <w:spacing w:after="0"/>
              <w:rPr>
                <w:sz w:val="12"/>
                <w:szCs w:val="12"/>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18.00</w:t>
            </w:r>
          </w:p>
        </w:tc>
        <w:tc>
          <w:tcPr>
            <w:tcW w:w="1880" w:type="dxa"/>
            <w:vAlign w:val="bottom"/>
          </w:tcPr>
          <w:p>
            <w:pPr>
              <w:jc w:val="right"/>
              <w:ind w:right="1073"/>
              <w:spacing w:after="0"/>
              <w:rPr>
                <w:sz w:val="20"/>
                <w:szCs w:val="20"/>
                <w:color w:val="auto"/>
              </w:rPr>
            </w:pPr>
            <w:r>
              <w:rPr>
                <w:rFonts w:ascii="Arial" w:cs="Arial" w:eastAsia="Arial" w:hAnsi="Arial"/>
                <w:sz w:val="13"/>
                <w:szCs w:val="13"/>
                <w:color w:val="auto"/>
              </w:rPr>
              <w:t>6/25/2025</w:t>
            </w:r>
          </w:p>
        </w:tc>
        <w:tc>
          <w:tcPr>
            <w:tcW w:w="820" w:type="dxa"/>
            <w:vAlign w:val="bottom"/>
          </w:tcPr>
          <w:p>
            <w:pPr>
              <w:spacing w:after="0"/>
              <w:rPr>
                <w:sz w:val="12"/>
                <w:szCs w:val="12"/>
                <w:color w:val="auto"/>
              </w:rPr>
            </w:pPr>
          </w:p>
        </w:tc>
      </w:tr>
      <w:tr>
        <w:trPr>
          <w:trHeight w:val="147"/>
        </w:trPr>
        <w:tc>
          <w:tcPr>
            <w:tcW w:w="1300" w:type="dxa"/>
            <w:vAlign w:val="bottom"/>
            <w:gridSpan w:val="2"/>
          </w:tcPr>
          <w:p>
            <w:pPr>
              <w:jc w:val="right"/>
              <w:ind w:right="3"/>
              <w:spacing w:after="0" w:line="148" w:lineRule="exact"/>
              <w:rPr>
                <w:sz w:val="20"/>
                <w:szCs w:val="20"/>
                <w:color w:val="auto"/>
              </w:rPr>
            </w:pPr>
            <w:r>
              <w:rPr>
                <w:rFonts w:ascii="Arial" w:cs="Arial" w:eastAsia="Arial" w:hAnsi="Arial"/>
                <w:sz w:val="13"/>
                <w:szCs w:val="13"/>
                <w:color w:val="auto"/>
              </w:rPr>
              <w:t>8/7/2014</w:t>
            </w:r>
            <w:r>
              <w:rPr>
                <w:rFonts w:ascii="Arial" w:cs="Arial" w:eastAsia="Arial" w:hAnsi="Arial"/>
                <w:sz w:val="11"/>
                <w:szCs w:val="11"/>
                <w:color w:val="auto"/>
              </w:rPr>
              <w:t>(4)</w:t>
            </w:r>
          </w:p>
        </w:tc>
        <w:tc>
          <w:tcPr>
            <w:tcW w:w="1140" w:type="dxa"/>
            <w:vAlign w:val="bottom"/>
          </w:tcPr>
          <w:p>
            <w:pPr>
              <w:jc w:val="right"/>
              <w:ind w:right="233"/>
              <w:spacing w:after="0" w:line="148" w:lineRule="exact"/>
              <w:rPr>
                <w:sz w:val="20"/>
                <w:szCs w:val="20"/>
                <w:color w:val="auto"/>
              </w:rPr>
            </w:pPr>
            <w:r>
              <w:rPr>
                <w:rFonts w:ascii="Arial" w:cs="Arial" w:eastAsia="Arial" w:hAnsi="Arial"/>
                <w:sz w:val="13"/>
                <w:szCs w:val="13"/>
                <w:color w:val="auto"/>
              </w:rPr>
              <w:t>26,000</w:t>
            </w:r>
          </w:p>
        </w:tc>
        <w:tc>
          <w:tcPr>
            <w:tcW w:w="1020" w:type="dxa"/>
            <w:vAlign w:val="bottom"/>
          </w:tcPr>
          <w:p>
            <w:pPr>
              <w:jc w:val="right"/>
              <w:ind w:right="173"/>
              <w:spacing w:after="0" w:line="148" w:lineRule="exact"/>
              <w:rPr>
                <w:sz w:val="20"/>
                <w:szCs w:val="20"/>
                <w:color w:val="auto"/>
              </w:rPr>
            </w:pPr>
            <w:r>
              <w:rPr>
                <w:rFonts w:ascii="Arial" w:cs="Arial" w:eastAsia="Arial" w:hAnsi="Arial"/>
                <w:sz w:val="13"/>
                <w:szCs w:val="13"/>
                <w:color w:val="auto"/>
              </w:rPr>
              <w:t>0</w:t>
            </w:r>
          </w:p>
        </w:tc>
        <w:tc>
          <w:tcPr>
            <w:tcW w:w="920" w:type="dxa"/>
            <w:vAlign w:val="bottom"/>
          </w:tcPr>
          <w:p>
            <w:pPr>
              <w:spacing w:after="0"/>
              <w:rPr>
                <w:sz w:val="12"/>
                <w:szCs w:val="12"/>
                <w:color w:val="auto"/>
              </w:rPr>
            </w:pPr>
          </w:p>
        </w:tc>
        <w:tc>
          <w:tcPr>
            <w:tcW w:w="660" w:type="dxa"/>
            <w:vAlign w:val="bottom"/>
          </w:tcPr>
          <w:p>
            <w:pPr>
              <w:jc w:val="right"/>
              <w:ind w:right="53"/>
              <w:spacing w:after="0" w:line="148" w:lineRule="exact"/>
              <w:rPr>
                <w:sz w:val="20"/>
                <w:szCs w:val="20"/>
                <w:color w:val="auto"/>
              </w:rPr>
            </w:pPr>
            <w:r>
              <w:rPr>
                <w:rFonts w:ascii="Arial" w:cs="Arial" w:eastAsia="Arial" w:hAnsi="Arial"/>
                <w:sz w:val="13"/>
                <w:szCs w:val="13"/>
                <w:color w:val="auto"/>
              </w:rPr>
              <w:t>0.71</w:t>
            </w:r>
          </w:p>
        </w:tc>
        <w:tc>
          <w:tcPr>
            <w:tcW w:w="1880" w:type="dxa"/>
            <w:vAlign w:val="bottom"/>
          </w:tcPr>
          <w:p>
            <w:pPr>
              <w:jc w:val="right"/>
              <w:ind w:right="1073"/>
              <w:spacing w:after="0" w:line="148" w:lineRule="exact"/>
              <w:rPr>
                <w:sz w:val="20"/>
                <w:szCs w:val="20"/>
                <w:color w:val="auto"/>
              </w:rPr>
            </w:pPr>
            <w:r>
              <w:rPr>
                <w:rFonts w:ascii="Arial" w:cs="Arial" w:eastAsia="Arial" w:hAnsi="Arial"/>
                <w:sz w:val="13"/>
                <w:szCs w:val="13"/>
                <w:color w:val="auto"/>
              </w:rPr>
              <w:t>8/6/2024</w:t>
            </w:r>
          </w:p>
        </w:tc>
        <w:tc>
          <w:tcPr>
            <w:tcW w:w="8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-2084705</wp:posOffset>
            </wp:positionH>
            <wp:positionV relativeFrom="paragraph">
              <wp:posOffset>-1506855</wp:posOffset>
            </wp:positionV>
            <wp:extent cx="6995160" cy="660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6604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80" w:space="720"/>
            <w:col w:w="77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49"/>
        </w:trPr>
        <w:tc>
          <w:tcPr>
            <w:tcW w:w="3280" w:type="dxa"/>
            <w:vAlign w:val="bottom"/>
            <w:shd w:val="clear" w:color="auto" w:fill="D8D8D8"/>
          </w:tcPr>
          <w:p>
            <w:pPr>
              <w:ind w:left="60"/>
              <w:spacing w:after="0"/>
              <w:rPr>
                <w:sz w:val="20"/>
                <w:szCs w:val="20"/>
                <w:color w:val="auto"/>
              </w:rPr>
            </w:pPr>
            <w:r>
              <w:rPr>
                <w:rFonts w:ascii="Arial" w:cs="Arial" w:eastAsia="Arial" w:hAnsi="Arial"/>
                <w:sz w:val="13"/>
                <w:szCs w:val="13"/>
                <w:color w:val="auto"/>
              </w:rPr>
              <w:t>Roger J. Pomerantz, M.D.</w:t>
            </w:r>
          </w:p>
        </w:tc>
        <w:tc>
          <w:tcPr>
            <w:tcW w:w="1440" w:type="dxa"/>
            <w:vAlign w:val="bottom"/>
            <w:gridSpan w:val="2"/>
            <w:shd w:val="clear" w:color="auto" w:fill="D8D8D8"/>
          </w:tcPr>
          <w:p>
            <w:pPr>
              <w:jc w:val="right"/>
              <w:ind w:right="143"/>
              <w:spacing w:after="0"/>
              <w:rPr>
                <w:sz w:val="20"/>
                <w:szCs w:val="20"/>
                <w:color w:val="auto"/>
              </w:rPr>
            </w:pPr>
            <w:r>
              <w:rPr>
                <w:rFonts w:ascii="Arial" w:cs="Arial" w:eastAsia="Arial" w:hAnsi="Arial"/>
                <w:sz w:val="13"/>
                <w:szCs w:val="13"/>
                <w:color w:val="auto"/>
              </w:rPr>
              <w:t>6/13/2019</w:t>
            </w:r>
            <w:r>
              <w:rPr>
                <w:rFonts w:ascii="Arial" w:cs="Arial" w:eastAsia="Arial" w:hAnsi="Arial"/>
                <w:sz w:val="11"/>
                <w:szCs w:val="11"/>
                <w:color w:val="auto"/>
              </w:rPr>
              <w:t>(6)</w:t>
            </w:r>
          </w:p>
        </w:tc>
        <w:tc>
          <w:tcPr>
            <w:tcW w:w="1040" w:type="dxa"/>
            <w:vAlign w:val="bottom"/>
            <w:shd w:val="clear" w:color="auto" w:fill="D8D8D8"/>
          </w:tcPr>
          <w:p>
            <w:pPr>
              <w:jc w:val="right"/>
              <w:ind w:right="273"/>
              <w:spacing w:after="0"/>
              <w:rPr>
                <w:sz w:val="20"/>
                <w:szCs w:val="20"/>
                <w:color w:val="auto"/>
              </w:rPr>
            </w:pPr>
            <w:r>
              <w:rPr>
                <w:rFonts w:ascii="Arial" w:cs="Arial" w:eastAsia="Arial" w:hAnsi="Arial"/>
                <w:sz w:val="13"/>
                <w:szCs w:val="13"/>
                <w:color w:val="auto"/>
              </w:rPr>
              <w:t>0</w:t>
            </w:r>
          </w:p>
        </w:tc>
        <w:tc>
          <w:tcPr>
            <w:tcW w:w="1420" w:type="dxa"/>
            <w:vAlign w:val="bottom"/>
            <w:shd w:val="clear" w:color="auto" w:fill="D8D8D8"/>
          </w:tcPr>
          <w:p>
            <w:pPr>
              <w:jc w:val="right"/>
              <w:ind w:right="613"/>
              <w:spacing w:after="0"/>
              <w:rPr>
                <w:sz w:val="20"/>
                <w:szCs w:val="20"/>
                <w:color w:val="auto"/>
              </w:rPr>
            </w:pPr>
            <w:r>
              <w:rPr>
                <w:rFonts w:ascii="Arial" w:cs="Arial" w:eastAsia="Arial" w:hAnsi="Arial"/>
                <w:sz w:val="13"/>
                <w:szCs w:val="13"/>
                <w:color w:val="auto"/>
              </w:rPr>
              <w:t>15,000</w:t>
            </w:r>
          </w:p>
        </w:tc>
        <w:tc>
          <w:tcPr>
            <w:tcW w:w="114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2.83</w:t>
            </w:r>
          </w:p>
        </w:tc>
        <w:tc>
          <w:tcPr>
            <w:tcW w:w="2700" w:type="dxa"/>
            <w:vAlign w:val="bottom"/>
            <w:shd w:val="clear" w:color="auto" w:fill="D8D8D8"/>
          </w:tcPr>
          <w:p>
            <w:pPr>
              <w:jc w:val="right"/>
              <w:ind w:right="1893"/>
              <w:spacing w:after="0"/>
              <w:rPr>
                <w:sz w:val="20"/>
                <w:szCs w:val="20"/>
                <w:color w:val="auto"/>
              </w:rPr>
            </w:pPr>
            <w:r>
              <w:rPr>
                <w:rFonts w:ascii="Arial" w:cs="Arial" w:eastAsia="Arial" w:hAnsi="Arial"/>
                <w:sz w:val="13"/>
                <w:szCs w:val="13"/>
                <w:color w:val="auto"/>
              </w:rPr>
              <w:t>6/12/2029</w:t>
            </w:r>
          </w:p>
        </w:tc>
      </w:tr>
      <w:tr>
        <w:trPr>
          <w:trHeight w:val="148"/>
        </w:trPr>
        <w:tc>
          <w:tcPr>
            <w:tcW w:w="3280" w:type="dxa"/>
            <w:vAlign w:val="bottom"/>
            <w:shd w:val="clear" w:color="auto" w:fill="D8D8D8"/>
          </w:tcPr>
          <w:p>
            <w:pPr>
              <w:spacing w:after="0"/>
              <w:rPr>
                <w:sz w:val="12"/>
                <w:szCs w:val="12"/>
                <w:color w:val="auto"/>
              </w:rPr>
            </w:pPr>
          </w:p>
        </w:tc>
        <w:tc>
          <w:tcPr>
            <w:tcW w:w="1440" w:type="dxa"/>
            <w:vAlign w:val="bottom"/>
            <w:gridSpan w:val="2"/>
            <w:shd w:val="clear" w:color="auto" w:fill="D8D8D8"/>
          </w:tcPr>
          <w:p>
            <w:pPr>
              <w:jc w:val="right"/>
              <w:ind w:right="143"/>
              <w:spacing w:after="0"/>
              <w:rPr>
                <w:sz w:val="20"/>
                <w:szCs w:val="20"/>
                <w:color w:val="auto"/>
              </w:rPr>
            </w:pPr>
            <w:r>
              <w:rPr>
                <w:rFonts w:ascii="Arial" w:cs="Arial" w:eastAsia="Arial" w:hAnsi="Arial"/>
                <w:sz w:val="13"/>
                <w:szCs w:val="13"/>
                <w:color w:val="auto"/>
              </w:rPr>
              <w:t>1/26/2017</w:t>
            </w:r>
            <w:r>
              <w:rPr>
                <w:rFonts w:ascii="Arial" w:cs="Arial" w:eastAsia="Arial" w:hAnsi="Arial"/>
                <w:sz w:val="11"/>
                <w:szCs w:val="11"/>
                <w:color w:val="auto"/>
              </w:rPr>
              <w:t>(2)</w:t>
            </w:r>
          </w:p>
        </w:tc>
        <w:tc>
          <w:tcPr>
            <w:tcW w:w="1040" w:type="dxa"/>
            <w:vAlign w:val="bottom"/>
            <w:shd w:val="clear" w:color="auto" w:fill="D8D8D8"/>
          </w:tcPr>
          <w:p>
            <w:pPr>
              <w:jc w:val="right"/>
              <w:ind w:right="273"/>
              <w:spacing w:after="0"/>
              <w:rPr>
                <w:sz w:val="20"/>
                <w:szCs w:val="20"/>
                <w:color w:val="auto"/>
              </w:rPr>
            </w:pPr>
            <w:r>
              <w:rPr>
                <w:rFonts w:ascii="Arial" w:cs="Arial" w:eastAsia="Arial" w:hAnsi="Arial"/>
                <w:sz w:val="13"/>
                <w:szCs w:val="13"/>
                <w:color w:val="auto"/>
              </w:rPr>
              <w:t>114,187</w:t>
            </w:r>
          </w:p>
        </w:tc>
        <w:tc>
          <w:tcPr>
            <w:tcW w:w="1420" w:type="dxa"/>
            <w:vAlign w:val="bottom"/>
            <w:shd w:val="clear" w:color="auto" w:fill="D8D8D8"/>
          </w:tcPr>
          <w:p>
            <w:pPr>
              <w:jc w:val="right"/>
              <w:ind w:right="613"/>
              <w:spacing w:after="0"/>
              <w:rPr>
                <w:sz w:val="20"/>
                <w:szCs w:val="20"/>
                <w:color w:val="auto"/>
              </w:rPr>
            </w:pPr>
            <w:r>
              <w:rPr>
                <w:rFonts w:ascii="Arial" w:cs="Arial" w:eastAsia="Arial" w:hAnsi="Arial"/>
                <w:sz w:val="13"/>
                <w:szCs w:val="13"/>
                <w:color w:val="auto"/>
              </w:rPr>
              <w:t>0</w:t>
            </w:r>
          </w:p>
        </w:tc>
        <w:tc>
          <w:tcPr>
            <w:tcW w:w="114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9.89</w:t>
            </w:r>
          </w:p>
        </w:tc>
        <w:tc>
          <w:tcPr>
            <w:tcW w:w="2700" w:type="dxa"/>
            <w:vAlign w:val="bottom"/>
            <w:shd w:val="clear" w:color="auto" w:fill="D8D8D8"/>
          </w:tcPr>
          <w:p>
            <w:pPr>
              <w:jc w:val="right"/>
              <w:ind w:right="1893"/>
              <w:spacing w:after="0"/>
              <w:rPr>
                <w:sz w:val="20"/>
                <w:szCs w:val="20"/>
                <w:color w:val="auto"/>
              </w:rPr>
            </w:pPr>
            <w:r>
              <w:rPr>
                <w:rFonts w:ascii="Arial" w:cs="Arial" w:eastAsia="Arial" w:hAnsi="Arial"/>
                <w:sz w:val="13"/>
                <w:szCs w:val="13"/>
                <w:color w:val="auto"/>
              </w:rPr>
              <w:t>1/25/2027</w:t>
            </w:r>
          </w:p>
        </w:tc>
      </w:tr>
      <w:tr>
        <w:trPr>
          <w:trHeight w:val="149"/>
        </w:trPr>
        <w:tc>
          <w:tcPr>
            <w:tcW w:w="3280" w:type="dxa"/>
            <w:vAlign w:val="bottom"/>
            <w:shd w:val="clear" w:color="auto" w:fill="D8D8D8"/>
          </w:tcPr>
          <w:p>
            <w:pPr>
              <w:spacing w:after="0"/>
              <w:rPr>
                <w:sz w:val="12"/>
                <w:szCs w:val="12"/>
                <w:color w:val="auto"/>
              </w:rPr>
            </w:pPr>
          </w:p>
        </w:tc>
        <w:tc>
          <w:tcPr>
            <w:tcW w:w="1440" w:type="dxa"/>
            <w:vAlign w:val="bottom"/>
            <w:gridSpan w:val="2"/>
            <w:shd w:val="clear" w:color="auto" w:fill="D8D8D8"/>
          </w:tcPr>
          <w:p>
            <w:pPr>
              <w:jc w:val="right"/>
              <w:ind w:right="143"/>
              <w:spacing w:after="0"/>
              <w:rPr>
                <w:sz w:val="20"/>
                <w:szCs w:val="20"/>
                <w:color w:val="auto"/>
              </w:rPr>
            </w:pPr>
            <w:r>
              <w:rPr>
                <w:rFonts w:ascii="Arial" w:cs="Arial" w:eastAsia="Arial" w:hAnsi="Arial"/>
                <w:sz w:val="13"/>
                <w:szCs w:val="13"/>
                <w:color w:val="auto"/>
              </w:rPr>
              <w:t>2/1/2016</w:t>
            </w:r>
            <w:r>
              <w:rPr>
                <w:rFonts w:ascii="Arial" w:cs="Arial" w:eastAsia="Arial" w:hAnsi="Arial"/>
                <w:sz w:val="11"/>
                <w:szCs w:val="11"/>
                <w:color w:val="auto"/>
              </w:rPr>
              <w:t>(2)</w:t>
            </w:r>
          </w:p>
        </w:tc>
        <w:tc>
          <w:tcPr>
            <w:tcW w:w="1040" w:type="dxa"/>
            <w:vAlign w:val="bottom"/>
            <w:shd w:val="clear" w:color="auto" w:fill="D8D8D8"/>
          </w:tcPr>
          <w:p>
            <w:pPr>
              <w:jc w:val="right"/>
              <w:ind w:right="273"/>
              <w:spacing w:after="0"/>
              <w:rPr>
                <w:sz w:val="20"/>
                <w:szCs w:val="20"/>
                <w:color w:val="auto"/>
              </w:rPr>
            </w:pPr>
            <w:r>
              <w:rPr>
                <w:rFonts w:ascii="Arial" w:cs="Arial" w:eastAsia="Arial" w:hAnsi="Arial"/>
                <w:sz w:val="13"/>
                <w:szCs w:val="13"/>
                <w:color w:val="auto"/>
              </w:rPr>
              <w:t>121,343</w:t>
            </w:r>
          </w:p>
        </w:tc>
        <w:tc>
          <w:tcPr>
            <w:tcW w:w="1420" w:type="dxa"/>
            <w:vAlign w:val="bottom"/>
            <w:shd w:val="clear" w:color="auto" w:fill="D8D8D8"/>
          </w:tcPr>
          <w:p>
            <w:pPr>
              <w:jc w:val="right"/>
              <w:ind w:right="613"/>
              <w:spacing w:after="0"/>
              <w:rPr>
                <w:sz w:val="20"/>
                <w:szCs w:val="20"/>
                <w:color w:val="auto"/>
              </w:rPr>
            </w:pPr>
            <w:r>
              <w:rPr>
                <w:rFonts w:ascii="Arial" w:cs="Arial" w:eastAsia="Arial" w:hAnsi="Arial"/>
                <w:sz w:val="13"/>
                <w:szCs w:val="13"/>
                <w:color w:val="auto"/>
              </w:rPr>
              <w:t>0</w:t>
            </w:r>
          </w:p>
        </w:tc>
        <w:tc>
          <w:tcPr>
            <w:tcW w:w="114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26.20</w:t>
            </w:r>
          </w:p>
        </w:tc>
        <w:tc>
          <w:tcPr>
            <w:tcW w:w="2700" w:type="dxa"/>
            <w:vAlign w:val="bottom"/>
            <w:shd w:val="clear" w:color="auto" w:fill="D8D8D8"/>
          </w:tcPr>
          <w:p>
            <w:pPr>
              <w:jc w:val="right"/>
              <w:ind w:right="1893"/>
              <w:spacing w:after="0"/>
              <w:rPr>
                <w:sz w:val="20"/>
                <w:szCs w:val="20"/>
                <w:color w:val="auto"/>
              </w:rPr>
            </w:pPr>
            <w:r>
              <w:rPr>
                <w:rFonts w:ascii="Arial" w:cs="Arial" w:eastAsia="Arial" w:hAnsi="Arial"/>
                <w:sz w:val="13"/>
                <w:szCs w:val="13"/>
                <w:color w:val="auto"/>
              </w:rPr>
              <w:t>1/31/2026</w:t>
            </w:r>
          </w:p>
        </w:tc>
      </w:tr>
      <w:tr>
        <w:trPr>
          <w:trHeight w:val="148"/>
        </w:trPr>
        <w:tc>
          <w:tcPr>
            <w:tcW w:w="3280" w:type="dxa"/>
            <w:vAlign w:val="bottom"/>
            <w:shd w:val="clear" w:color="auto" w:fill="D8D8D8"/>
          </w:tcPr>
          <w:p>
            <w:pPr>
              <w:spacing w:after="0"/>
              <w:rPr>
                <w:sz w:val="12"/>
                <w:szCs w:val="12"/>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6/1/2014</w:t>
            </w:r>
          </w:p>
        </w:tc>
        <w:tc>
          <w:tcPr>
            <w:tcW w:w="340" w:type="dxa"/>
            <w:vAlign w:val="bottom"/>
            <w:shd w:val="clear" w:color="auto" w:fill="D8D8D8"/>
          </w:tcPr>
          <w:p>
            <w:pPr>
              <w:jc w:val="right"/>
              <w:ind w:right="143"/>
              <w:spacing w:after="0"/>
              <w:rPr>
                <w:sz w:val="20"/>
                <w:szCs w:val="20"/>
                <w:color w:val="auto"/>
              </w:rPr>
            </w:pPr>
            <w:r>
              <w:rPr>
                <w:rFonts w:ascii="Arial" w:cs="Arial" w:eastAsia="Arial" w:hAnsi="Arial"/>
                <w:sz w:val="11"/>
                <w:szCs w:val="11"/>
                <w:color w:val="auto"/>
                <w:w w:val="88"/>
              </w:rPr>
              <w:t>(4)</w:t>
            </w:r>
          </w:p>
        </w:tc>
        <w:tc>
          <w:tcPr>
            <w:tcW w:w="1040" w:type="dxa"/>
            <w:vAlign w:val="bottom"/>
            <w:shd w:val="clear" w:color="auto" w:fill="D8D8D8"/>
          </w:tcPr>
          <w:p>
            <w:pPr>
              <w:jc w:val="right"/>
              <w:ind w:right="273"/>
              <w:spacing w:after="0"/>
              <w:rPr>
                <w:sz w:val="20"/>
                <w:szCs w:val="20"/>
                <w:color w:val="auto"/>
              </w:rPr>
            </w:pPr>
            <w:r>
              <w:rPr>
                <w:rFonts w:ascii="Arial" w:cs="Arial" w:eastAsia="Arial" w:hAnsi="Arial"/>
                <w:sz w:val="13"/>
                <w:szCs w:val="13"/>
                <w:color w:val="auto"/>
              </w:rPr>
              <w:t>797,536</w:t>
            </w:r>
          </w:p>
        </w:tc>
        <w:tc>
          <w:tcPr>
            <w:tcW w:w="1420" w:type="dxa"/>
            <w:vAlign w:val="bottom"/>
            <w:shd w:val="clear" w:color="auto" w:fill="D8D8D8"/>
          </w:tcPr>
          <w:p>
            <w:pPr>
              <w:jc w:val="right"/>
              <w:ind w:right="613"/>
              <w:spacing w:after="0"/>
              <w:rPr>
                <w:sz w:val="20"/>
                <w:szCs w:val="20"/>
                <w:color w:val="auto"/>
              </w:rPr>
            </w:pPr>
            <w:r>
              <w:rPr>
                <w:rFonts w:ascii="Arial" w:cs="Arial" w:eastAsia="Arial" w:hAnsi="Arial"/>
                <w:sz w:val="13"/>
                <w:szCs w:val="13"/>
                <w:color w:val="auto"/>
              </w:rPr>
              <w:t>0</w:t>
            </w:r>
          </w:p>
        </w:tc>
        <w:tc>
          <w:tcPr>
            <w:tcW w:w="114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0.71</w:t>
            </w:r>
          </w:p>
        </w:tc>
        <w:tc>
          <w:tcPr>
            <w:tcW w:w="2700" w:type="dxa"/>
            <w:vAlign w:val="bottom"/>
            <w:shd w:val="clear" w:color="auto" w:fill="D8D8D8"/>
          </w:tcPr>
          <w:p>
            <w:pPr>
              <w:jc w:val="right"/>
              <w:ind w:right="1893"/>
              <w:spacing w:after="0"/>
              <w:rPr>
                <w:sz w:val="20"/>
                <w:szCs w:val="20"/>
                <w:color w:val="auto"/>
              </w:rPr>
            </w:pPr>
            <w:r>
              <w:rPr>
                <w:rFonts w:ascii="Arial" w:cs="Arial" w:eastAsia="Arial" w:hAnsi="Arial"/>
                <w:sz w:val="13"/>
                <w:szCs w:val="13"/>
                <w:color w:val="auto"/>
              </w:rPr>
              <w:t>8/6/2024</w:t>
            </w:r>
          </w:p>
        </w:tc>
      </w:tr>
      <w:tr>
        <w:trPr>
          <w:trHeight w:val="149"/>
        </w:trPr>
        <w:tc>
          <w:tcPr>
            <w:tcW w:w="3280" w:type="dxa"/>
            <w:vAlign w:val="bottom"/>
            <w:tcBorders>
              <w:bottom w:val="single" w:sz="8" w:color="auto"/>
            </w:tcBorders>
            <w:shd w:val="clear" w:color="auto" w:fill="D8D8D8"/>
          </w:tcPr>
          <w:p>
            <w:pPr>
              <w:spacing w:after="0"/>
              <w:rPr>
                <w:sz w:val="12"/>
                <w:szCs w:val="12"/>
                <w:color w:val="auto"/>
              </w:rPr>
            </w:pPr>
          </w:p>
        </w:tc>
        <w:tc>
          <w:tcPr>
            <w:tcW w:w="11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color w:val="auto"/>
              </w:rPr>
              <w:t>9/9/2013</w:t>
            </w:r>
          </w:p>
        </w:tc>
        <w:tc>
          <w:tcPr>
            <w:tcW w:w="340" w:type="dxa"/>
            <w:vAlign w:val="bottom"/>
            <w:tcBorders>
              <w:bottom w:val="single" w:sz="8" w:color="auto"/>
            </w:tcBorders>
            <w:shd w:val="clear" w:color="auto" w:fill="D8D8D8"/>
          </w:tcPr>
          <w:p>
            <w:pPr>
              <w:jc w:val="right"/>
              <w:ind w:right="143"/>
              <w:spacing w:after="0"/>
              <w:rPr>
                <w:sz w:val="20"/>
                <w:szCs w:val="20"/>
                <w:color w:val="auto"/>
              </w:rPr>
            </w:pPr>
            <w:r>
              <w:rPr>
                <w:rFonts w:ascii="Arial" w:cs="Arial" w:eastAsia="Arial" w:hAnsi="Arial"/>
                <w:sz w:val="11"/>
                <w:szCs w:val="11"/>
                <w:color w:val="auto"/>
                <w:w w:val="88"/>
              </w:rPr>
              <w:t>(4)</w:t>
            </w:r>
          </w:p>
        </w:tc>
        <w:tc>
          <w:tcPr>
            <w:tcW w:w="1040" w:type="dxa"/>
            <w:vAlign w:val="bottom"/>
            <w:tcBorders>
              <w:bottom w:val="single" w:sz="8" w:color="auto"/>
            </w:tcBorders>
            <w:shd w:val="clear" w:color="auto" w:fill="D8D8D8"/>
          </w:tcPr>
          <w:p>
            <w:pPr>
              <w:jc w:val="right"/>
              <w:ind w:right="273"/>
              <w:spacing w:after="0"/>
              <w:rPr>
                <w:sz w:val="20"/>
                <w:szCs w:val="20"/>
                <w:color w:val="auto"/>
              </w:rPr>
            </w:pPr>
            <w:r>
              <w:rPr>
                <w:rFonts w:ascii="Arial" w:cs="Arial" w:eastAsia="Arial" w:hAnsi="Arial"/>
                <w:sz w:val="13"/>
                <w:szCs w:val="13"/>
                <w:color w:val="auto"/>
              </w:rPr>
              <w:t>82,500</w:t>
            </w:r>
          </w:p>
        </w:tc>
        <w:tc>
          <w:tcPr>
            <w:tcW w:w="1420" w:type="dxa"/>
            <w:vAlign w:val="bottom"/>
            <w:tcBorders>
              <w:bottom w:val="single" w:sz="8" w:color="auto"/>
            </w:tcBorders>
            <w:shd w:val="clear" w:color="auto" w:fill="D8D8D8"/>
          </w:tcPr>
          <w:p>
            <w:pPr>
              <w:jc w:val="right"/>
              <w:ind w:right="613"/>
              <w:spacing w:after="0"/>
              <w:rPr>
                <w:sz w:val="20"/>
                <w:szCs w:val="20"/>
                <w:color w:val="auto"/>
              </w:rPr>
            </w:pPr>
            <w:r>
              <w:rPr>
                <w:rFonts w:ascii="Arial" w:cs="Arial" w:eastAsia="Arial" w:hAnsi="Arial"/>
                <w:sz w:val="13"/>
                <w:szCs w:val="13"/>
                <w:color w:val="auto"/>
              </w:rPr>
              <w:t>0</w:t>
            </w:r>
          </w:p>
        </w:tc>
        <w:tc>
          <w:tcPr>
            <w:tcW w:w="114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3"/>
                <w:szCs w:val="13"/>
                <w:color w:val="auto"/>
              </w:rPr>
              <w:t>0.48</w:t>
            </w:r>
          </w:p>
        </w:tc>
        <w:tc>
          <w:tcPr>
            <w:tcW w:w="2700" w:type="dxa"/>
            <w:vAlign w:val="bottom"/>
            <w:tcBorders>
              <w:bottom w:val="single" w:sz="8" w:color="auto"/>
            </w:tcBorders>
            <w:shd w:val="clear" w:color="auto" w:fill="D8D8D8"/>
          </w:tcPr>
          <w:p>
            <w:pPr>
              <w:jc w:val="right"/>
              <w:ind w:right="1893"/>
              <w:spacing w:after="0"/>
              <w:rPr>
                <w:sz w:val="20"/>
                <w:szCs w:val="20"/>
                <w:color w:val="auto"/>
              </w:rPr>
            </w:pPr>
            <w:r>
              <w:rPr>
                <w:rFonts w:ascii="Arial" w:cs="Arial" w:eastAsia="Arial" w:hAnsi="Arial"/>
                <w:sz w:val="13"/>
                <w:szCs w:val="13"/>
                <w:color w:val="auto"/>
              </w:rPr>
              <w:t>11/5/2023</w:t>
            </w:r>
          </w:p>
        </w:tc>
      </w:tr>
    </w:tbl>
    <w:p>
      <w:pPr>
        <w:spacing w:after="0" w:line="121" w:lineRule="exact"/>
        <w:rPr>
          <w:sz w:val="20"/>
          <w:szCs w:val="20"/>
          <w:color w:val="auto"/>
        </w:rPr>
      </w:pPr>
    </w:p>
    <w:p>
      <w:pPr>
        <w:ind w:left="440" w:right="100" w:hanging="324"/>
        <w:spacing w:after="0" w:line="258" w:lineRule="auto"/>
        <w:tabs>
          <w:tab w:leader="none" w:pos="4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Option vests in full upon the day our Board determines that the primary endpoint in the SER-287 Phase 2b study has been attained, subject to the holder’s continued employment with us through the applicable vesting date.</w:t>
      </w:r>
    </w:p>
    <w:p>
      <w:pPr>
        <w:spacing w:after="0" w:line="43" w:lineRule="exact"/>
        <w:rPr>
          <w:rFonts w:ascii="Arial" w:cs="Arial" w:eastAsia="Arial" w:hAnsi="Arial"/>
          <w:sz w:val="13"/>
          <w:szCs w:val="13"/>
          <w:color w:val="auto"/>
        </w:rPr>
      </w:pPr>
    </w:p>
    <w:p>
      <w:pPr>
        <w:ind w:left="440" w:right="200" w:hanging="324"/>
        <w:spacing w:after="0" w:line="248" w:lineRule="auto"/>
        <w:tabs>
          <w:tab w:leader="none" w:pos="4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“Employment and Separation Agreements.”</w:t>
      </w:r>
    </w:p>
    <w:p>
      <w:pPr>
        <w:spacing w:after="0" w:line="49" w:lineRule="exact"/>
        <w:rPr>
          <w:rFonts w:ascii="Arial" w:cs="Arial" w:eastAsia="Arial" w:hAnsi="Arial"/>
          <w:sz w:val="13"/>
          <w:szCs w:val="13"/>
          <w:color w:val="auto"/>
        </w:rPr>
      </w:pPr>
    </w:p>
    <w:p>
      <w:pPr>
        <w:ind w:left="440" w:right="100" w:hanging="324"/>
        <w:spacing w:after="0" w:line="248" w:lineRule="auto"/>
        <w:tabs>
          <w:tab w:leader="none" w:pos="4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restricted stock units vest as to 20% of the award on the first anniversary of the vesting commencement date, 30% on the second anniversary of the vesting commencement date and 50% on the third anniversary of the vesting commencement date, subject to the holder’s continued employment with us through the applicable vesting date and potential accelerated vesting as described in the section titled “Employment and Separation Agreements.”</w:t>
      </w:r>
    </w:p>
    <w:p>
      <w:pPr>
        <w:spacing w:after="0" w:line="49" w:lineRule="exact"/>
        <w:rPr>
          <w:rFonts w:ascii="Arial" w:cs="Arial" w:eastAsia="Arial" w:hAnsi="Arial"/>
          <w:sz w:val="13"/>
          <w:szCs w:val="13"/>
          <w:color w:val="auto"/>
        </w:rPr>
      </w:pPr>
    </w:p>
    <w:p>
      <w:pPr>
        <w:ind w:left="440" w:right="20" w:hanging="324"/>
        <w:spacing w:after="0" w:line="248" w:lineRule="auto"/>
        <w:tabs>
          <w:tab w:leader="none" w:pos="4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Option vests as to 25% of the total shares subject to the option on the first anniversary of the vesting commencement date, and as to 6.25% of the shares subject to the option on the last day of each calendar quarter during the three-year period thereafter, subject to the holder’s continued employment with us through the applicable vesting date and potential accelerated vesting as described in the section titled “Employment and Separation Agreements.”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140"/>
          </w:cols>
          <w:pgMar w:left="32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180" w:hanging="324"/>
        <w:spacing w:after="0" w:line="258" w:lineRule="auto"/>
        <w:tabs>
          <w:tab w:leader="none" w:pos="4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Option vests as to one-third of the total shares subject to the option on each of the first three anniversaries of the vesting commencement date, subject to the holder’s continued employment with us through the applicable vesting date and potential accelerated vesting as described in the section titled “Employment and Separation Agreements.”</w:t>
      </w:r>
    </w:p>
    <w:p>
      <w:pPr>
        <w:spacing w:after="0" w:line="43" w:lineRule="exact"/>
        <w:rPr>
          <w:rFonts w:ascii="Arial" w:cs="Arial" w:eastAsia="Arial" w:hAnsi="Arial"/>
          <w:sz w:val="13"/>
          <w:szCs w:val="13"/>
          <w:color w:val="auto"/>
        </w:rPr>
      </w:pPr>
    </w:p>
    <w:p>
      <w:pPr>
        <w:ind w:left="440" w:right="260" w:hanging="324"/>
        <w:spacing w:after="0" w:line="258" w:lineRule="auto"/>
        <w:tabs>
          <w:tab w:leader="none" w:pos="4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Option vests in full on the earlier of June 13, 2020 or the day before the Company’s 2020 Annual Meeting of Shareholders, subject to the holder’s continued service as a board advisor to the Company through the vesting date.</w:t>
      </w:r>
    </w:p>
    <w:p>
      <w:pPr>
        <w:spacing w:after="0" w:line="43" w:lineRule="exact"/>
        <w:rPr>
          <w:rFonts w:ascii="Arial" w:cs="Arial" w:eastAsia="Arial" w:hAnsi="Arial"/>
          <w:sz w:val="13"/>
          <w:szCs w:val="13"/>
          <w:color w:val="auto"/>
        </w:rPr>
      </w:pPr>
    </w:p>
    <w:p>
      <w:pPr>
        <w:ind w:left="440" w:right="440" w:hanging="324"/>
        <w:spacing w:after="0" w:line="258" w:lineRule="auto"/>
        <w:tabs>
          <w:tab w:leader="none" w:pos="4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Option vests as to 50% of the award upon the filing of a biologics license application for SER-109 with the United States Food and Drug Administration (“FDA”) and as to an additional 50% of such shares upon the FDA’s approval of SER-109, subject to the holder’s continued employment with us through the applicable vesting date.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EMPLOYMENT AND SEPARATION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entered into employment agreements with each of our NEOs. Certain key terms of these agreements are described below.</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Eric D. Shaff</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January 2019, in connection with Mr. Shaff’s appointment as the Company’s President and Chief Executive Officer and as a member of our Board, we entered into an employment agreement with Mr. Shaff that superseded the terms of his prior employment agreement with us. The employment agreement entitles Mr. Shaff to receive an annual base salary of $540,000, subject to periodic review and adjustment by our Board or its Compensation Committee, and an annual target bonus opportunity of 55% of his annual base salary. In connection with his appointment as the Company’s President and Chief Executive Officer, we also granted Mr. Shaff a stock option under our 2015 Incentive Award Plan to purchase 275,000 shares of our Common Stock, which will vest in accordance with our standard four-year vesting schedule, subject to Mr. Shaff’s continued service.</w:t>
      </w:r>
    </w:p>
    <w:p>
      <w:pPr>
        <w:spacing w:after="0" w:line="95"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Under the terms of his employment agreement, if we terminate Mr. Shaff’s employment without cause or he resigns for good reason, subject to his timely executing a release of claims in our favor, Mr. Shaff is entitled to receive 12 months of continued base salary and up to 12 months of Company-paid continued medical, dental or vision coverage pursuant to COBRA, if elected. If the termination occurs within 60 days prior to or 12 months following a change in control, in lieu of the foregoing, he is entitled to receive 18 months of continued base salary, up to 18 months of Company-paid continued medical, dental or vision coverage pursuant to COBRA, if elected, and accelerated vesting of time-based equity awards that he holds.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employment agreement:</w:t>
      </w:r>
    </w:p>
    <w:p>
      <w:pPr>
        <w:spacing w:after="0" w:line="117" w:lineRule="exact"/>
        <w:rPr>
          <w:sz w:val="20"/>
          <w:szCs w:val="20"/>
          <w:color w:val="auto"/>
        </w:rPr>
      </w:pPr>
    </w:p>
    <w:p>
      <w:pPr>
        <w:ind w:left="980" w:right="80" w:hanging="432"/>
        <w:spacing w:after="0" w:line="23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generally means Mr. Shaff’s (i) failure to substantially perform his duties with us (other than due to disability) or materially comply with our policies; (ii) material failure to carry out or comply with any lawful and reasonable directive of the Board; (iii) breach of a material provision of his employment agreement; (iv) conviction, plea of no contest or imposition of unadjudicated probation for any felony or crime involving moral turpitude; (v) unlawful use (including being under the influence) or possession of illegal drugs on our (or our affiliate’s) premises or while performing his duties and responsibilities under his employment agreement; or (vi) commission of an act of fraud, embezzlement, misappropriation, willful misconduct or breach of fiduciary duty against us or any of our affiliates.</w:t>
      </w:r>
    </w:p>
    <w:p>
      <w:pPr>
        <w:spacing w:after="0" w:line="54" w:lineRule="exact"/>
        <w:rPr>
          <w:rFonts w:ascii="Arial" w:cs="Arial" w:eastAsia="Arial" w:hAnsi="Arial"/>
          <w:sz w:val="18"/>
          <w:szCs w:val="18"/>
          <w:color w:val="auto"/>
        </w:rPr>
      </w:pPr>
    </w:p>
    <w:p>
      <w:pPr>
        <w:ind w:left="980" w:right="380" w:hanging="432"/>
        <w:spacing w:after="0" w:line="23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“Good reason” generally means, subject to certain notice requirements and cure rights, without Mr. Shaff’s consent, (i) a reduction in his base salary (except for a reduction of less than 10% contemporaneously affecting other senior executives); (ii) a material reduction in his authority or areas of responsibility; or (iii) a relocation of his primary office more than 50 miles outside of the Boston metropolitan area.</w:t>
      </w:r>
    </w:p>
    <w:p>
      <w:pPr>
        <w:spacing w:after="0" w:line="97"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Mr. Shaff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Thomas J. DesRosier</w:t>
      </w:r>
    </w:p>
    <w:p>
      <w:pPr>
        <w:spacing w:after="0" w:line="12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Under the terms of our employment agreement with Mr. DesRosier, if we terminate Mr. DesRosier’s employment without cause or he resigns for good reason, subject to his timely executing a release of claims in our favor, he is entitled to receive 12 months of continued base salary and up to 12 months of Company-paid continued medical, dental or vision coverage pursuant to COBRA, if elected. If the termination occurs within 60 days prior to or 12 months following a change in control, Mr. DesRosier is also entitled to accelerated vesting of his time-based equity awards.</w:t>
      </w:r>
    </w:p>
    <w:p>
      <w:pPr>
        <w:spacing w:after="0" w:line="94" w:lineRule="exact"/>
        <w:rPr>
          <w:sz w:val="20"/>
          <w:szCs w:val="20"/>
          <w:color w:val="auto"/>
        </w:rPr>
      </w:pPr>
    </w:p>
    <w:p>
      <w:pPr>
        <w:ind w:left="120" w:right="480"/>
        <w:spacing w:after="0" w:line="238" w:lineRule="auto"/>
        <w:rPr>
          <w:sz w:val="20"/>
          <w:szCs w:val="20"/>
          <w:color w:val="auto"/>
        </w:rPr>
      </w:pPr>
      <w:r>
        <w:rPr>
          <w:rFonts w:ascii="Arial" w:cs="Arial" w:eastAsia="Arial" w:hAnsi="Arial"/>
          <w:sz w:val="18"/>
          <w:szCs w:val="18"/>
          <w:color w:val="auto"/>
        </w:rPr>
        <w:t>For purposes of the employment agreement, “cause” and “good reason” have the same meanings as in Mr. Shaff’s employment agreement. Mr. DesRosier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Matthew R. Henn, Ph.D.</w:t>
      </w:r>
    </w:p>
    <w:p>
      <w:pPr>
        <w:spacing w:after="0" w:line="12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Under the terms of our employment agreement with Dr. Henn, if we terminate Dr. Henn employment without cause or he resigns for good reason, subject to his timely executing a release of claims in our favor, he is entitled to receive 12 months of continued base salary and up to 12 months of Company-paid continued medical, dental or vision coverage pursuant to COBRA, if elected. If the termination occurs within 60 days prior to or 12 months following a change in control, Dr. Henn is also entitled to accelerated vesting of his time-based equity awards.</w:t>
      </w:r>
    </w:p>
    <w:p>
      <w:pPr>
        <w:spacing w:after="0" w:line="94"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color w:val="auto"/>
        </w:rPr>
        <w:t>For purposes of the employment agreement, “cause” and “good reason” have the same meanings as in Mr. Shaff’s employment agreement. Dr. Henn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Roger J. Pomerantz, M.D.</w:t>
      </w:r>
    </w:p>
    <w:p>
      <w:pPr>
        <w:spacing w:after="0" w:line="126"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Dr. Pomerantz’s employment with us terminated on January 14, 2019. In connection with his resignation, we and Dr. Pomerantz entered into a separation agreement and release that provides for Dr. Pomerantz to receive 12 months of continued base salary, his full 2018 annual cash bonus amount and up to 12 months of continued medical, dental or vision coverage pursuant to COBRA, if elected.</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 Pomerantz continued to serve as a director and as Chairman of our Board following his employment termination and was eligible to receive compensation in accordance with and subject to the terms of our Non-Employee Director Compensation Program described below until his resignation from our Board effective December 12, 2019.</w:t>
      </w:r>
    </w:p>
    <w:p>
      <w:pPr>
        <w:spacing w:after="0" w:line="95" w:lineRule="exact"/>
        <w:rPr>
          <w:sz w:val="20"/>
          <w:szCs w:val="20"/>
          <w:color w:val="auto"/>
        </w:rPr>
      </w:pPr>
    </w:p>
    <w:p>
      <w:pPr>
        <w:ind w:left="120" w:right="20"/>
        <w:spacing w:after="0" w:line="251" w:lineRule="auto"/>
        <w:rPr>
          <w:sz w:val="20"/>
          <w:szCs w:val="20"/>
          <w:color w:val="auto"/>
        </w:rPr>
      </w:pPr>
      <w:r>
        <w:rPr>
          <w:rFonts w:ascii="Arial" w:cs="Arial" w:eastAsia="Arial" w:hAnsi="Arial"/>
          <w:sz w:val="17"/>
          <w:szCs w:val="17"/>
          <w:color w:val="auto"/>
        </w:rPr>
        <w:t>Following Dr. Pomerantz’s resignation from our Board, we entered into an advisory agreement with Dr. Pomerantz under which he will continue to serve as an advisor to our Board through the agreement’s initial term, which will expire on the date the Company publicly announces the top-line results of the SER-287 Phase 2b clinical study, unless the agreement is earlier terminated. The advisory agreement provides for Dr. Pomerantz to receive during the advisory period quarterly fees of $8,750, prorated for any partial quarter of service, continued vesting of the stock option granted to Dr. Pomerantz in June 2019 for his service as a non-employee director and continued exercisability of his outstanding company stock options. If we terminate the advisory agreement prior to expiration of its initial term other than due to Dr. Pomerantz’s material breach of the agreement, the agreement provides for Dr. Pomerantz to receive the payments and benefits, including continued vesting of the June 2019 stock options and continued exercisability of his company stock options, provided under the agreement as if he had continued providing services under the agreement until the expiration of its initial term.</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Directors who are also our employees do not receive compensation for their service on our Board. Mr. Shaff served as a director and executive officer of our company during 2019, and Dr. Pomerantz served as a non-employee director and executive officer of our company during 2019. Refer to the 2019 Summary Compensation Table and related narrative disclosure above for information regarding the compensation each received from us during 2019.</w:t>
      </w:r>
    </w:p>
    <w:p>
      <w:pPr>
        <w:spacing w:after="0" w:line="97"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We maintain a compensation program for our non-employee directors providing for each non-employee director to receive the following amounts for serving on our Board:</w:t>
      </w:r>
    </w:p>
    <w:p>
      <w:pPr>
        <w:spacing w:after="0" w:line="102" w:lineRule="exact"/>
        <w:rPr>
          <w:sz w:val="20"/>
          <w:szCs w:val="20"/>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option to purchase 30,000 shares of our Common Stock upon the director’s initial election or appointment to our Board;</w:t>
      </w:r>
    </w:p>
    <w:p>
      <w:pPr>
        <w:spacing w:after="0" w:line="63" w:lineRule="exact"/>
        <w:rPr>
          <w:rFonts w:ascii="Arial" w:cs="Arial" w:eastAsia="Arial" w:hAnsi="Arial"/>
          <w:sz w:val="18"/>
          <w:szCs w:val="18"/>
          <w:color w:val="auto"/>
        </w:rPr>
      </w:pPr>
    </w:p>
    <w:p>
      <w:pPr>
        <w:ind w:left="980" w:right="100" w:hanging="432"/>
        <w:spacing w:after="0" w:line="24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director has served on our Board for at least six months as of the date of an annual meeting of stockholders, an option to purchase 15,000 shares of our Common Stock on the date of the annual meeting;</w:t>
      </w:r>
    </w:p>
    <w:p>
      <w:pPr>
        <w:spacing w:after="0" w:line="48" w:lineRule="exact"/>
        <w:rPr>
          <w:rFonts w:ascii="Arial" w:cs="Arial" w:eastAsia="Arial" w:hAnsi="Arial"/>
          <w:sz w:val="18"/>
          <w:szCs w:val="18"/>
          <w:color w:val="auto"/>
        </w:rPr>
      </w:pPr>
    </w:p>
    <w:p>
      <w:pPr>
        <w:ind w:left="980" w:right="780" w:hanging="432"/>
        <w:spacing w:after="0" w:line="24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director fee of $35,000, and if the director serves as chairman of our Board or lead independent director, an additional annual director fee of $20,000; and</w:t>
      </w:r>
    </w:p>
    <w:p>
      <w:pPr>
        <w:spacing w:after="0" w:line="48"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director serves on a committee of our Board, an additional annual fee as follows:</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chairman of the Audit Committee—$15,000;</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Audit Committee member other than the chairman—$7,500;</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chairman of the Compensation Committee—$10,000;</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chairman—$5,000;</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Committee—$7,000; and</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chairman—$3,500.</w:t>
      </w:r>
    </w:p>
    <w:p>
      <w:pPr>
        <w:spacing w:after="0" w:line="10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Stock options granted to our non-employee directors under the program have an exercise price equal to the fair market value of our Common Stock on the grant date. The stock options granted upon a director’s initial election or appointment vest in four annual installments following the grant date. The stock options granted annually to directors vest in a single installment on the earlier of the day before the next annual meeting of stockholders or the first anniversary of the grant date. In addition, all unvested stock options vest in full immediately prior to a change in control.</w:t>
      </w:r>
    </w:p>
    <w:p>
      <w:pPr>
        <w:spacing w:after="0" w:line="94"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Each member of our Board is entitled to be reimbursed for reasonable travel and other expenses incurred in connection with attending meetings of the Board and any committee of the Board on which he or she serves.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2018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2220" w:type="dxa"/>
            <w:vAlign w:val="bottom"/>
            <w:shd w:val="clear" w:color="auto" w:fill="E5E5E5"/>
          </w:tcPr>
          <w:p>
            <w:pPr>
              <w:spacing w:after="0"/>
              <w:rPr>
                <w:sz w:val="12"/>
                <w:szCs w:val="12"/>
                <w:color w:val="auto"/>
              </w:rPr>
            </w:pPr>
          </w:p>
        </w:tc>
        <w:tc>
          <w:tcPr>
            <w:tcW w:w="1340" w:type="dxa"/>
            <w:vAlign w:val="bottom"/>
            <w:shd w:val="clear" w:color="auto" w:fill="E5E5E5"/>
          </w:tcPr>
          <w:p>
            <w:pPr>
              <w:spacing w:after="0"/>
              <w:rPr>
                <w:sz w:val="12"/>
                <w:szCs w:val="12"/>
                <w:color w:val="auto"/>
              </w:rPr>
            </w:pPr>
          </w:p>
        </w:tc>
        <w:tc>
          <w:tcPr>
            <w:tcW w:w="1700" w:type="dxa"/>
            <w:vAlign w:val="bottom"/>
            <w:shd w:val="clear" w:color="auto" w:fill="E5E5E5"/>
          </w:tcPr>
          <w:p>
            <w:pPr>
              <w:spacing w:after="0"/>
              <w:rPr>
                <w:sz w:val="12"/>
                <w:szCs w:val="12"/>
                <w:color w:val="auto"/>
              </w:rPr>
            </w:pPr>
          </w:p>
        </w:tc>
        <w:tc>
          <w:tcPr>
            <w:tcW w:w="2240" w:type="dxa"/>
            <w:vAlign w:val="bottom"/>
            <w:gridSpan w:val="2"/>
            <w:shd w:val="clear" w:color="auto" w:fill="E5E5E5"/>
          </w:tcPr>
          <w:p>
            <w:pPr>
              <w:ind w:left="520"/>
              <w:spacing w:after="0"/>
              <w:rPr>
                <w:sz w:val="20"/>
                <w:szCs w:val="20"/>
                <w:color w:val="auto"/>
              </w:rPr>
            </w:pPr>
            <w:r>
              <w:rPr>
                <w:rFonts w:ascii="Arial" w:cs="Arial" w:eastAsia="Arial" w:hAnsi="Arial"/>
                <w:sz w:val="13"/>
                <w:szCs w:val="13"/>
                <w:b w:val="1"/>
                <w:bCs w:val="1"/>
                <w:color w:val="auto"/>
              </w:rPr>
              <w:t>Option Awards ($)</w:t>
            </w:r>
          </w:p>
        </w:tc>
        <w:tc>
          <w:tcPr>
            <w:tcW w:w="70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r>
      <w:tr>
        <w:trPr>
          <w:trHeight w:val="165"/>
        </w:trPr>
        <w:tc>
          <w:tcPr>
            <w:tcW w:w="222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Name</w:t>
            </w:r>
          </w:p>
        </w:tc>
        <w:tc>
          <w:tcPr>
            <w:tcW w:w="3040" w:type="dxa"/>
            <w:vAlign w:val="bottom"/>
            <w:tcBorders>
              <w:bottom w:val="single" w:sz="8" w:color="auto"/>
            </w:tcBorders>
            <w:gridSpan w:val="2"/>
            <w:shd w:val="clear" w:color="auto" w:fill="E5E5E5"/>
          </w:tcPr>
          <w:p>
            <w:pPr>
              <w:ind w:left="480"/>
              <w:spacing w:after="0"/>
              <w:rPr>
                <w:sz w:val="20"/>
                <w:szCs w:val="20"/>
                <w:color w:val="auto"/>
              </w:rPr>
            </w:pPr>
            <w:r>
              <w:rPr>
                <w:rFonts w:ascii="Arial" w:cs="Arial" w:eastAsia="Arial" w:hAnsi="Arial"/>
                <w:sz w:val="13"/>
                <w:szCs w:val="13"/>
                <w:b w:val="1"/>
                <w:bCs w:val="1"/>
                <w:color w:val="auto"/>
              </w:rPr>
              <w:t>Fees Earned or Paid in Cash ($)</w:t>
            </w:r>
          </w:p>
        </w:tc>
        <w:tc>
          <w:tcPr>
            <w:tcW w:w="800" w:type="dxa"/>
            <w:vAlign w:val="bottom"/>
            <w:tcBorders>
              <w:bottom w:val="single" w:sz="8" w:color="auto"/>
            </w:tcBorders>
            <w:shd w:val="clear" w:color="auto" w:fill="E5E5E5"/>
          </w:tcPr>
          <w:p>
            <w:pPr>
              <w:spacing w:after="0"/>
              <w:rPr>
                <w:sz w:val="14"/>
                <w:szCs w:val="14"/>
                <w:color w:val="auto"/>
              </w:rPr>
            </w:pPr>
          </w:p>
        </w:tc>
        <w:tc>
          <w:tcPr>
            <w:tcW w:w="1440" w:type="dxa"/>
            <w:vAlign w:val="bottom"/>
            <w:tcBorders>
              <w:bottom w:val="single" w:sz="8" w:color="auto"/>
            </w:tcBorders>
            <w:shd w:val="clear" w:color="auto" w:fill="E5E5E5"/>
          </w:tcPr>
          <w:p>
            <w:pPr>
              <w:jc w:val="right"/>
              <w:ind w:right="993"/>
              <w:spacing w:after="0"/>
              <w:rPr>
                <w:sz w:val="20"/>
                <w:szCs w:val="20"/>
                <w:color w:val="auto"/>
              </w:rPr>
            </w:pPr>
            <w:r>
              <w:rPr>
                <w:rFonts w:ascii="Arial" w:cs="Arial" w:eastAsia="Arial" w:hAnsi="Arial"/>
                <w:sz w:val="13"/>
                <w:szCs w:val="13"/>
                <w:b w:val="1"/>
                <w:bCs w:val="1"/>
                <w:color w:val="auto"/>
              </w:rPr>
              <w:t>(1)</w:t>
            </w:r>
          </w:p>
        </w:tc>
        <w:tc>
          <w:tcPr>
            <w:tcW w:w="1760" w:type="dxa"/>
            <w:vAlign w:val="bottom"/>
            <w:tcBorders>
              <w:bottom w:val="single" w:sz="8" w:color="auto"/>
            </w:tcBorders>
            <w:gridSpan w:val="2"/>
            <w:shd w:val="clear" w:color="auto" w:fill="E5E5E5"/>
          </w:tcPr>
          <w:p>
            <w:pPr>
              <w:jc w:val="right"/>
              <w:ind w:right="573"/>
              <w:spacing w:after="0"/>
              <w:rPr>
                <w:sz w:val="20"/>
                <w:szCs w:val="20"/>
                <w:color w:val="auto"/>
              </w:rPr>
            </w:pPr>
            <w:r>
              <w:rPr>
                <w:rFonts w:ascii="Arial" w:cs="Arial" w:eastAsia="Arial" w:hAnsi="Arial"/>
                <w:sz w:val="13"/>
                <w:szCs w:val="13"/>
                <w:b w:val="1"/>
                <w:bCs w:val="1"/>
                <w:color w:val="auto"/>
              </w:rPr>
              <w:t>Total ($)</w:t>
            </w:r>
          </w:p>
        </w:tc>
      </w:tr>
      <w:tr>
        <w:trPr>
          <w:trHeight w:val="142"/>
        </w:trPr>
        <w:tc>
          <w:tcPr>
            <w:tcW w:w="2220" w:type="dxa"/>
            <w:vAlign w:val="bottom"/>
          </w:tcPr>
          <w:p>
            <w:pPr>
              <w:ind w:left="80"/>
              <w:spacing w:after="0" w:line="142" w:lineRule="exact"/>
              <w:rPr>
                <w:sz w:val="20"/>
                <w:szCs w:val="20"/>
                <w:color w:val="auto"/>
              </w:rPr>
            </w:pPr>
            <w:r>
              <w:rPr>
                <w:rFonts w:ascii="Arial" w:cs="Arial" w:eastAsia="Arial" w:hAnsi="Arial"/>
                <w:sz w:val="13"/>
                <w:szCs w:val="13"/>
                <w:color w:val="auto"/>
              </w:rPr>
              <w:t>Noubar B. Afeyan, Ph.D.</w:t>
            </w:r>
          </w:p>
        </w:tc>
        <w:tc>
          <w:tcPr>
            <w:tcW w:w="1340" w:type="dxa"/>
            <w:vAlign w:val="bottom"/>
          </w:tcPr>
          <w:p>
            <w:pPr>
              <w:ind w:left="480"/>
              <w:spacing w:after="0" w:line="142" w:lineRule="exact"/>
              <w:rPr>
                <w:sz w:val="20"/>
                <w:szCs w:val="20"/>
                <w:color w:val="auto"/>
              </w:rPr>
            </w:pPr>
            <w:r>
              <w:rPr>
                <w:rFonts w:ascii="Arial" w:cs="Arial" w:eastAsia="Arial" w:hAnsi="Arial"/>
                <w:sz w:val="13"/>
                <w:szCs w:val="13"/>
                <w:color w:val="auto"/>
              </w:rPr>
              <w:t>$</w:t>
            </w:r>
          </w:p>
        </w:tc>
        <w:tc>
          <w:tcPr>
            <w:tcW w:w="1700" w:type="dxa"/>
            <w:vAlign w:val="bottom"/>
          </w:tcPr>
          <w:p>
            <w:pPr>
              <w:jc w:val="right"/>
              <w:ind w:right="453"/>
              <w:spacing w:after="0" w:line="142" w:lineRule="exact"/>
              <w:rPr>
                <w:sz w:val="20"/>
                <w:szCs w:val="20"/>
                <w:color w:val="auto"/>
              </w:rPr>
            </w:pPr>
            <w:r>
              <w:rPr>
                <w:rFonts w:ascii="Arial" w:cs="Arial" w:eastAsia="Arial" w:hAnsi="Arial"/>
                <w:sz w:val="13"/>
                <w:szCs w:val="13"/>
                <w:color w:val="auto"/>
              </w:rPr>
              <w:t>62,000</w:t>
            </w:r>
          </w:p>
        </w:tc>
        <w:tc>
          <w:tcPr>
            <w:tcW w:w="800" w:type="dxa"/>
            <w:vAlign w:val="bottom"/>
          </w:tcPr>
          <w:p>
            <w:pPr>
              <w:ind w:left="520"/>
              <w:spacing w:after="0" w:line="142" w:lineRule="exact"/>
              <w:rPr>
                <w:sz w:val="20"/>
                <w:szCs w:val="20"/>
                <w:color w:val="auto"/>
              </w:rPr>
            </w:pPr>
            <w:r>
              <w:rPr>
                <w:rFonts w:ascii="Arial" w:cs="Arial" w:eastAsia="Arial" w:hAnsi="Arial"/>
                <w:sz w:val="13"/>
                <w:szCs w:val="13"/>
                <w:color w:val="auto"/>
              </w:rPr>
              <w:t>$</w:t>
            </w:r>
          </w:p>
        </w:tc>
        <w:tc>
          <w:tcPr>
            <w:tcW w:w="1440" w:type="dxa"/>
            <w:vAlign w:val="bottom"/>
          </w:tcPr>
          <w:p>
            <w:pPr>
              <w:jc w:val="right"/>
              <w:ind w:right="493"/>
              <w:spacing w:after="0" w:line="142" w:lineRule="exact"/>
              <w:rPr>
                <w:sz w:val="20"/>
                <w:szCs w:val="20"/>
                <w:color w:val="auto"/>
              </w:rPr>
            </w:pPr>
            <w:r>
              <w:rPr>
                <w:rFonts w:ascii="Arial" w:cs="Arial" w:eastAsia="Arial" w:hAnsi="Arial"/>
                <w:sz w:val="13"/>
                <w:szCs w:val="13"/>
                <w:color w:val="auto"/>
              </w:rPr>
              <w:t>33,152</w:t>
            </w:r>
          </w:p>
        </w:tc>
        <w:tc>
          <w:tcPr>
            <w:tcW w:w="700" w:type="dxa"/>
            <w:vAlign w:val="bottom"/>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493"/>
              <w:spacing w:after="0" w:line="142" w:lineRule="exact"/>
              <w:rPr>
                <w:sz w:val="20"/>
                <w:szCs w:val="20"/>
                <w:color w:val="auto"/>
              </w:rPr>
            </w:pPr>
            <w:r>
              <w:rPr>
                <w:rFonts w:ascii="Arial" w:cs="Arial" w:eastAsia="Arial" w:hAnsi="Arial"/>
                <w:sz w:val="13"/>
                <w:szCs w:val="13"/>
                <w:color w:val="auto"/>
              </w:rPr>
              <w:t>95,152</w:t>
            </w:r>
          </w:p>
        </w:tc>
      </w:tr>
      <w:tr>
        <w:trPr>
          <w:trHeight w:val="148"/>
        </w:trPr>
        <w:tc>
          <w:tcPr>
            <w:tcW w:w="2220" w:type="dxa"/>
            <w:vAlign w:val="bottom"/>
            <w:shd w:val="clear" w:color="auto" w:fill="E5E5E5"/>
          </w:tcPr>
          <w:p>
            <w:pPr>
              <w:ind w:left="80"/>
              <w:spacing w:after="0"/>
              <w:rPr>
                <w:sz w:val="20"/>
                <w:szCs w:val="20"/>
                <w:color w:val="auto"/>
              </w:rPr>
            </w:pPr>
            <w:r>
              <w:rPr>
                <w:rFonts w:ascii="Arial" w:cs="Arial" w:eastAsia="Arial" w:hAnsi="Arial"/>
                <w:sz w:val="13"/>
                <w:szCs w:val="13"/>
                <w:color w:val="auto"/>
              </w:rPr>
              <w:t>Stephen Berenson (2)</w:t>
            </w:r>
          </w:p>
        </w:tc>
        <w:tc>
          <w:tcPr>
            <w:tcW w:w="1340" w:type="dxa"/>
            <w:vAlign w:val="bottom"/>
            <w:shd w:val="clear" w:color="auto" w:fill="E5E5E5"/>
          </w:tcPr>
          <w:p>
            <w:pPr>
              <w:ind w:left="480"/>
              <w:spacing w:after="0"/>
              <w:rPr>
                <w:sz w:val="20"/>
                <w:szCs w:val="20"/>
                <w:color w:val="auto"/>
              </w:rPr>
            </w:pPr>
            <w:r>
              <w:rPr>
                <w:rFonts w:ascii="Arial" w:cs="Arial" w:eastAsia="Arial" w:hAnsi="Arial"/>
                <w:sz w:val="13"/>
                <w:szCs w:val="13"/>
                <w:color w:val="auto"/>
              </w:rPr>
              <w:t>$</w:t>
            </w:r>
          </w:p>
        </w:tc>
        <w:tc>
          <w:tcPr>
            <w:tcW w:w="1700" w:type="dxa"/>
            <w:vAlign w:val="bottom"/>
            <w:shd w:val="clear" w:color="auto" w:fill="E5E5E5"/>
          </w:tcPr>
          <w:p>
            <w:pPr>
              <w:jc w:val="right"/>
              <w:ind w:right="453"/>
              <w:spacing w:after="0"/>
              <w:rPr>
                <w:sz w:val="20"/>
                <w:szCs w:val="20"/>
                <w:color w:val="auto"/>
              </w:rPr>
            </w:pPr>
            <w:r>
              <w:rPr>
                <w:rFonts w:ascii="Arial" w:cs="Arial" w:eastAsia="Arial" w:hAnsi="Arial"/>
                <w:sz w:val="13"/>
                <w:szCs w:val="13"/>
                <w:color w:val="auto"/>
              </w:rPr>
              <w:t>14,097</w:t>
            </w:r>
          </w:p>
        </w:tc>
        <w:tc>
          <w:tcPr>
            <w:tcW w:w="800" w:type="dxa"/>
            <w:vAlign w:val="bottom"/>
            <w:shd w:val="clear" w:color="auto" w:fill="E5E5E5"/>
          </w:tcPr>
          <w:p>
            <w:pPr>
              <w:ind w:left="520"/>
              <w:spacing w:after="0"/>
              <w:rPr>
                <w:sz w:val="20"/>
                <w:szCs w:val="20"/>
                <w:color w:val="auto"/>
              </w:rPr>
            </w:pPr>
            <w:r>
              <w:rPr>
                <w:rFonts w:ascii="Arial" w:cs="Arial" w:eastAsia="Arial" w:hAnsi="Arial"/>
                <w:sz w:val="13"/>
                <w:szCs w:val="13"/>
                <w:color w:val="auto"/>
              </w:rPr>
              <w:t>$</w:t>
            </w:r>
          </w:p>
        </w:tc>
        <w:tc>
          <w:tcPr>
            <w:tcW w:w="1440" w:type="dxa"/>
            <w:vAlign w:val="bottom"/>
            <w:shd w:val="clear" w:color="auto" w:fill="E5E5E5"/>
          </w:tcPr>
          <w:p>
            <w:pPr>
              <w:jc w:val="right"/>
              <w:ind w:right="493"/>
              <w:spacing w:after="0"/>
              <w:rPr>
                <w:sz w:val="20"/>
                <w:szCs w:val="20"/>
                <w:color w:val="auto"/>
              </w:rPr>
            </w:pPr>
            <w:r>
              <w:rPr>
                <w:rFonts w:ascii="Arial" w:cs="Arial" w:eastAsia="Arial" w:hAnsi="Arial"/>
                <w:sz w:val="13"/>
                <w:szCs w:val="13"/>
                <w:color w:val="auto"/>
              </w:rPr>
              <w:t>48,663</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shd w:val="clear" w:color="auto" w:fill="E5E5E5"/>
          </w:tcPr>
          <w:p>
            <w:pPr>
              <w:jc w:val="right"/>
              <w:ind w:right="493"/>
              <w:spacing w:after="0"/>
              <w:rPr>
                <w:sz w:val="20"/>
                <w:szCs w:val="20"/>
                <w:color w:val="auto"/>
              </w:rPr>
            </w:pPr>
            <w:r>
              <w:rPr>
                <w:rFonts w:ascii="Arial" w:cs="Arial" w:eastAsia="Arial" w:hAnsi="Arial"/>
                <w:sz w:val="13"/>
                <w:szCs w:val="13"/>
                <w:color w:val="auto"/>
              </w:rPr>
              <w:t>62,760</w:t>
            </w:r>
          </w:p>
        </w:tc>
      </w:tr>
      <w:tr>
        <w:trPr>
          <w:trHeight w:val="149"/>
        </w:trPr>
        <w:tc>
          <w:tcPr>
            <w:tcW w:w="2220" w:type="dxa"/>
            <w:vAlign w:val="bottom"/>
          </w:tcPr>
          <w:p>
            <w:pPr>
              <w:ind w:left="80"/>
              <w:spacing w:after="0"/>
              <w:rPr>
                <w:sz w:val="20"/>
                <w:szCs w:val="20"/>
                <w:color w:val="auto"/>
              </w:rPr>
            </w:pPr>
            <w:r>
              <w:rPr>
                <w:rFonts w:ascii="Arial" w:cs="Arial" w:eastAsia="Arial" w:hAnsi="Arial"/>
                <w:sz w:val="13"/>
                <w:szCs w:val="13"/>
                <w:color w:val="auto"/>
              </w:rPr>
              <w:t>Willard H. Dere, M.D.</w:t>
            </w:r>
          </w:p>
        </w:tc>
        <w:tc>
          <w:tcPr>
            <w:tcW w:w="1340" w:type="dxa"/>
            <w:vAlign w:val="bottom"/>
          </w:tcPr>
          <w:p>
            <w:pPr>
              <w:ind w:left="480"/>
              <w:spacing w:after="0"/>
              <w:rPr>
                <w:sz w:val="20"/>
                <w:szCs w:val="20"/>
                <w:color w:val="auto"/>
              </w:rPr>
            </w:pPr>
            <w:r>
              <w:rPr>
                <w:rFonts w:ascii="Arial" w:cs="Arial" w:eastAsia="Arial" w:hAnsi="Arial"/>
                <w:sz w:val="13"/>
                <w:szCs w:val="13"/>
                <w:color w:val="auto"/>
              </w:rPr>
              <w:t>$</w:t>
            </w:r>
          </w:p>
        </w:tc>
        <w:tc>
          <w:tcPr>
            <w:tcW w:w="1700" w:type="dxa"/>
            <w:vAlign w:val="bottom"/>
          </w:tcPr>
          <w:p>
            <w:pPr>
              <w:jc w:val="right"/>
              <w:ind w:right="453"/>
              <w:spacing w:after="0"/>
              <w:rPr>
                <w:sz w:val="20"/>
                <w:szCs w:val="20"/>
                <w:color w:val="auto"/>
              </w:rPr>
            </w:pPr>
            <w:r>
              <w:rPr>
                <w:rFonts w:ascii="Arial" w:cs="Arial" w:eastAsia="Arial" w:hAnsi="Arial"/>
                <w:sz w:val="13"/>
                <w:szCs w:val="13"/>
                <w:color w:val="auto"/>
              </w:rPr>
              <w:t>42,500</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493"/>
              <w:spacing w:after="0"/>
              <w:rPr>
                <w:sz w:val="20"/>
                <w:szCs w:val="20"/>
                <w:color w:val="auto"/>
              </w:rPr>
            </w:pPr>
            <w:r>
              <w:rPr>
                <w:rFonts w:ascii="Arial" w:cs="Arial" w:eastAsia="Arial" w:hAnsi="Arial"/>
                <w:sz w:val="13"/>
                <w:szCs w:val="13"/>
                <w:color w:val="auto"/>
              </w:rPr>
              <w:t>33,152</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493"/>
              <w:spacing w:after="0"/>
              <w:rPr>
                <w:sz w:val="20"/>
                <w:szCs w:val="20"/>
                <w:color w:val="auto"/>
              </w:rPr>
            </w:pPr>
            <w:r>
              <w:rPr>
                <w:rFonts w:ascii="Arial" w:cs="Arial" w:eastAsia="Arial" w:hAnsi="Arial"/>
                <w:sz w:val="13"/>
                <w:szCs w:val="13"/>
                <w:color w:val="auto"/>
              </w:rPr>
              <w:t>75,652</w:t>
            </w:r>
          </w:p>
        </w:tc>
      </w:tr>
      <w:tr>
        <w:trPr>
          <w:trHeight w:val="148"/>
        </w:trPr>
        <w:tc>
          <w:tcPr>
            <w:tcW w:w="2220" w:type="dxa"/>
            <w:vAlign w:val="bottom"/>
            <w:shd w:val="clear" w:color="auto" w:fill="E5E5E5"/>
          </w:tcPr>
          <w:p>
            <w:pPr>
              <w:ind w:left="80"/>
              <w:spacing w:after="0"/>
              <w:rPr>
                <w:sz w:val="20"/>
                <w:szCs w:val="20"/>
                <w:color w:val="auto"/>
              </w:rPr>
            </w:pPr>
            <w:r>
              <w:rPr>
                <w:rFonts w:ascii="Arial" w:cs="Arial" w:eastAsia="Arial" w:hAnsi="Arial"/>
                <w:sz w:val="13"/>
                <w:szCs w:val="13"/>
                <w:color w:val="auto"/>
              </w:rPr>
              <w:t>Lorence H. Kim, M.D.</w:t>
            </w:r>
          </w:p>
        </w:tc>
        <w:tc>
          <w:tcPr>
            <w:tcW w:w="1340" w:type="dxa"/>
            <w:vAlign w:val="bottom"/>
            <w:shd w:val="clear" w:color="auto" w:fill="E5E5E5"/>
          </w:tcPr>
          <w:p>
            <w:pPr>
              <w:ind w:left="480"/>
              <w:spacing w:after="0"/>
              <w:rPr>
                <w:sz w:val="20"/>
                <w:szCs w:val="20"/>
                <w:color w:val="auto"/>
              </w:rPr>
            </w:pPr>
            <w:r>
              <w:rPr>
                <w:rFonts w:ascii="Arial" w:cs="Arial" w:eastAsia="Arial" w:hAnsi="Arial"/>
                <w:sz w:val="13"/>
                <w:szCs w:val="13"/>
                <w:color w:val="auto"/>
              </w:rPr>
              <w:t>$</w:t>
            </w:r>
          </w:p>
        </w:tc>
        <w:tc>
          <w:tcPr>
            <w:tcW w:w="1700" w:type="dxa"/>
            <w:vAlign w:val="bottom"/>
            <w:shd w:val="clear" w:color="auto" w:fill="E5E5E5"/>
          </w:tcPr>
          <w:p>
            <w:pPr>
              <w:jc w:val="right"/>
              <w:ind w:right="453"/>
              <w:spacing w:after="0"/>
              <w:rPr>
                <w:sz w:val="20"/>
                <w:szCs w:val="20"/>
                <w:color w:val="auto"/>
              </w:rPr>
            </w:pPr>
            <w:r>
              <w:rPr>
                <w:rFonts w:ascii="Arial" w:cs="Arial" w:eastAsia="Arial" w:hAnsi="Arial"/>
                <w:sz w:val="13"/>
                <w:szCs w:val="13"/>
                <w:color w:val="auto"/>
              </w:rPr>
              <w:t>43,500</w:t>
            </w:r>
          </w:p>
        </w:tc>
        <w:tc>
          <w:tcPr>
            <w:tcW w:w="800" w:type="dxa"/>
            <w:vAlign w:val="bottom"/>
            <w:shd w:val="clear" w:color="auto" w:fill="E5E5E5"/>
          </w:tcPr>
          <w:p>
            <w:pPr>
              <w:ind w:left="520"/>
              <w:spacing w:after="0"/>
              <w:rPr>
                <w:sz w:val="20"/>
                <w:szCs w:val="20"/>
                <w:color w:val="auto"/>
              </w:rPr>
            </w:pPr>
            <w:r>
              <w:rPr>
                <w:rFonts w:ascii="Arial" w:cs="Arial" w:eastAsia="Arial" w:hAnsi="Arial"/>
                <w:sz w:val="13"/>
                <w:szCs w:val="13"/>
                <w:color w:val="auto"/>
              </w:rPr>
              <w:t>$</w:t>
            </w:r>
          </w:p>
        </w:tc>
        <w:tc>
          <w:tcPr>
            <w:tcW w:w="1440" w:type="dxa"/>
            <w:vAlign w:val="bottom"/>
            <w:shd w:val="clear" w:color="auto" w:fill="E5E5E5"/>
          </w:tcPr>
          <w:p>
            <w:pPr>
              <w:jc w:val="right"/>
              <w:ind w:right="493"/>
              <w:spacing w:after="0"/>
              <w:rPr>
                <w:sz w:val="20"/>
                <w:szCs w:val="20"/>
                <w:color w:val="auto"/>
              </w:rPr>
            </w:pPr>
            <w:r>
              <w:rPr>
                <w:rFonts w:ascii="Arial" w:cs="Arial" w:eastAsia="Arial" w:hAnsi="Arial"/>
                <w:sz w:val="13"/>
                <w:szCs w:val="13"/>
                <w:color w:val="auto"/>
              </w:rPr>
              <w:t>33,152</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shd w:val="clear" w:color="auto" w:fill="E5E5E5"/>
          </w:tcPr>
          <w:p>
            <w:pPr>
              <w:jc w:val="right"/>
              <w:ind w:right="493"/>
              <w:spacing w:after="0"/>
              <w:rPr>
                <w:sz w:val="20"/>
                <w:szCs w:val="20"/>
                <w:color w:val="auto"/>
              </w:rPr>
            </w:pPr>
            <w:r>
              <w:rPr>
                <w:rFonts w:ascii="Arial" w:cs="Arial" w:eastAsia="Arial" w:hAnsi="Arial"/>
                <w:sz w:val="13"/>
                <w:szCs w:val="13"/>
                <w:color w:val="auto"/>
              </w:rPr>
              <w:t>76,652</w:t>
            </w:r>
          </w:p>
        </w:tc>
      </w:tr>
      <w:tr>
        <w:trPr>
          <w:trHeight w:val="149"/>
        </w:trPr>
        <w:tc>
          <w:tcPr>
            <w:tcW w:w="2220" w:type="dxa"/>
            <w:vAlign w:val="bottom"/>
          </w:tcPr>
          <w:p>
            <w:pPr>
              <w:ind w:left="80"/>
              <w:spacing w:after="0"/>
              <w:rPr>
                <w:sz w:val="20"/>
                <w:szCs w:val="20"/>
                <w:color w:val="auto"/>
              </w:rPr>
            </w:pPr>
            <w:r>
              <w:rPr>
                <w:rFonts w:ascii="Arial" w:cs="Arial" w:eastAsia="Arial" w:hAnsi="Arial"/>
                <w:sz w:val="13"/>
                <w:szCs w:val="13"/>
                <w:color w:val="auto"/>
              </w:rPr>
              <w:t>Richard N. Kender</w:t>
            </w:r>
          </w:p>
        </w:tc>
        <w:tc>
          <w:tcPr>
            <w:tcW w:w="1340" w:type="dxa"/>
            <w:vAlign w:val="bottom"/>
          </w:tcPr>
          <w:p>
            <w:pPr>
              <w:ind w:left="480"/>
              <w:spacing w:after="0"/>
              <w:rPr>
                <w:sz w:val="20"/>
                <w:szCs w:val="20"/>
                <w:color w:val="auto"/>
              </w:rPr>
            </w:pPr>
            <w:r>
              <w:rPr>
                <w:rFonts w:ascii="Arial" w:cs="Arial" w:eastAsia="Arial" w:hAnsi="Arial"/>
                <w:sz w:val="13"/>
                <w:szCs w:val="13"/>
                <w:color w:val="auto"/>
              </w:rPr>
              <w:t>$</w:t>
            </w:r>
          </w:p>
        </w:tc>
        <w:tc>
          <w:tcPr>
            <w:tcW w:w="1700" w:type="dxa"/>
            <w:vAlign w:val="bottom"/>
          </w:tcPr>
          <w:p>
            <w:pPr>
              <w:jc w:val="right"/>
              <w:ind w:right="453"/>
              <w:spacing w:after="0"/>
              <w:rPr>
                <w:sz w:val="20"/>
                <w:szCs w:val="20"/>
                <w:color w:val="auto"/>
              </w:rPr>
            </w:pPr>
            <w:r>
              <w:rPr>
                <w:rFonts w:ascii="Arial" w:cs="Arial" w:eastAsia="Arial" w:hAnsi="Arial"/>
                <w:sz w:val="13"/>
                <w:szCs w:val="13"/>
                <w:color w:val="auto"/>
              </w:rPr>
              <w:t>55,000</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493"/>
              <w:spacing w:after="0"/>
              <w:rPr>
                <w:sz w:val="20"/>
                <w:szCs w:val="20"/>
                <w:color w:val="auto"/>
              </w:rPr>
            </w:pPr>
            <w:r>
              <w:rPr>
                <w:rFonts w:ascii="Arial" w:cs="Arial" w:eastAsia="Arial" w:hAnsi="Arial"/>
                <w:sz w:val="13"/>
                <w:szCs w:val="13"/>
                <w:color w:val="auto"/>
              </w:rPr>
              <w:t>33,152</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493"/>
              <w:spacing w:after="0"/>
              <w:rPr>
                <w:sz w:val="20"/>
                <w:szCs w:val="20"/>
                <w:color w:val="auto"/>
              </w:rPr>
            </w:pPr>
            <w:r>
              <w:rPr>
                <w:rFonts w:ascii="Arial" w:cs="Arial" w:eastAsia="Arial" w:hAnsi="Arial"/>
                <w:sz w:val="13"/>
                <w:szCs w:val="13"/>
                <w:color w:val="auto"/>
              </w:rPr>
              <w:t>88,152</w:t>
            </w:r>
          </w:p>
        </w:tc>
      </w:tr>
      <w:tr>
        <w:trPr>
          <w:trHeight w:val="148"/>
        </w:trPr>
        <w:tc>
          <w:tcPr>
            <w:tcW w:w="2220" w:type="dxa"/>
            <w:vAlign w:val="bottom"/>
            <w:shd w:val="clear" w:color="auto" w:fill="E5E5E5"/>
          </w:tcPr>
          <w:p>
            <w:pPr>
              <w:ind w:left="80"/>
              <w:spacing w:after="0"/>
              <w:rPr>
                <w:sz w:val="20"/>
                <w:szCs w:val="20"/>
                <w:color w:val="auto"/>
              </w:rPr>
            </w:pPr>
            <w:r>
              <w:rPr>
                <w:rFonts w:ascii="Arial" w:cs="Arial" w:eastAsia="Arial" w:hAnsi="Arial"/>
                <w:sz w:val="13"/>
                <w:szCs w:val="13"/>
                <w:color w:val="auto"/>
              </w:rPr>
              <w:t>Grégory Behar</w:t>
            </w:r>
          </w:p>
        </w:tc>
        <w:tc>
          <w:tcPr>
            <w:tcW w:w="1340" w:type="dxa"/>
            <w:vAlign w:val="bottom"/>
            <w:shd w:val="clear" w:color="auto" w:fill="E5E5E5"/>
          </w:tcPr>
          <w:p>
            <w:pPr>
              <w:ind w:left="480"/>
              <w:spacing w:after="0"/>
              <w:rPr>
                <w:sz w:val="20"/>
                <w:szCs w:val="20"/>
                <w:color w:val="auto"/>
              </w:rPr>
            </w:pPr>
            <w:r>
              <w:rPr>
                <w:rFonts w:ascii="Arial" w:cs="Arial" w:eastAsia="Arial" w:hAnsi="Arial"/>
                <w:sz w:val="13"/>
                <w:szCs w:val="13"/>
                <w:color w:val="auto"/>
              </w:rPr>
              <w:t>$</w:t>
            </w:r>
          </w:p>
        </w:tc>
        <w:tc>
          <w:tcPr>
            <w:tcW w:w="1700" w:type="dxa"/>
            <w:vAlign w:val="bottom"/>
            <w:shd w:val="clear" w:color="auto" w:fill="E5E5E5"/>
          </w:tcPr>
          <w:p>
            <w:pPr>
              <w:jc w:val="right"/>
              <w:ind w:right="453"/>
              <w:spacing w:after="0"/>
              <w:rPr>
                <w:sz w:val="20"/>
                <w:szCs w:val="20"/>
                <w:color w:val="auto"/>
              </w:rPr>
            </w:pPr>
            <w:r>
              <w:rPr>
                <w:rFonts w:ascii="Arial" w:cs="Arial" w:eastAsia="Arial" w:hAnsi="Arial"/>
                <w:sz w:val="13"/>
                <w:szCs w:val="13"/>
                <w:color w:val="auto"/>
              </w:rPr>
              <w:t>38,500</w:t>
            </w:r>
          </w:p>
        </w:tc>
        <w:tc>
          <w:tcPr>
            <w:tcW w:w="800" w:type="dxa"/>
            <w:vAlign w:val="bottom"/>
            <w:shd w:val="clear" w:color="auto" w:fill="E5E5E5"/>
          </w:tcPr>
          <w:p>
            <w:pPr>
              <w:ind w:left="520"/>
              <w:spacing w:after="0"/>
              <w:rPr>
                <w:sz w:val="20"/>
                <w:szCs w:val="20"/>
                <w:color w:val="auto"/>
              </w:rPr>
            </w:pPr>
            <w:r>
              <w:rPr>
                <w:rFonts w:ascii="Arial" w:cs="Arial" w:eastAsia="Arial" w:hAnsi="Arial"/>
                <w:sz w:val="13"/>
                <w:szCs w:val="13"/>
                <w:color w:val="auto"/>
              </w:rPr>
              <w:t>$</w:t>
            </w:r>
          </w:p>
        </w:tc>
        <w:tc>
          <w:tcPr>
            <w:tcW w:w="1440" w:type="dxa"/>
            <w:vAlign w:val="bottom"/>
            <w:shd w:val="clear" w:color="auto" w:fill="E5E5E5"/>
          </w:tcPr>
          <w:p>
            <w:pPr>
              <w:jc w:val="right"/>
              <w:ind w:right="493"/>
              <w:spacing w:after="0"/>
              <w:rPr>
                <w:sz w:val="20"/>
                <w:szCs w:val="20"/>
                <w:color w:val="auto"/>
              </w:rPr>
            </w:pPr>
            <w:r>
              <w:rPr>
                <w:rFonts w:ascii="Arial" w:cs="Arial" w:eastAsia="Arial" w:hAnsi="Arial"/>
                <w:sz w:val="13"/>
                <w:szCs w:val="13"/>
                <w:color w:val="auto"/>
              </w:rPr>
              <w:t>33,152</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shd w:val="clear" w:color="auto" w:fill="E5E5E5"/>
          </w:tcPr>
          <w:p>
            <w:pPr>
              <w:jc w:val="right"/>
              <w:ind w:right="493"/>
              <w:spacing w:after="0"/>
              <w:rPr>
                <w:sz w:val="20"/>
                <w:szCs w:val="20"/>
                <w:color w:val="auto"/>
              </w:rPr>
            </w:pPr>
            <w:r>
              <w:rPr>
                <w:rFonts w:ascii="Arial" w:cs="Arial" w:eastAsia="Arial" w:hAnsi="Arial"/>
                <w:sz w:val="13"/>
                <w:szCs w:val="13"/>
                <w:color w:val="auto"/>
              </w:rPr>
              <w:t>71,652</w:t>
            </w:r>
          </w:p>
        </w:tc>
      </w:tr>
      <w:tr>
        <w:trPr>
          <w:trHeight w:val="148"/>
        </w:trPr>
        <w:tc>
          <w:tcPr>
            <w:tcW w:w="2220" w:type="dxa"/>
            <w:vAlign w:val="bottom"/>
          </w:tcPr>
          <w:p>
            <w:pPr>
              <w:ind w:left="80"/>
              <w:spacing w:after="0"/>
              <w:rPr>
                <w:sz w:val="20"/>
                <w:szCs w:val="20"/>
                <w:color w:val="auto"/>
              </w:rPr>
            </w:pPr>
            <w:r>
              <w:rPr>
                <w:rFonts w:ascii="Arial" w:cs="Arial" w:eastAsia="Arial" w:hAnsi="Arial"/>
                <w:sz w:val="13"/>
                <w:szCs w:val="13"/>
                <w:color w:val="auto"/>
              </w:rPr>
              <w:t>Dennis A. Ausiello, M.D.</w:t>
            </w:r>
          </w:p>
        </w:tc>
        <w:tc>
          <w:tcPr>
            <w:tcW w:w="1340" w:type="dxa"/>
            <w:vAlign w:val="bottom"/>
          </w:tcPr>
          <w:p>
            <w:pPr>
              <w:ind w:left="480"/>
              <w:spacing w:after="0"/>
              <w:rPr>
                <w:sz w:val="20"/>
                <w:szCs w:val="20"/>
                <w:color w:val="auto"/>
              </w:rPr>
            </w:pPr>
            <w:r>
              <w:rPr>
                <w:rFonts w:ascii="Arial" w:cs="Arial" w:eastAsia="Arial" w:hAnsi="Arial"/>
                <w:sz w:val="13"/>
                <w:szCs w:val="13"/>
                <w:color w:val="auto"/>
              </w:rPr>
              <w:t>$</w:t>
            </w:r>
          </w:p>
        </w:tc>
        <w:tc>
          <w:tcPr>
            <w:tcW w:w="1700" w:type="dxa"/>
            <w:vAlign w:val="bottom"/>
          </w:tcPr>
          <w:p>
            <w:pPr>
              <w:jc w:val="right"/>
              <w:ind w:right="453"/>
              <w:spacing w:after="0"/>
              <w:rPr>
                <w:sz w:val="20"/>
                <w:szCs w:val="20"/>
                <w:color w:val="auto"/>
              </w:rPr>
            </w:pPr>
            <w:r>
              <w:rPr>
                <w:rFonts w:ascii="Arial" w:cs="Arial" w:eastAsia="Arial" w:hAnsi="Arial"/>
                <w:sz w:val="13"/>
                <w:szCs w:val="13"/>
                <w:color w:val="auto"/>
              </w:rPr>
              <w:t>36,074</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493"/>
              <w:spacing w:after="0"/>
              <w:rPr>
                <w:sz w:val="20"/>
                <w:szCs w:val="20"/>
                <w:color w:val="auto"/>
              </w:rPr>
            </w:pPr>
            <w:r>
              <w:rPr>
                <w:rFonts w:ascii="Arial" w:cs="Arial" w:eastAsia="Arial" w:hAnsi="Arial"/>
                <w:sz w:val="13"/>
                <w:szCs w:val="13"/>
                <w:color w:val="auto"/>
              </w:rPr>
              <w:t>33,152</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493"/>
              <w:spacing w:after="0"/>
              <w:rPr>
                <w:sz w:val="20"/>
                <w:szCs w:val="20"/>
                <w:color w:val="auto"/>
              </w:rPr>
            </w:pPr>
            <w:r>
              <w:rPr>
                <w:rFonts w:ascii="Arial" w:cs="Arial" w:eastAsia="Arial" w:hAnsi="Arial"/>
                <w:sz w:val="13"/>
                <w:szCs w:val="13"/>
                <w:color w:val="auto"/>
              </w:rPr>
              <w:t>69,226</w:t>
            </w:r>
          </w:p>
        </w:tc>
      </w:tr>
      <w:tr>
        <w:trPr>
          <w:trHeight w:val="149"/>
        </w:trPr>
        <w:tc>
          <w:tcPr>
            <w:tcW w:w="2220" w:type="dxa"/>
            <w:vAlign w:val="bottom"/>
            <w:shd w:val="clear" w:color="auto" w:fill="E5E5E5"/>
          </w:tcPr>
          <w:p>
            <w:pPr>
              <w:ind w:left="80"/>
              <w:spacing w:after="0"/>
              <w:rPr>
                <w:sz w:val="20"/>
                <w:szCs w:val="20"/>
                <w:color w:val="auto"/>
              </w:rPr>
            </w:pPr>
            <w:r>
              <w:rPr>
                <w:rFonts w:ascii="Arial" w:cs="Arial" w:eastAsia="Arial" w:hAnsi="Arial"/>
                <w:sz w:val="13"/>
                <w:szCs w:val="13"/>
                <w:color w:val="auto"/>
              </w:rPr>
              <w:t>Kurt C. Graves</w:t>
            </w:r>
          </w:p>
        </w:tc>
        <w:tc>
          <w:tcPr>
            <w:tcW w:w="1340" w:type="dxa"/>
            <w:vAlign w:val="bottom"/>
            <w:shd w:val="clear" w:color="auto" w:fill="E5E5E5"/>
          </w:tcPr>
          <w:p>
            <w:pPr>
              <w:ind w:left="480"/>
              <w:spacing w:after="0"/>
              <w:rPr>
                <w:sz w:val="20"/>
                <w:szCs w:val="20"/>
                <w:color w:val="auto"/>
              </w:rPr>
            </w:pPr>
            <w:r>
              <w:rPr>
                <w:rFonts w:ascii="Arial" w:cs="Arial" w:eastAsia="Arial" w:hAnsi="Arial"/>
                <w:sz w:val="13"/>
                <w:szCs w:val="13"/>
                <w:color w:val="auto"/>
              </w:rPr>
              <w:t>$</w:t>
            </w:r>
          </w:p>
        </w:tc>
        <w:tc>
          <w:tcPr>
            <w:tcW w:w="1700" w:type="dxa"/>
            <w:vAlign w:val="bottom"/>
            <w:shd w:val="clear" w:color="auto" w:fill="E5E5E5"/>
          </w:tcPr>
          <w:p>
            <w:pPr>
              <w:jc w:val="right"/>
              <w:ind w:right="453"/>
              <w:spacing w:after="0"/>
              <w:rPr>
                <w:sz w:val="20"/>
                <w:szCs w:val="20"/>
                <w:color w:val="auto"/>
              </w:rPr>
            </w:pPr>
            <w:r>
              <w:rPr>
                <w:rFonts w:ascii="Arial" w:cs="Arial" w:eastAsia="Arial" w:hAnsi="Arial"/>
                <w:sz w:val="13"/>
                <w:szCs w:val="13"/>
                <w:color w:val="auto"/>
              </w:rPr>
              <w:t>45,000</w:t>
            </w:r>
          </w:p>
        </w:tc>
        <w:tc>
          <w:tcPr>
            <w:tcW w:w="800" w:type="dxa"/>
            <w:vAlign w:val="bottom"/>
            <w:shd w:val="clear" w:color="auto" w:fill="E5E5E5"/>
          </w:tcPr>
          <w:p>
            <w:pPr>
              <w:ind w:left="520"/>
              <w:spacing w:after="0"/>
              <w:rPr>
                <w:sz w:val="20"/>
                <w:szCs w:val="20"/>
                <w:color w:val="auto"/>
              </w:rPr>
            </w:pPr>
            <w:r>
              <w:rPr>
                <w:rFonts w:ascii="Arial" w:cs="Arial" w:eastAsia="Arial" w:hAnsi="Arial"/>
                <w:sz w:val="13"/>
                <w:szCs w:val="13"/>
                <w:color w:val="auto"/>
              </w:rPr>
              <w:t>$</w:t>
            </w:r>
          </w:p>
        </w:tc>
        <w:tc>
          <w:tcPr>
            <w:tcW w:w="1440" w:type="dxa"/>
            <w:vAlign w:val="bottom"/>
            <w:shd w:val="clear" w:color="auto" w:fill="E5E5E5"/>
          </w:tcPr>
          <w:p>
            <w:pPr>
              <w:jc w:val="right"/>
              <w:ind w:right="493"/>
              <w:spacing w:after="0"/>
              <w:rPr>
                <w:sz w:val="20"/>
                <w:szCs w:val="20"/>
                <w:color w:val="auto"/>
              </w:rPr>
            </w:pPr>
            <w:r>
              <w:rPr>
                <w:rFonts w:ascii="Arial" w:cs="Arial" w:eastAsia="Arial" w:hAnsi="Arial"/>
                <w:sz w:val="13"/>
                <w:szCs w:val="13"/>
                <w:color w:val="auto"/>
              </w:rPr>
              <w:t>33,152</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shd w:val="clear" w:color="auto" w:fill="E5E5E5"/>
          </w:tcPr>
          <w:p>
            <w:pPr>
              <w:jc w:val="right"/>
              <w:ind w:right="493"/>
              <w:spacing w:after="0"/>
              <w:rPr>
                <w:sz w:val="20"/>
                <w:szCs w:val="20"/>
                <w:color w:val="auto"/>
              </w:rPr>
            </w:pPr>
            <w:r>
              <w:rPr>
                <w:rFonts w:ascii="Arial" w:cs="Arial" w:eastAsia="Arial" w:hAnsi="Arial"/>
                <w:sz w:val="13"/>
                <w:szCs w:val="13"/>
                <w:color w:val="auto"/>
              </w:rPr>
              <w:t>78,152</w:t>
            </w:r>
          </w:p>
        </w:tc>
      </w:tr>
      <w:tr>
        <w:trPr>
          <w:trHeight w:val="148"/>
        </w:trPr>
        <w:tc>
          <w:tcPr>
            <w:tcW w:w="22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Meryl S. Zausner</w:t>
            </w:r>
          </w:p>
        </w:tc>
        <w:tc>
          <w:tcPr>
            <w:tcW w:w="13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color w:val="auto"/>
              </w:rPr>
              <w:t>42,500</w:t>
            </w: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rPr>
              <w:t>33,152</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rPr>
              <w:t>75,652</w:t>
            </w:r>
          </w:p>
        </w:tc>
      </w:tr>
    </w:tbl>
    <w:p>
      <w:pPr>
        <w:spacing w:after="0" w:line="121" w:lineRule="exact"/>
        <w:rPr>
          <w:sz w:val="20"/>
          <w:szCs w:val="20"/>
          <w:color w:val="auto"/>
        </w:rPr>
      </w:pPr>
    </w:p>
    <w:p>
      <w:pPr>
        <w:ind w:left="440" w:right="40" w:hanging="324"/>
        <w:spacing w:after="0" w:line="248" w:lineRule="auto"/>
        <w:tabs>
          <w:tab w:leader="none" w:pos="4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option awards granted during 2019 computed in accordance with FASB ASC Topic 718. For a description of the assumptions used in valuing these awards, see Notes 2 and 11 to our audited consolidated financial statements included in our Annual Report on Form 10-K for the fiscal year ended December 31, 2019. The table below</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shows the number of option awards held as of December 31, 2019 by each of our directors who are not NEOs. None of our directors held unvested stock awards as of that date.</w:t>
      </w:r>
    </w:p>
    <w:p>
      <w:pPr>
        <w:spacing w:after="0" w:line="121"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68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Name</w:t>
            </w:r>
          </w:p>
        </w:tc>
        <w:tc>
          <w:tcPr>
            <w:tcW w:w="2460" w:type="dxa"/>
            <w:vAlign w:val="bottom"/>
            <w:tcBorders>
              <w:bottom w:val="single" w:sz="8" w:color="auto"/>
            </w:tcBorders>
            <w:shd w:val="clear" w:color="auto" w:fill="E5E5E5"/>
          </w:tcPr>
          <w:p>
            <w:pPr>
              <w:jc w:val="right"/>
              <w:ind w:right="633"/>
              <w:spacing w:after="0"/>
              <w:rPr>
                <w:sz w:val="20"/>
                <w:szCs w:val="20"/>
                <w:color w:val="auto"/>
              </w:rPr>
            </w:pPr>
            <w:r>
              <w:rPr>
                <w:rFonts w:ascii="Arial" w:cs="Arial" w:eastAsia="Arial" w:hAnsi="Arial"/>
                <w:sz w:val="13"/>
                <w:szCs w:val="13"/>
                <w:b w:val="1"/>
                <w:bCs w:val="1"/>
                <w:color w:val="auto"/>
              </w:rPr>
              <w:t>Option Awards (#)</w:t>
            </w:r>
          </w:p>
        </w:tc>
      </w:tr>
      <w:tr>
        <w:trPr>
          <w:trHeight w:val="142"/>
        </w:trPr>
        <w:tc>
          <w:tcPr>
            <w:tcW w:w="6800" w:type="dxa"/>
            <w:vAlign w:val="bottom"/>
          </w:tcPr>
          <w:p>
            <w:pPr>
              <w:ind w:left="80"/>
              <w:spacing w:after="0" w:line="142" w:lineRule="exact"/>
              <w:rPr>
                <w:sz w:val="20"/>
                <w:szCs w:val="20"/>
                <w:color w:val="auto"/>
              </w:rPr>
            </w:pPr>
            <w:r>
              <w:rPr>
                <w:rFonts w:ascii="Arial" w:cs="Arial" w:eastAsia="Arial" w:hAnsi="Arial"/>
                <w:sz w:val="13"/>
                <w:szCs w:val="13"/>
                <w:color w:val="auto"/>
              </w:rPr>
              <w:t>Noubar B. Afeyan, Ph.D.</w:t>
            </w:r>
          </w:p>
        </w:tc>
        <w:tc>
          <w:tcPr>
            <w:tcW w:w="2460" w:type="dxa"/>
            <w:vAlign w:val="bottom"/>
          </w:tcPr>
          <w:p>
            <w:pPr>
              <w:jc w:val="right"/>
              <w:ind w:right="633"/>
              <w:spacing w:after="0" w:line="142" w:lineRule="exact"/>
              <w:rPr>
                <w:sz w:val="20"/>
                <w:szCs w:val="20"/>
                <w:color w:val="auto"/>
              </w:rPr>
            </w:pPr>
            <w:r>
              <w:rPr>
                <w:rFonts w:ascii="Arial" w:cs="Arial" w:eastAsia="Arial" w:hAnsi="Arial"/>
                <w:sz w:val="13"/>
                <w:szCs w:val="13"/>
                <w:color w:val="auto"/>
              </w:rPr>
              <w:t>75,000</w:t>
            </w:r>
          </w:p>
        </w:tc>
      </w:tr>
      <w:tr>
        <w:trPr>
          <w:trHeight w:val="149"/>
        </w:trPr>
        <w:tc>
          <w:tcPr>
            <w:tcW w:w="6800" w:type="dxa"/>
            <w:vAlign w:val="bottom"/>
            <w:shd w:val="clear" w:color="auto" w:fill="E5E5E5"/>
          </w:tcPr>
          <w:p>
            <w:pPr>
              <w:ind w:left="80"/>
              <w:spacing w:after="0"/>
              <w:rPr>
                <w:sz w:val="20"/>
                <w:szCs w:val="20"/>
                <w:color w:val="auto"/>
              </w:rPr>
            </w:pPr>
            <w:r>
              <w:rPr>
                <w:rFonts w:ascii="Arial" w:cs="Arial" w:eastAsia="Arial" w:hAnsi="Arial"/>
                <w:sz w:val="13"/>
                <w:szCs w:val="13"/>
                <w:color w:val="auto"/>
              </w:rPr>
              <w:t>Stephen Berenson</w:t>
            </w:r>
          </w:p>
        </w:tc>
        <w:tc>
          <w:tcPr>
            <w:tcW w:w="2460" w:type="dxa"/>
            <w:vAlign w:val="bottom"/>
            <w:shd w:val="clear" w:color="auto" w:fill="E5E5E5"/>
          </w:tcPr>
          <w:p>
            <w:pPr>
              <w:jc w:val="right"/>
              <w:ind w:right="633"/>
              <w:spacing w:after="0"/>
              <w:rPr>
                <w:sz w:val="20"/>
                <w:szCs w:val="20"/>
                <w:color w:val="auto"/>
              </w:rPr>
            </w:pPr>
            <w:r>
              <w:rPr>
                <w:rFonts w:ascii="Arial" w:cs="Arial" w:eastAsia="Arial" w:hAnsi="Arial"/>
                <w:sz w:val="13"/>
                <w:szCs w:val="13"/>
                <w:color w:val="auto"/>
              </w:rPr>
              <w:t>30,000</w:t>
            </w:r>
          </w:p>
        </w:tc>
      </w:tr>
      <w:tr>
        <w:trPr>
          <w:trHeight w:val="148"/>
        </w:trPr>
        <w:tc>
          <w:tcPr>
            <w:tcW w:w="6800" w:type="dxa"/>
            <w:vAlign w:val="bottom"/>
          </w:tcPr>
          <w:p>
            <w:pPr>
              <w:ind w:left="80"/>
              <w:spacing w:after="0"/>
              <w:rPr>
                <w:sz w:val="20"/>
                <w:szCs w:val="20"/>
                <w:color w:val="auto"/>
              </w:rPr>
            </w:pPr>
            <w:r>
              <w:rPr>
                <w:rFonts w:ascii="Arial" w:cs="Arial" w:eastAsia="Arial" w:hAnsi="Arial"/>
                <w:sz w:val="13"/>
                <w:szCs w:val="13"/>
                <w:color w:val="auto"/>
              </w:rPr>
              <w:t>Willard H. Dere, M.D.</w:t>
            </w:r>
          </w:p>
        </w:tc>
        <w:tc>
          <w:tcPr>
            <w:tcW w:w="2460" w:type="dxa"/>
            <w:vAlign w:val="bottom"/>
          </w:tcPr>
          <w:p>
            <w:pPr>
              <w:jc w:val="right"/>
              <w:ind w:right="633"/>
              <w:spacing w:after="0"/>
              <w:rPr>
                <w:sz w:val="20"/>
                <w:szCs w:val="20"/>
                <w:color w:val="auto"/>
              </w:rPr>
            </w:pPr>
            <w:r>
              <w:rPr>
                <w:rFonts w:ascii="Arial" w:cs="Arial" w:eastAsia="Arial" w:hAnsi="Arial"/>
                <w:sz w:val="13"/>
                <w:szCs w:val="13"/>
                <w:color w:val="auto"/>
              </w:rPr>
              <w:t>60,000</w:t>
            </w:r>
          </w:p>
        </w:tc>
      </w:tr>
      <w:tr>
        <w:trPr>
          <w:trHeight w:val="148"/>
        </w:trPr>
        <w:tc>
          <w:tcPr>
            <w:tcW w:w="6800" w:type="dxa"/>
            <w:vAlign w:val="bottom"/>
            <w:shd w:val="clear" w:color="auto" w:fill="E5E5E5"/>
          </w:tcPr>
          <w:p>
            <w:pPr>
              <w:ind w:left="80"/>
              <w:spacing w:after="0"/>
              <w:rPr>
                <w:sz w:val="20"/>
                <w:szCs w:val="20"/>
                <w:color w:val="auto"/>
              </w:rPr>
            </w:pPr>
            <w:r>
              <w:rPr>
                <w:rFonts w:ascii="Arial" w:cs="Arial" w:eastAsia="Arial" w:hAnsi="Arial"/>
                <w:sz w:val="13"/>
                <w:szCs w:val="13"/>
                <w:color w:val="auto"/>
              </w:rPr>
              <w:t>Lorence H. Kim, M.D.</w:t>
            </w:r>
          </w:p>
        </w:tc>
        <w:tc>
          <w:tcPr>
            <w:tcW w:w="2460" w:type="dxa"/>
            <w:vAlign w:val="bottom"/>
            <w:shd w:val="clear" w:color="auto" w:fill="E5E5E5"/>
          </w:tcPr>
          <w:p>
            <w:pPr>
              <w:jc w:val="right"/>
              <w:ind w:right="633"/>
              <w:spacing w:after="0"/>
              <w:rPr>
                <w:sz w:val="20"/>
                <w:szCs w:val="20"/>
                <w:color w:val="auto"/>
              </w:rPr>
            </w:pPr>
            <w:r>
              <w:rPr>
                <w:rFonts w:ascii="Arial" w:cs="Arial" w:eastAsia="Arial" w:hAnsi="Arial"/>
                <w:sz w:val="13"/>
                <w:szCs w:val="13"/>
                <w:color w:val="auto"/>
              </w:rPr>
              <w:t>150,000</w:t>
            </w:r>
          </w:p>
        </w:tc>
      </w:tr>
      <w:tr>
        <w:trPr>
          <w:trHeight w:val="148"/>
        </w:trPr>
        <w:tc>
          <w:tcPr>
            <w:tcW w:w="6800" w:type="dxa"/>
            <w:vAlign w:val="bottom"/>
          </w:tcPr>
          <w:p>
            <w:pPr>
              <w:ind w:left="80"/>
              <w:spacing w:after="0"/>
              <w:rPr>
                <w:sz w:val="20"/>
                <w:szCs w:val="20"/>
                <w:color w:val="auto"/>
              </w:rPr>
            </w:pPr>
            <w:r>
              <w:rPr>
                <w:rFonts w:ascii="Arial" w:cs="Arial" w:eastAsia="Arial" w:hAnsi="Arial"/>
                <w:sz w:val="13"/>
                <w:szCs w:val="13"/>
                <w:color w:val="auto"/>
              </w:rPr>
              <w:t>Richard N. Kender</w:t>
            </w:r>
          </w:p>
        </w:tc>
        <w:tc>
          <w:tcPr>
            <w:tcW w:w="2460" w:type="dxa"/>
            <w:vAlign w:val="bottom"/>
          </w:tcPr>
          <w:p>
            <w:pPr>
              <w:jc w:val="right"/>
              <w:ind w:right="633"/>
              <w:spacing w:after="0"/>
              <w:rPr>
                <w:sz w:val="20"/>
                <w:szCs w:val="20"/>
                <w:color w:val="auto"/>
              </w:rPr>
            </w:pPr>
            <w:r>
              <w:rPr>
                <w:rFonts w:ascii="Arial" w:cs="Arial" w:eastAsia="Arial" w:hAnsi="Arial"/>
                <w:sz w:val="13"/>
                <w:szCs w:val="13"/>
                <w:color w:val="auto"/>
              </w:rPr>
              <w:t>150,000</w:t>
            </w:r>
          </w:p>
        </w:tc>
      </w:tr>
      <w:tr>
        <w:trPr>
          <w:trHeight w:val="148"/>
        </w:trPr>
        <w:tc>
          <w:tcPr>
            <w:tcW w:w="6800" w:type="dxa"/>
            <w:vAlign w:val="bottom"/>
            <w:shd w:val="clear" w:color="auto" w:fill="E5E5E5"/>
          </w:tcPr>
          <w:p>
            <w:pPr>
              <w:ind w:left="80"/>
              <w:spacing w:after="0"/>
              <w:rPr>
                <w:sz w:val="20"/>
                <w:szCs w:val="20"/>
                <w:color w:val="auto"/>
              </w:rPr>
            </w:pPr>
            <w:r>
              <w:rPr>
                <w:rFonts w:ascii="Arial" w:cs="Arial" w:eastAsia="Arial" w:hAnsi="Arial"/>
                <w:sz w:val="13"/>
                <w:szCs w:val="13"/>
                <w:color w:val="auto"/>
              </w:rPr>
              <w:t>Grégory Behar</w:t>
            </w:r>
          </w:p>
        </w:tc>
        <w:tc>
          <w:tcPr>
            <w:tcW w:w="2460" w:type="dxa"/>
            <w:vAlign w:val="bottom"/>
            <w:shd w:val="clear" w:color="auto" w:fill="E5E5E5"/>
          </w:tcPr>
          <w:p>
            <w:pPr>
              <w:jc w:val="right"/>
              <w:ind w:right="633"/>
              <w:spacing w:after="0"/>
              <w:rPr>
                <w:sz w:val="20"/>
                <w:szCs w:val="20"/>
                <w:color w:val="auto"/>
              </w:rPr>
            </w:pPr>
            <w:r>
              <w:rPr>
                <w:rFonts w:ascii="Arial" w:cs="Arial" w:eastAsia="Arial" w:hAnsi="Arial"/>
                <w:sz w:val="13"/>
                <w:szCs w:val="13"/>
                <w:color w:val="auto"/>
              </w:rPr>
              <w:t>45,000</w:t>
            </w:r>
          </w:p>
        </w:tc>
      </w:tr>
      <w:tr>
        <w:trPr>
          <w:trHeight w:val="149"/>
        </w:trPr>
        <w:tc>
          <w:tcPr>
            <w:tcW w:w="6800" w:type="dxa"/>
            <w:vAlign w:val="bottom"/>
          </w:tcPr>
          <w:p>
            <w:pPr>
              <w:ind w:left="80"/>
              <w:spacing w:after="0"/>
              <w:rPr>
                <w:sz w:val="20"/>
                <w:szCs w:val="20"/>
                <w:color w:val="auto"/>
              </w:rPr>
            </w:pPr>
            <w:r>
              <w:rPr>
                <w:rFonts w:ascii="Arial" w:cs="Arial" w:eastAsia="Arial" w:hAnsi="Arial"/>
                <w:sz w:val="13"/>
                <w:szCs w:val="13"/>
                <w:color w:val="auto"/>
              </w:rPr>
              <w:t>Dennis A. Ausiello, M.D.</w:t>
            </w:r>
          </w:p>
        </w:tc>
        <w:tc>
          <w:tcPr>
            <w:tcW w:w="2460" w:type="dxa"/>
            <w:vAlign w:val="bottom"/>
          </w:tcPr>
          <w:p>
            <w:pPr>
              <w:jc w:val="right"/>
              <w:ind w:right="633"/>
              <w:spacing w:after="0"/>
              <w:rPr>
                <w:sz w:val="20"/>
                <w:szCs w:val="20"/>
                <w:color w:val="auto"/>
              </w:rPr>
            </w:pPr>
            <w:r>
              <w:rPr>
                <w:rFonts w:ascii="Arial" w:cs="Arial" w:eastAsia="Arial" w:hAnsi="Arial"/>
                <w:sz w:val="13"/>
                <w:szCs w:val="13"/>
                <w:color w:val="auto"/>
              </w:rPr>
              <w:t>135,000</w:t>
            </w:r>
          </w:p>
        </w:tc>
      </w:tr>
      <w:tr>
        <w:trPr>
          <w:trHeight w:val="148"/>
        </w:trPr>
        <w:tc>
          <w:tcPr>
            <w:tcW w:w="6800" w:type="dxa"/>
            <w:vAlign w:val="bottom"/>
            <w:shd w:val="clear" w:color="auto" w:fill="E5E5E5"/>
          </w:tcPr>
          <w:p>
            <w:pPr>
              <w:ind w:left="80"/>
              <w:spacing w:after="0"/>
              <w:rPr>
                <w:sz w:val="20"/>
                <w:szCs w:val="20"/>
                <w:color w:val="auto"/>
              </w:rPr>
            </w:pPr>
            <w:r>
              <w:rPr>
                <w:rFonts w:ascii="Arial" w:cs="Arial" w:eastAsia="Arial" w:hAnsi="Arial"/>
                <w:sz w:val="13"/>
                <w:szCs w:val="13"/>
                <w:color w:val="auto"/>
              </w:rPr>
              <w:t>Kurt C. Graves</w:t>
            </w:r>
          </w:p>
        </w:tc>
        <w:tc>
          <w:tcPr>
            <w:tcW w:w="2460" w:type="dxa"/>
            <w:vAlign w:val="bottom"/>
            <w:shd w:val="clear" w:color="auto" w:fill="E5E5E5"/>
          </w:tcPr>
          <w:p>
            <w:pPr>
              <w:jc w:val="right"/>
              <w:ind w:right="633"/>
              <w:spacing w:after="0"/>
              <w:rPr>
                <w:sz w:val="20"/>
                <w:szCs w:val="20"/>
                <w:color w:val="auto"/>
              </w:rPr>
            </w:pPr>
            <w:r>
              <w:rPr>
                <w:rFonts w:ascii="Arial" w:cs="Arial" w:eastAsia="Arial" w:hAnsi="Arial"/>
                <w:sz w:val="13"/>
                <w:szCs w:val="13"/>
                <w:color w:val="auto"/>
              </w:rPr>
              <w:t>90,000</w:t>
            </w:r>
          </w:p>
        </w:tc>
      </w:tr>
      <w:tr>
        <w:trPr>
          <w:trHeight w:val="148"/>
        </w:trPr>
        <w:tc>
          <w:tcPr>
            <w:tcW w:w="68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Meryl S. Zausner</w:t>
            </w:r>
          </w:p>
        </w:tc>
        <w:tc>
          <w:tcPr>
            <w:tcW w:w="24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color w:val="auto"/>
              </w:rPr>
              <w:t>45,000</w:t>
            </w:r>
          </w:p>
        </w:tc>
      </w:tr>
    </w:tbl>
    <w:p>
      <w:pPr>
        <w:spacing w:after="0" w:line="121" w:lineRule="exact"/>
        <w:rPr>
          <w:sz w:val="20"/>
          <w:szCs w:val="20"/>
          <w:color w:val="auto"/>
        </w:rPr>
      </w:pPr>
    </w:p>
    <w:p>
      <w:pPr>
        <w:ind w:left="440" w:hanging="324"/>
        <w:spacing w:after="0"/>
        <w:tabs>
          <w:tab w:leader="none" w:pos="4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Mr. Berenson began serving on our Board on August 5, 2019 and was appointed Chairman of our Board effective December 12, 2019.</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on our equity compensation plans as of December 31, 2019.</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100" w:type="dxa"/>
            <w:vAlign w:val="bottom"/>
            <w:shd w:val="clear" w:color="auto" w:fill="E5E5E5"/>
          </w:tcPr>
          <w:p>
            <w:pPr>
              <w:spacing w:after="0"/>
              <w:rPr>
                <w:sz w:val="13"/>
                <w:szCs w:val="13"/>
                <w:color w:val="auto"/>
              </w:rPr>
            </w:pPr>
          </w:p>
        </w:tc>
        <w:tc>
          <w:tcPr>
            <w:tcW w:w="276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2280" w:type="dxa"/>
            <w:vAlign w:val="bottom"/>
            <w:shd w:val="clear" w:color="auto" w:fill="E5E5E5"/>
          </w:tcPr>
          <w:p>
            <w:pPr>
              <w:spacing w:after="0"/>
              <w:rPr>
                <w:sz w:val="13"/>
                <w:szCs w:val="13"/>
                <w:color w:val="auto"/>
              </w:rPr>
            </w:pPr>
          </w:p>
        </w:tc>
        <w:tc>
          <w:tcPr>
            <w:tcW w:w="3260" w:type="dxa"/>
            <w:vAlign w:val="bottom"/>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Number of Securities</w:t>
            </w:r>
          </w:p>
        </w:tc>
      </w:tr>
      <w:tr>
        <w:trPr>
          <w:trHeight w:val="148"/>
        </w:trPr>
        <w:tc>
          <w:tcPr>
            <w:tcW w:w="2100" w:type="dxa"/>
            <w:vAlign w:val="bottom"/>
            <w:shd w:val="clear" w:color="auto" w:fill="E5E5E5"/>
          </w:tcPr>
          <w:p>
            <w:pPr>
              <w:spacing w:after="0"/>
              <w:rPr>
                <w:sz w:val="12"/>
                <w:szCs w:val="12"/>
                <w:color w:val="auto"/>
              </w:rPr>
            </w:pPr>
          </w:p>
        </w:tc>
        <w:tc>
          <w:tcPr>
            <w:tcW w:w="2760" w:type="dxa"/>
            <w:vAlign w:val="bottom"/>
            <w:shd w:val="clear" w:color="auto" w:fill="E5E5E5"/>
          </w:tcPr>
          <w:p>
            <w:pPr>
              <w:jc w:val="center"/>
              <w:ind w:right="53"/>
              <w:spacing w:after="0"/>
              <w:rPr>
                <w:sz w:val="20"/>
                <w:szCs w:val="20"/>
                <w:color w:val="auto"/>
              </w:rPr>
            </w:pPr>
            <w:r>
              <w:rPr>
                <w:rFonts w:ascii="Arial" w:cs="Arial" w:eastAsia="Arial" w:hAnsi="Arial"/>
                <w:sz w:val="13"/>
                <w:szCs w:val="13"/>
                <w:b w:val="1"/>
                <w:bCs w:val="1"/>
                <w:color w:val="auto"/>
              </w:rPr>
              <w:t>Number of Securities to be</w:t>
            </w:r>
          </w:p>
        </w:tc>
        <w:tc>
          <w:tcPr>
            <w:tcW w:w="620" w:type="dxa"/>
            <w:vAlign w:val="bottom"/>
            <w:shd w:val="clear" w:color="auto" w:fill="E5E5E5"/>
          </w:tcPr>
          <w:p>
            <w:pPr>
              <w:spacing w:after="0"/>
              <w:rPr>
                <w:sz w:val="12"/>
                <w:szCs w:val="12"/>
                <w:color w:val="auto"/>
              </w:rPr>
            </w:pPr>
          </w:p>
        </w:tc>
        <w:tc>
          <w:tcPr>
            <w:tcW w:w="2280" w:type="dxa"/>
            <w:vAlign w:val="bottom"/>
            <w:shd w:val="clear" w:color="auto" w:fill="E5E5E5"/>
          </w:tcPr>
          <w:p>
            <w:pPr>
              <w:spacing w:after="0"/>
              <w:rPr>
                <w:sz w:val="12"/>
                <w:szCs w:val="12"/>
                <w:color w:val="auto"/>
              </w:rPr>
            </w:pPr>
          </w:p>
        </w:tc>
        <w:tc>
          <w:tcPr>
            <w:tcW w:w="3260" w:type="dxa"/>
            <w:vAlign w:val="bottom"/>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Available for Future Issuance</w:t>
            </w:r>
          </w:p>
        </w:tc>
      </w:tr>
      <w:tr>
        <w:trPr>
          <w:trHeight w:val="149"/>
        </w:trPr>
        <w:tc>
          <w:tcPr>
            <w:tcW w:w="2100" w:type="dxa"/>
            <w:vAlign w:val="bottom"/>
            <w:shd w:val="clear" w:color="auto" w:fill="E5E5E5"/>
          </w:tcPr>
          <w:p>
            <w:pPr>
              <w:spacing w:after="0"/>
              <w:rPr>
                <w:sz w:val="12"/>
                <w:szCs w:val="12"/>
                <w:color w:val="auto"/>
              </w:rPr>
            </w:pPr>
          </w:p>
        </w:tc>
        <w:tc>
          <w:tcPr>
            <w:tcW w:w="2760" w:type="dxa"/>
            <w:vAlign w:val="bottom"/>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Issued Upon Exercise of</w:t>
            </w:r>
          </w:p>
        </w:tc>
        <w:tc>
          <w:tcPr>
            <w:tcW w:w="2900" w:type="dxa"/>
            <w:vAlign w:val="bottom"/>
            <w:gridSpan w:val="2"/>
            <w:shd w:val="clear" w:color="auto" w:fill="E5E5E5"/>
          </w:tcPr>
          <w:p>
            <w:pPr>
              <w:jc w:val="right"/>
              <w:ind w:right="573"/>
              <w:spacing w:after="0"/>
              <w:rPr>
                <w:sz w:val="20"/>
                <w:szCs w:val="20"/>
                <w:color w:val="auto"/>
              </w:rPr>
            </w:pPr>
            <w:r>
              <w:rPr>
                <w:rFonts w:ascii="Arial" w:cs="Arial" w:eastAsia="Arial" w:hAnsi="Arial"/>
                <w:sz w:val="13"/>
                <w:szCs w:val="13"/>
                <w:b w:val="1"/>
                <w:bCs w:val="1"/>
                <w:color w:val="auto"/>
              </w:rPr>
              <w:t>Weighted Average Exercise</w:t>
            </w:r>
          </w:p>
        </w:tc>
        <w:tc>
          <w:tcPr>
            <w:tcW w:w="3260" w:type="dxa"/>
            <w:vAlign w:val="bottom"/>
            <w:shd w:val="clear" w:color="auto" w:fill="E5E5E5"/>
          </w:tcPr>
          <w:p>
            <w:pPr>
              <w:jc w:val="center"/>
              <w:ind w:right="53"/>
              <w:spacing w:after="0"/>
              <w:rPr>
                <w:sz w:val="20"/>
                <w:szCs w:val="20"/>
                <w:color w:val="auto"/>
              </w:rPr>
            </w:pPr>
            <w:r>
              <w:rPr>
                <w:rFonts w:ascii="Arial" w:cs="Arial" w:eastAsia="Arial" w:hAnsi="Arial"/>
                <w:sz w:val="13"/>
                <w:szCs w:val="13"/>
                <w:b w:val="1"/>
                <w:bCs w:val="1"/>
                <w:color w:val="auto"/>
              </w:rPr>
              <w:t>Under Equity Compensation Plans</w:t>
            </w:r>
          </w:p>
        </w:tc>
      </w:tr>
      <w:tr>
        <w:trPr>
          <w:trHeight w:val="148"/>
        </w:trPr>
        <w:tc>
          <w:tcPr>
            <w:tcW w:w="2100" w:type="dxa"/>
            <w:vAlign w:val="bottom"/>
            <w:shd w:val="clear" w:color="auto" w:fill="E5E5E5"/>
          </w:tcPr>
          <w:p>
            <w:pPr>
              <w:spacing w:after="0"/>
              <w:rPr>
                <w:sz w:val="12"/>
                <w:szCs w:val="12"/>
                <w:color w:val="auto"/>
              </w:rPr>
            </w:pPr>
          </w:p>
        </w:tc>
        <w:tc>
          <w:tcPr>
            <w:tcW w:w="2760" w:type="dxa"/>
            <w:vAlign w:val="bottom"/>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Outstanding Options,</w:t>
            </w:r>
          </w:p>
        </w:tc>
        <w:tc>
          <w:tcPr>
            <w:tcW w:w="2900" w:type="dxa"/>
            <w:vAlign w:val="bottom"/>
            <w:gridSpan w:val="2"/>
            <w:shd w:val="clear" w:color="auto" w:fill="E5E5E5"/>
          </w:tcPr>
          <w:p>
            <w:pPr>
              <w:ind w:left="440"/>
              <w:spacing w:after="0"/>
              <w:rPr>
                <w:sz w:val="20"/>
                <w:szCs w:val="20"/>
                <w:color w:val="auto"/>
              </w:rPr>
            </w:pPr>
            <w:r>
              <w:rPr>
                <w:rFonts w:ascii="Arial" w:cs="Arial" w:eastAsia="Arial" w:hAnsi="Arial"/>
                <w:sz w:val="13"/>
                <w:szCs w:val="13"/>
                <w:b w:val="1"/>
                <w:bCs w:val="1"/>
                <w:color w:val="auto"/>
              </w:rPr>
              <w:t>Price of Outstanding Options</w:t>
            </w:r>
          </w:p>
        </w:tc>
        <w:tc>
          <w:tcPr>
            <w:tcW w:w="3260" w:type="dxa"/>
            <w:vAlign w:val="bottom"/>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(excludes securities reflected in</w:t>
            </w:r>
          </w:p>
        </w:tc>
      </w:tr>
      <w:tr>
        <w:trPr>
          <w:trHeight w:val="179"/>
        </w:trPr>
        <w:tc>
          <w:tcPr>
            <w:tcW w:w="21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Plan Category</w:t>
            </w:r>
          </w:p>
        </w:tc>
        <w:tc>
          <w:tcPr>
            <w:tcW w:w="2760" w:type="dxa"/>
            <w:vAlign w:val="bottom"/>
            <w:tcBorders>
              <w:bottom w:val="single" w:sz="8" w:color="auto"/>
            </w:tcBorders>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Warrants and Rights</w:t>
            </w:r>
          </w:p>
        </w:tc>
        <w:tc>
          <w:tcPr>
            <w:tcW w:w="620" w:type="dxa"/>
            <w:vAlign w:val="bottom"/>
            <w:tcBorders>
              <w:bottom w:val="single" w:sz="8" w:color="auto"/>
            </w:tcBorders>
            <w:shd w:val="clear" w:color="auto" w:fill="E5E5E5"/>
          </w:tcPr>
          <w:p>
            <w:pPr>
              <w:spacing w:after="0"/>
              <w:rPr>
                <w:sz w:val="15"/>
                <w:szCs w:val="15"/>
                <w:color w:val="auto"/>
              </w:rPr>
            </w:pPr>
          </w:p>
        </w:tc>
        <w:tc>
          <w:tcPr>
            <w:tcW w:w="2280" w:type="dxa"/>
            <w:vAlign w:val="bottom"/>
            <w:tcBorders>
              <w:bottom w:val="single" w:sz="8" w:color="auto"/>
            </w:tcBorders>
            <w:shd w:val="clear" w:color="auto" w:fill="E5E5E5"/>
          </w:tcPr>
          <w:p>
            <w:pPr>
              <w:jc w:val="right"/>
              <w:ind w:right="793"/>
              <w:spacing w:after="0"/>
              <w:rPr>
                <w:sz w:val="20"/>
                <w:szCs w:val="20"/>
                <w:color w:val="auto"/>
              </w:rPr>
            </w:pPr>
            <w:r>
              <w:rPr>
                <w:rFonts w:ascii="Arial" w:cs="Arial" w:eastAsia="Arial" w:hAnsi="Arial"/>
                <w:sz w:val="13"/>
                <w:szCs w:val="13"/>
                <w:b w:val="1"/>
                <w:bCs w:val="1"/>
                <w:color w:val="auto"/>
              </w:rPr>
              <w:t>Warrants and Rights</w:t>
            </w:r>
          </w:p>
        </w:tc>
        <w:tc>
          <w:tcPr>
            <w:tcW w:w="3260" w:type="dxa"/>
            <w:vAlign w:val="bottom"/>
            <w:tcBorders>
              <w:bottom w:val="single" w:sz="8" w:color="auto"/>
            </w:tcBorders>
            <w:shd w:val="clear" w:color="auto" w:fill="E5E5E5"/>
          </w:tcPr>
          <w:p>
            <w:pPr>
              <w:jc w:val="center"/>
              <w:ind w:right="73"/>
              <w:spacing w:after="0"/>
              <w:rPr>
                <w:sz w:val="20"/>
                <w:szCs w:val="20"/>
                <w:color w:val="auto"/>
              </w:rPr>
            </w:pPr>
            <w:r>
              <w:rPr>
                <w:rFonts w:ascii="Arial" w:cs="Arial" w:eastAsia="Arial" w:hAnsi="Arial"/>
                <w:sz w:val="13"/>
                <w:szCs w:val="13"/>
                <w:b w:val="1"/>
                <w:bCs w:val="1"/>
                <w:color w:val="auto"/>
              </w:rPr>
              <w:t xml:space="preserve">first column) </w:t>
            </w:r>
            <w:r>
              <w:rPr>
                <w:rFonts w:ascii="Arial" w:cs="Arial" w:eastAsia="Arial" w:hAnsi="Arial"/>
                <w:sz w:val="11"/>
                <w:szCs w:val="11"/>
                <w:b w:val="1"/>
                <w:bCs w:val="1"/>
                <w:color w:val="auto"/>
              </w:rPr>
              <w:t>(1)</w:t>
            </w:r>
          </w:p>
        </w:tc>
      </w:tr>
      <w:tr>
        <w:trPr>
          <w:trHeight w:val="141"/>
        </w:trPr>
        <w:tc>
          <w:tcPr>
            <w:tcW w:w="2100" w:type="dxa"/>
            <w:vAlign w:val="bottom"/>
          </w:tcPr>
          <w:p>
            <w:pPr>
              <w:ind w:left="60"/>
              <w:spacing w:after="0" w:line="141" w:lineRule="exact"/>
              <w:rPr>
                <w:sz w:val="20"/>
                <w:szCs w:val="20"/>
                <w:color w:val="auto"/>
              </w:rPr>
            </w:pPr>
            <w:r>
              <w:rPr>
                <w:rFonts w:ascii="Arial" w:cs="Arial" w:eastAsia="Arial" w:hAnsi="Arial"/>
                <w:sz w:val="13"/>
                <w:szCs w:val="13"/>
                <w:color w:val="auto"/>
              </w:rPr>
              <w:t>Equity compensation plans</w:t>
            </w: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260" w:type="dxa"/>
            <w:vAlign w:val="bottom"/>
          </w:tcPr>
          <w:p>
            <w:pPr>
              <w:spacing w:after="0"/>
              <w:rPr>
                <w:sz w:val="12"/>
                <w:szCs w:val="12"/>
                <w:color w:val="auto"/>
              </w:rPr>
            </w:pPr>
          </w:p>
        </w:tc>
      </w:tr>
      <w:tr>
        <w:trPr>
          <w:trHeight w:val="149"/>
        </w:trPr>
        <w:tc>
          <w:tcPr>
            <w:tcW w:w="2100" w:type="dxa"/>
            <w:vAlign w:val="bottom"/>
          </w:tcPr>
          <w:p>
            <w:pPr>
              <w:ind w:left="60"/>
              <w:spacing w:after="0"/>
              <w:rPr>
                <w:sz w:val="20"/>
                <w:szCs w:val="20"/>
                <w:color w:val="auto"/>
              </w:rPr>
            </w:pPr>
            <w:r>
              <w:rPr>
                <w:rFonts w:ascii="Arial" w:cs="Arial" w:eastAsia="Arial" w:hAnsi="Arial"/>
                <w:sz w:val="13"/>
                <w:szCs w:val="13"/>
                <w:color w:val="auto"/>
              </w:rPr>
              <w:t>approved by security holders</w:t>
            </w:r>
            <w:r>
              <w:rPr>
                <w:rFonts w:ascii="Arial" w:cs="Arial" w:eastAsia="Arial" w:hAnsi="Arial"/>
                <w:sz w:val="11"/>
                <w:szCs w:val="11"/>
                <w:color w:val="auto"/>
              </w:rPr>
              <w:t>(2)</w:t>
            </w:r>
          </w:p>
        </w:tc>
        <w:tc>
          <w:tcPr>
            <w:tcW w:w="2760" w:type="dxa"/>
            <w:vAlign w:val="bottom"/>
          </w:tcPr>
          <w:p>
            <w:pPr>
              <w:jc w:val="right"/>
              <w:ind w:right="373"/>
              <w:spacing w:after="0"/>
              <w:rPr>
                <w:sz w:val="20"/>
                <w:szCs w:val="20"/>
                <w:color w:val="auto"/>
              </w:rPr>
            </w:pPr>
            <w:r>
              <w:rPr>
                <w:rFonts w:ascii="Arial" w:cs="Arial" w:eastAsia="Arial" w:hAnsi="Arial"/>
                <w:sz w:val="13"/>
                <w:szCs w:val="13"/>
                <w:color w:val="auto"/>
              </w:rPr>
              <w:t>8,440,683</w:t>
            </w:r>
            <w:r>
              <w:rPr>
                <w:rFonts w:ascii="Arial" w:cs="Arial" w:eastAsia="Arial" w:hAnsi="Arial"/>
                <w:sz w:val="11"/>
                <w:szCs w:val="11"/>
                <w:color w:val="auto"/>
              </w:rPr>
              <w:t>(3)</w:t>
            </w:r>
          </w:p>
        </w:tc>
        <w:tc>
          <w:tcPr>
            <w:tcW w:w="620" w:type="dxa"/>
            <w:vAlign w:val="bottom"/>
          </w:tcPr>
          <w:p>
            <w:pPr>
              <w:ind w:left="440"/>
              <w:spacing w:after="0"/>
              <w:rPr>
                <w:sz w:val="20"/>
                <w:szCs w:val="20"/>
                <w:color w:val="auto"/>
              </w:rPr>
            </w:pPr>
            <w:r>
              <w:rPr>
                <w:rFonts w:ascii="Arial" w:cs="Arial" w:eastAsia="Arial" w:hAnsi="Arial"/>
                <w:sz w:val="13"/>
                <w:szCs w:val="13"/>
                <w:color w:val="auto"/>
              </w:rPr>
              <w:t>$</w:t>
            </w:r>
          </w:p>
        </w:tc>
        <w:tc>
          <w:tcPr>
            <w:tcW w:w="2280" w:type="dxa"/>
            <w:vAlign w:val="bottom"/>
          </w:tcPr>
          <w:p>
            <w:pPr>
              <w:jc w:val="right"/>
              <w:ind w:right="373"/>
              <w:spacing w:after="0"/>
              <w:rPr>
                <w:sz w:val="20"/>
                <w:szCs w:val="20"/>
                <w:color w:val="auto"/>
              </w:rPr>
            </w:pPr>
            <w:r>
              <w:rPr>
                <w:rFonts w:ascii="Arial" w:cs="Arial" w:eastAsia="Arial" w:hAnsi="Arial"/>
                <w:sz w:val="13"/>
                <w:szCs w:val="13"/>
                <w:color w:val="auto"/>
              </w:rPr>
              <w:t>10.36</w:t>
            </w:r>
            <w:r>
              <w:rPr>
                <w:rFonts w:ascii="Arial" w:cs="Arial" w:eastAsia="Arial" w:hAnsi="Arial"/>
                <w:sz w:val="11"/>
                <w:szCs w:val="11"/>
                <w:color w:val="auto"/>
              </w:rPr>
              <w:t>(4)</w:t>
            </w:r>
          </w:p>
        </w:tc>
        <w:tc>
          <w:tcPr>
            <w:tcW w:w="3260" w:type="dxa"/>
            <w:vAlign w:val="bottom"/>
          </w:tcPr>
          <w:p>
            <w:pPr>
              <w:jc w:val="right"/>
              <w:ind w:right="373"/>
              <w:spacing w:after="0"/>
              <w:rPr>
                <w:sz w:val="20"/>
                <w:szCs w:val="20"/>
                <w:color w:val="auto"/>
              </w:rPr>
            </w:pPr>
            <w:r>
              <w:rPr>
                <w:rFonts w:ascii="Arial" w:cs="Arial" w:eastAsia="Arial" w:hAnsi="Arial"/>
                <w:sz w:val="13"/>
                <w:szCs w:val="13"/>
                <w:color w:val="auto"/>
              </w:rPr>
              <w:t>4,001,934</w:t>
            </w:r>
            <w:r>
              <w:rPr>
                <w:rFonts w:ascii="Arial" w:cs="Arial" w:eastAsia="Arial" w:hAnsi="Arial"/>
                <w:sz w:val="11"/>
                <w:szCs w:val="11"/>
                <w:color w:val="auto"/>
              </w:rPr>
              <w:t>(5)</w:t>
            </w:r>
          </w:p>
        </w:tc>
      </w:tr>
      <w:tr>
        <w:trPr>
          <w:trHeight w:val="148"/>
        </w:trPr>
        <w:tc>
          <w:tcPr>
            <w:tcW w:w="2100" w:type="dxa"/>
            <w:vAlign w:val="bottom"/>
            <w:shd w:val="clear" w:color="auto" w:fill="D8D8D8"/>
          </w:tcPr>
          <w:p>
            <w:pPr>
              <w:ind w:left="60"/>
              <w:spacing w:after="0" w:line="148" w:lineRule="exact"/>
              <w:rPr>
                <w:sz w:val="20"/>
                <w:szCs w:val="20"/>
                <w:color w:val="auto"/>
              </w:rPr>
            </w:pPr>
            <w:r>
              <w:rPr>
                <w:rFonts w:ascii="Arial" w:cs="Arial" w:eastAsia="Arial" w:hAnsi="Arial"/>
                <w:sz w:val="13"/>
                <w:szCs w:val="13"/>
                <w:color w:val="auto"/>
              </w:rPr>
              <w:t>Equity compensation plans not</w:t>
            </w:r>
          </w:p>
        </w:tc>
        <w:tc>
          <w:tcPr>
            <w:tcW w:w="276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280" w:type="dxa"/>
            <w:vAlign w:val="bottom"/>
            <w:shd w:val="clear" w:color="auto" w:fill="D8D8D8"/>
          </w:tcPr>
          <w:p>
            <w:pPr>
              <w:spacing w:after="0"/>
              <w:rPr>
                <w:sz w:val="12"/>
                <w:szCs w:val="12"/>
                <w:color w:val="auto"/>
              </w:rPr>
            </w:pPr>
          </w:p>
        </w:tc>
        <w:tc>
          <w:tcPr>
            <w:tcW w:w="3260" w:type="dxa"/>
            <w:vAlign w:val="bottom"/>
            <w:shd w:val="clear" w:color="auto" w:fill="D8D8D8"/>
          </w:tcPr>
          <w:p>
            <w:pPr>
              <w:spacing w:after="0"/>
              <w:rPr>
                <w:sz w:val="12"/>
                <w:szCs w:val="12"/>
                <w:color w:val="auto"/>
              </w:rPr>
            </w:pPr>
          </w:p>
        </w:tc>
      </w:tr>
      <w:tr>
        <w:trPr>
          <w:trHeight w:val="149"/>
        </w:trPr>
        <w:tc>
          <w:tcPr>
            <w:tcW w:w="2100" w:type="dxa"/>
            <w:vAlign w:val="bottom"/>
            <w:shd w:val="clear" w:color="auto" w:fill="D8D8D8"/>
          </w:tcPr>
          <w:p>
            <w:pPr>
              <w:ind w:left="60"/>
              <w:spacing w:after="0"/>
              <w:rPr>
                <w:sz w:val="20"/>
                <w:szCs w:val="20"/>
                <w:color w:val="auto"/>
              </w:rPr>
            </w:pPr>
            <w:r>
              <w:rPr>
                <w:rFonts w:ascii="Arial" w:cs="Arial" w:eastAsia="Arial" w:hAnsi="Arial"/>
                <w:sz w:val="13"/>
                <w:szCs w:val="13"/>
                <w:color w:val="auto"/>
              </w:rPr>
              <w:t>approved by security holders</w:t>
            </w:r>
          </w:p>
        </w:tc>
        <w:tc>
          <w:tcPr>
            <w:tcW w:w="2760" w:type="dxa"/>
            <w:vAlign w:val="bottom"/>
            <w:shd w:val="clear" w:color="auto" w:fill="D8D8D8"/>
          </w:tcPr>
          <w:p>
            <w:pPr>
              <w:jc w:val="right"/>
              <w:ind w:right="513"/>
              <w:spacing w:after="0"/>
              <w:rPr>
                <w:sz w:val="20"/>
                <w:szCs w:val="20"/>
                <w:color w:val="auto"/>
              </w:rPr>
            </w:pPr>
            <w:r>
              <w:rPr>
                <w:rFonts w:ascii="Arial" w:cs="Arial" w:eastAsia="Arial" w:hAnsi="Arial"/>
                <w:sz w:val="13"/>
                <w:szCs w:val="13"/>
                <w:color w:val="auto"/>
              </w:rPr>
              <w:t>—</w:t>
            </w:r>
          </w:p>
        </w:tc>
        <w:tc>
          <w:tcPr>
            <w:tcW w:w="620" w:type="dxa"/>
            <w:vAlign w:val="bottom"/>
            <w:shd w:val="clear" w:color="auto" w:fill="D8D8D8"/>
          </w:tcPr>
          <w:p>
            <w:pPr>
              <w:spacing w:after="0"/>
              <w:rPr>
                <w:sz w:val="12"/>
                <w:szCs w:val="12"/>
                <w:color w:val="auto"/>
              </w:rPr>
            </w:pPr>
          </w:p>
        </w:tc>
        <w:tc>
          <w:tcPr>
            <w:tcW w:w="2280" w:type="dxa"/>
            <w:vAlign w:val="bottom"/>
            <w:shd w:val="clear" w:color="auto" w:fill="D8D8D8"/>
          </w:tcPr>
          <w:p>
            <w:pPr>
              <w:jc w:val="right"/>
              <w:ind w:right="513"/>
              <w:spacing w:after="0"/>
              <w:rPr>
                <w:sz w:val="20"/>
                <w:szCs w:val="20"/>
                <w:color w:val="auto"/>
              </w:rPr>
            </w:pPr>
            <w:r>
              <w:rPr>
                <w:rFonts w:ascii="Arial" w:cs="Arial" w:eastAsia="Arial" w:hAnsi="Arial"/>
                <w:sz w:val="13"/>
                <w:szCs w:val="13"/>
                <w:color w:val="auto"/>
              </w:rPr>
              <w:t>—</w:t>
            </w:r>
          </w:p>
        </w:tc>
        <w:tc>
          <w:tcPr>
            <w:tcW w:w="3260" w:type="dxa"/>
            <w:vAlign w:val="bottom"/>
            <w:shd w:val="clear" w:color="auto" w:fill="D8D8D8"/>
          </w:tcPr>
          <w:p>
            <w:pPr>
              <w:jc w:val="right"/>
              <w:ind w:right="513"/>
              <w:spacing w:after="0"/>
              <w:rPr>
                <w:sz w:val="20"/>
                <w:szCs w:val="20"/>
                <w:color w:val="auto"/>
              </w:rPr>
            </w:pPr>
            <w:r>
              <w:rPr>
                <w:rFonts w:ascii="Arial" w:cs="Arial" w:eastAsia="Arial" w:hAnsi="Arial"/>
                <w:sz w:val="13"/>
                <w:szCs w:val="13"/>
                <w:color w:val="auto"/>
              </w:rPr>
              <w:t>—</w:t>
            </w:r>
          </w:p>
        </w:tc>
      </w:tr>
      <w:tr>
        <w:trPr>
          <w:trHeight w:val="148"/>
        </w:trPr>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Total</w:t>
            </w:r>
          </w:p>
        </w:tc>
        <w:tc>
          <w:tcPr>
            <w:tcW w:w="276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8,440,683</w:t>
            </w: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22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10.36</w:t>
            </w:r>
          </w:p>
        </w:tc>
        <w:tc>
          <w:tcPr>
            <w:tcW w:w="326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4,001,934</w:t>
            </w:r>
          </w:p>
        </w:tc>
      </w:tr>
    </w:tbl>
    <w:p>
      <w:pPr>
        <w:spacing w:after="0" w:line="121" w:lineRule="exact"/>
        <w:rPr>
          <w:sz w:val="20"/>
          <w:szCs w:val="20"/>
          <w:color w:val="auto"/>
        </w:rPr>
      </w:pPr>
    </w:p>
    <w:p>
      <w:pPr>
        <w:ind w:left="340" w:right="80" w:hanging="224"/>
        <w:spacing w:after="0" w:line="242"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Pursuant to the terms of the 2015 Incentive Award Plan (the “2015 Plan”), the number of shares of Common Stock available for issuance under the 2015 Plan automatically increases on each January 1 until and including January 1, 2025, by an amount equal to the lesser of: (a) 4% of the shares of Common Stock outstanding on the final day of the immediately preceding calendar year and (b) such smaller number of shares as is determined by our Board. Pursuant to the terms of the 2015 Employee Stock Purchase Plan (the “2015 ESPP”), the number of shares of Common Stock available for issuance under the 2015 ESPP automatically increases on each January 1 until and including January 1, 2025, by an amount equal to the least of: (a) 400,000 shares, (b) 1% of the shares of Common Stock outstanding on the final day of the immediately preceding calendar year and (c) such smaller number of shares as is determined by our Board.</w:t>
      </w:r>
    </w:p>
    <w:p>
      <w:pPr>
        <w:spacing w:after="0" w:line="54"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the 2012 Stock Incentive Plan (the “2012 Plan”), the 2015 Plan, and the 2015 ESPP.</w:t>
      </w:r>
    </w:p>
    <w:p>
      <w:pPr>
        <w:spacing w:after="0" w:line="67" w:lineRule="exact"/>
        <w:rPr>
          <w:sz w:val="20"/>
          <w:szCs w:val="20"/>
          <w:color w:val="auto"/>
        </w:rPr>
      </w:pPr>
    </w:p>
    <w:p>
      <w:pPr>
        <w:ind w:left="340" w:right="100" w:hanging="224"/>
        <w:spacing w:after="0" w:line="258" w:lineRule="auto"/>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1,989,391 outstanding options to purchase stock under the 2012 Plan, 6,321,292 outstanding options to purchase stock under the 2015 Plan, and 130,000 restricted stock units under the 2015 Plan.</w:t>
      </w:r>
    </w:p>
    <w:p>
      <w:pPr>
        <w:spacing w:after="0" w:line="43" w:lineRule="exact"/>
        <w:rPr>
          <w:sz w:val="20"/>
          <w:szCs w:val="20"/>
          <w:color w:val="auto"/>
        </w:rPr>
      </w:pPr>
    </w:p>
    <w:p>
      <w:pPr>
        <w:ind w:left="340" w:right="420" w:hanging="224"/>
        <w:spacing w:after="0" w:line="258" w:lineRule="auto"/>
        <w:tabs>
          <w:tab w:leader="none" w:pos="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As of December 31, 2019, the weighted-average exercise price of outstanding options under the 2012 Plan was $4.92 and the weighted-average exercise price of outstanding options under the 2015 Plan was $12.07.</w:t>
      </w:r>
    </w:p>
    <w:p>
      <w:pPr>
        <w:spacing w:after="0" w:line="43" w:lineRule="exact"/>
        <w:rPr>
          <w:sz w:val="20"/>
          <w:szCs w:val="20"/>
          <w:color w:val="auto"/>
        </w:rPr>
      </w:pPr>
    </w:p>
    <w:p>
      <w:pPr>
        <w:ind w:left="340" w:right="80" w:hanging="224"/>
        <w:spacing w:after="0" w:line="258" w:lineRule="auto"/>
        <w:tabs>
          <w:tab w:leader="none" w:pos="3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As of December 31, 2019, a total of 4,001,934 shares of Common Stock were available for issuance, consisting of 1,847,474 shares under the 2015 ESPP and 2,154,460 shares of Common Stock were available for future issuance under the 2015 Plan.</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April 21, 2020,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72,212,602 shares of Common Stock outstanding as of April 21, 2020. In computing the number of shares beneficially owned by a person and the percentage ownership of that person, shares of Common Stock subject to options, or other rights held by such person that are currently exercisable or will become exercisable within 60 days of April 21, 2020 are considered outstanding, although these shares are not considered outstanding for purposes of computing the percentage ownership of any other person.</w:t>
      </w:r>
    </w:p>
    <w:p>
      <w:pPr>
        <w:spacing w:after="0" w:line="99" w:lineRule="exact"/>
        <w:rPr>
          <w:sz w:val="20"/>
          <w:szCs w:val="20"/>
          <w:color w:val="auto"/>
        </w:rPr>
      </w:pPr>
    </w:p>
    <w:p>
      <w:pPr>
        <w:jc w:val="both"/>
        <w:ind w:left="120" w:right="200"/>
        <w:spacing w:after="0"/>
        <w:rPr>
          <w:sz w:val="20"/>
          <w:szCs w:val="20"/>
          <w:color w:val="auto"/>
        </w:rPr>
      </w:pPr>
      <w:r>
        <w:rPr>
          <w:rFonts w:ascii="Arial" w:cs="Arial" w:eastAsia="Arial" w:hAnsi="Arial"/>
          <w:sz w:val="18"/>
          <w:szCs w:val="18"/>
          <w:color w:val="auto"/>
        </w:rPr>
        <w:t>Unless otherwise indicated, the address of each beneficial owner listed below is 200 Sidney Street, Cambridge, MA 02139.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 OF BENEFICIAL OWNER</w:t>
            </w:r>
          </w:p>
        </w:tc>
        <w:tc>
          <w:tcPr>
            <w:tcW w:w="1460" w:type="dxa"/>
            <w:vAlign w:val="bottom"/>
            <w:tcBorders>
              <w:bottom w:val="single" w:sz="8" w:color="auto"/>
            </w:tcBorders>
            <w:shd w:val="clear" w:color="auto" w:fill="E5E5E5"/>
          </w:tcPr>
          <w:p>
            <w:pPr>
              <w:jc w:val="right"/>
              <w:ind w:right="413"/>
              <w:spacing w:after="0"/>
              <w:rPr>
                <w:sz w:val="20"/>
                <w:szCs w:val="20"/>
                <w:color w:val="auto"/>
              </w:rPr>
            </w:pPr>
            <w:r>
              <w:rPr>
                <w:rFonts w:ascii="Arial" w:cs="Arial" w:eastAsia="Arial" w:hAnsi="Arial"/>
                <w:sz w:val="13"/>
                <w:szCs w:val="13"/>
                <w:b w:val="1"/>
                <w:bCs w:val="1"/>
                <w:color w:val="auto"/>
              </w:rPr>
              <w:t>NUMBER</w:t>
            </w:r>
          </w:p>
        </w:tc>
        <w:tc>
          <w:tcPr>
            <w:tcW w:w="1720" w:type="dxa"/>
            <w:vAlign w:val="bottom"/>
            <w:tcBorders>
              <w:bottom w:val="single" w:sz="8" w:color="auto"/>
            </w:tcBorders>
            <w:shd w:val="clear" w:color="auto" w:fill="E5E5E5"/>
          </w:tcPr>
          <w:p>
            <w:pPr>
              <w:jc w:val="right"/>
              <w:ind w:right="373"/>
              <w:spacing w:after="0"/>
              <w:rPr>
                <w:sz w:val="20"/>
                <w:szCs w:val="20"/>
                <w:color w:val="auto"/>
              </w:rPr>
            </w:pPr>
            <w:r>
              <w:rPr>
                <w:rFonts w:ascii="Arial" w:cs="Arial" w:eastAsia="Arial" w:hAnsi="Arial"/>
                <w:sz w:val="13"/>
                <w:szCs w:val="13"/>
                <w:b w:val="1"/>
                <w:bCs w:val="1"/>
                <w:color w:val="auto"/>
              </w:rPr>
              <w:t>PERCENTAGE</w:t>
            </w:r>
          </w:p>
        </w:tc>
      </w:tr>
      <w:tr>
        <w:trPr>
          <w:trHeight w:val="142"/>
        </w:trPr>
        <w:tc>
          <w:tcPr>
            <w:tcW w:w="7840" w:type="dxa"/>
            <w:vAlign w:val="bottom"/>
          </w:tcPr>
          <w:p>
            <w:pPr>
              <w:ind w:left="60"/>
              <w:spacing w:after="0" w:line="142" w:lineRule="exact"/>
              <w:rPr>
                <w:sz w:val="20"/>
                <w:szCs w:val="20"/>
                <w:color w:val="auto"/>
              </w:rPr>
            </w:pPr>
            <w:r>
              <w:rPr>
                <w:rFonts w:ascii="Arial" w:cs="Arial" w:eastAsia="Arial" w:hAnsi="Arial"/>
                <w:sz w:val="13"/>
                <w:szCs w:val="13"/>
                <w:b w:val="1"/>
                <w:bCs w:val="1"/>
                <w:i w:val="1"/>
                <w:iCs w:val="1"/>
                <w:color w:val="auto"/>
              </w:rPr>
              <w:t>5% or Greater Stockholders</w:t>
            </w:r>
          </w:p>
        </w:tc>
        <w:tc>
          <w:tcPr>
            <w:tcW w:w="14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7840" w:type="dxa"/>
            <w:vAlign w:val="bottom"/>
            <w:shd w:val="clear" w:color="auto" w:fill="D8D8D8"/>
          </w:tcPr>
          <w:p>
            <w:pPr>
              <w:ind w:left="60"/>
              <w:spacing w:after="0"/>
              <w:rPr>
                <w:sz w:val="20"/>
                <w:szCs w:val="20"/>
                <w:color w:val="auto"/>
              </w:rPr>
            </w:pPr>
            <w:r>
              <w:rPr>
                <w:rFonts w:ascii="Arial" w:cs="Arial" w:eastAsia="Arial" w:hAnsi="Arial"/>
                <w:sz w:val="13"/>
                <w:szCs w:val="13"/>
                <w:color w:val="auto"/>
              </w:rPr>
              <w:t>Entities affiliated with Flagship Pioneering</w:t>
            </w:r>
            <w:r>
              <w:rPr>
                <w:rFonts w:ascii="Arial" w:cs="Arial" w:eastAsia="Arial" w:hAnsi="Arial"/>
                <w:sz w:val="11"/>
                <w:szCs w:val="11"/>
                <w:color w:val="auto"/>
              </w:rPr>
              <w:t>1</w:t>
            </w:r>
          </w:p>
        </w:tc>
        <w:tc>
          <w:tcPr>
            <w:tcW w:w="1460" w:type="dxa"/>
            <w:vAlign w:val="bottom"/>
            <w:shd w:val="clear" w:color="auto" w:fill="D8D8D8"/>
          </w:tcPr>
          <w:p>
            <w:pPr>
              <w:jc w:val="right"/>
              <w:ind w:right="333"/>
              <w:spacing w:after="0"/>
              <w:rPr>
                <w:sz w:val="20"/>
                <w:szCs w:val="20"/>
                <w:color w:val="auto"/>
              </w:rPr>
            </w:pPr>
            <w:r>
              <w:rPr>
                <w:rFonts w:ascii="Arial" w:cs="Arial" w:eastAsia="Arial" w:hAnsi="Arial"/>
                <w:sz w:val="13"/>
                <w:szCs w:val="13"/>
                <w:color w:val="auto"/>
              </w:rPr>
              <w:t>21,571,764</w:t>
            </w:r>
          </w:p>
        </w:tc>
        <w:tc>
          <w:tcPr>
            <w:tcW w:w="1720" w:type="dxa"/>
            <w:vAlign w:val="bottom"/>
            <w:shd w:val="clear" w:color="auto" w:fill="D8D8D8"/>
          </w:tcPr>
          <w:p>
            <w:pPr>
              <w:jc w:val="right"/>
              <w:ind w:right="253"/>
              <w:spacing w:after="0"/>
              <w:rPr>
                <w:sz w:val="20"/>
                <w:szCs w:val="20"/>
                <w:color w:val="auto"/>
              </w:rPr>
            </w:pPr>
            <w:r>
              <w:rPr>
                <w:rFonts w:ascii="Arial" w:cs="Arial" w:eastAsia="Arial" w:hAnsi="Arial"/>
                <w:sz w:val="13"/>
                <w:szCs w:val="13"/>
                <w:color w:val="auto"/>
              </w:rPr>
              <w:t>29.9%</w:t>
            </w:r>
          </w:p>
        </w:tc>
      </w:tr>
      <w:tr>
        <w:trPr>
          <w:trHeight w:val="148"/>
        </w:trPr>
        <w:tc>
          <w:tcPr>
            <w:tcW w:w="7840" w:type="dxa"/>
            <w:vAlign w:val="bottom"/>
          </w:tcPr>
          <w:p>
            <w:pPr>
              <w:ind w:left="60"/>
              <w:spacing w:after="0"/>
              <w:rPr>
                <w:sz w:val="20"/>
                <w:szCs w:val="20"/>
                <w:color w:val="auto"/>
              </w:rPr>
            </w:pPr>
            <w:r>
              <w:rPr>
                <w:rFonts w:ascii="Arial" w:cs="Arial" w:eastAsia="Arial" w:hAnsi="Arial"/>
                <w:sz w:val="13"/>
                <w:szCs w:val="13"/>
                <w:color w:val="auto"/>
              </w:rPr>
              <w:t>Nikko Asset Management Americas, Inc.</w:t>
            </w:r>
            <w:r>
              <w:rPr>
                <w:rFonts w:ascii="Arial" w:cs="Arial" w:eastAsia="Arial" w:hAnsi="Arial"/>
                <w:sz w:val="11"/>
                <w:szCs w:val="11"/>
                <w:color w:val="auto"/>
              </w:rPr>
              <w:t>2</w:t>
            </w:r>
          </w:p>
        </w:tc>
        <w:tc>
          <w:tcPr>
            <w:tcW w:w="1460" w:type="dxa"/>
            <w:vAlign w:val="bottom"/>
          </w:tcPr>
          <w:p>
            <w:pPr>
              <w:jc w:val="right"/>
              <w:ind w:right="333"/>
              <w:spacing w:after="0"/>
              <w:rPr>
                <w:sz w:val="20"/>
                <w:szCs w:val="20"/>
                <w:color w:val="auto"/>
              </w:rPr>
            </w:pPr>
            <w:r>
              <w:rPr>
                <w:rFonts w:ascii="Arial" w:cs="Arial" w:eastAsia="Arial" w:hAnsi="Arial"/>
                <w:sz w:val="13"/>
                <w:szCs w:val="13"/>
                <w:color w:val="auto"/>
              </w:rPr>
              <w:t>8,273,223</w:t>
            </w:r>
          </w:p>
        </w:tc>
        <w:tc>
          <w:tcPr>
            <w:tcW w:w="1720" w:type="dxa"/>
            <w:vAlign w:val="bottom"/>
          </w:tcPr>
          <w:p>
            <w:pPr>
              <w:jc w:val="right"/>
              <w:ind w:right="253"/>
              <w:spacing w:after="0"/>
              <w:rPr>
                <w:sz w:val="20"/>
                <w:szCs w:val="20"/>
                <w:color w:val="auto"/>
              </w:rPr>
            </w:pPr>
            <w:r>
              <w:rPr>
                <w:rFonts w:ascii="Arial" w:cs="Arial" w:eastAsia="Arial" w:hAnsi="Arial"/>
                <w:sz w:val="13"/>
                <w:szCs w:val="13"/>
                <w:color w:val="auto"/>
              </w:rPr>
              <w:t>11.5%</w:t>
            </w:r>
          </w:p>
        </w:tc>
      </w:tr>
      <w:tr>
        <w:trPr>
          <w:trHeight w:val="148"/>
        </w:trPr>
        <w:tc>
          <w:tcPr>
            <w:tcW w:w="7840" w:type="dxa"/>
            <w:vAlign w:val="bottom"/>
            <w:shd w:val="clear" w:color="auto" w:fill="D8D8D8"/>
          </w:tcPr>
          <w:p>
            <w:pPr>
              <w:ind w:left="60"/>
              <w:spacing w:after="0"/>
              <w:rPr>
                <w:sz w:val="20"/>
                <w:szCs w:val="20"/>
                <w:color w:val="auto"/>
              </w:rPr>
            </w:pPr>
            <w:r>
              <w:rPr>
                <w:rFonts w:ascii="Arial" w:cs="Arial" w:eastAsia="Arial" w:hAnsi="Arial"/>
                <w:sz w:val="13"/>
                <w:szCs w:val="13"/>
                <w:color w:val="auto"/>
              </w:rPr>
              <w:t>ARK Investment Management LLC</w:t>
            </w:r>
            <w:r>
              <w:rPr>
                <w:rFonts w:ascii="Arial" w:cs="Arial" w:eastAsia="Arial" w:hAnsi="Arial"/>
                <w:sz w:val="11"/>
                <w:szCs w:val="11"/>
                <w:color w:val="auto"/>
              </w:rPr>
              <w:t>3</w:t>
            </w:r>
          </w:p>
        </w:tc>
        <w:tc>
          <w:tcPr>
            <w:tcW w:w="1460" w:type="dxa"/>
            <w:vAlign w:val="bottom"/>
            <w:shd w:val="clear" w:color="auto" w:fill="D8D8D8"/>
          </w:tcPr>
          <w:p>
            <w:pPr>
              <w:jc w:val="right"/>
              <w:ind w:right="293"/>
              <w:spacing w:after="0"/>
              <w:rPr>
                <w:sz w:val="20"/>
                <w:szCs w:val="20"/>
                <w:color w:val="auto"/>
              </w:rPr>
            </w:pPr>
            <w:r>
              <w:rPr>
                <w:rFonts w:ascii="Arial" w:cs="Arial" w:eastAsia="Arial" w:hAnsi="Arial"/>
                <w:sz w:val="13"/>
                <w:szCs w:val="13"/>
                <w:color w:val="auto"/>
              </w:rPr>
              <w:t>7,273,840]</w:t>
            </w:r>
          </w:p>
        </w:tc>
        <w:tc>
          <w:tcPr>
            <w:tcW w:w="1720" w:type="dxa"/>
            <w:vAlign w:val="bottom"/>
            <w:shd w:val="clear" w:color="auto" w:fill="D8D8D8"/>
          </w:tcPr>
          <w:p>
            <w:pPr>
              <w:jc w:val="right"/>
              <w:ind w:right="253"/>
              <w:spacing w:after="0"/>
              <w:rPr>
                <w:sz w:val="20"/>
                <w:szCs w:val="20"/>
                <w:color w:val="auto"/>
              </w:rPr>
            </w:pPr>
            <w:r>
              <w:rPr>
                <w:rFonts w:ascii="Arial" w:cs="Arial" w:eastAsia="Arial" w:hAnsi="Arial"/>
                <w:sz w:val="13"/>
                <w:szCs w:val="13"/>
                <w:color w:val="auto"/>
              </w:rPr>
              <w:t>10.1%</w:t>
            </w:r>
          </w:p>
        </w:tc>
      </w:tr>
      <w:tr>
        <w:trPr>
          <w:trHeight w:val="148"/>
        </w:trPr>
        <w:tc>
          <w:tcPr>
            <w:tcW w:w="7840" w:type="dxa"/>
            <w:vAlign w:val="bottom"/>
          </w:tcPr>
          <w:p>
            <w:pPr>
              <w:ind w:left="60"/>
              <w:spacing w:after="0"/>
              <w:rPr>
                <w:sz w:val="20"/>
                <w:szCs w:val="20"/>
                <w:color w:val="auto"/>
              </w:rPr>
            </w:pPr>
            <w:r>
              <w:rPr>
                <w:rFonts w:ascii="Arial" w:cs="Arial" w:eastAsia="Arial" w:hAnsi="Arial"/>
                <w:sz w:val="13"/>
                <w:szCs w:val="13"/>
                <w:color w:val="auto"/>
              </w:rPr>
              <w:t>Nestlé Health Science US Holdings, Inc.</w:t>
            </w:r>
            <w:r>
              <w:rPr>
                <w:rFonts w:ascii="Arial" w:cs="Arial" w:eastAsia="Arial" w:hAnsi="Arial"/>
                <w:sz w:val="11"/>
                <w:szCs w:val="11"/>
                <w:color w:val="auto"/>
              </w:rPr>
              <w:t>4</w:t>
            </w:r>
          </w:p>
        </w:tc>
        <w:tc>
          <w:tcPr>
            <w:tcW w:w="1460" w:type="dxa"/>
            <w:vAlign w:val="bottom"/>
          </w:tcPr>
          <w:p>
            <w:pPr>
              <w:jc w:val="right"/>
              <w:ind w:right="333"/>
              <w:spacing w:after="0"/>
              <w:rPr>
                <w:sz w:val="20"/>
                <w:szCs w:val="20"/>
                <w:color w:val="auto"/>
              </w:rPr>
            </w:pPr>
            <w:r>
              <w:rPr>
                <w:rFonts w:ascii="Arial" w:cs="Arial" w:eastAsia="Arial" w:hAnsi="Arial"/>
                <w:sz w:val="13"/>
                <w:szCs w:val="13"/>
                <w:color w:val="auto"/>
              </w:rPr>
              <w:t>6,933,888</w:t>
            </w:r>
          </w:p>
        </w:tc>
        <w:tc>
          <w:tcPr>
            <w:tcW w:w="1720" w:type="dxa"/>
            <w:vAlign w:val="bottom"/>
          </w:tcPr>
          <w:p>
            <w:pPr>
              <w:jc w:val="right"/>
              <w:ind w:right="253"/>
              <w:spacing w:after="0"/>
              <w:rPr>
                <w:sz w:val="20"/>
                <w:szCs w:val="20"/>
                <w:color w:val="auto"/>
              </w:rPr>
            </w:pPr>
            <w:r>
              <w:rPr>
                <w:rFonts w:ascii="Arial" w:cs="Arial" w:eastAsia="Arial" w:hAnsi="Arial"/>
                <w:sz w:val="13"/>
                <w:szCs w:val="13"/>
                <w:color w:val="auto"/>
              </w:rPr>
              <w:t>9.6%</w:t>
            </w:r>
          </w:p>
        </w:tc>
      </w:tr>
      <w:tr>
        <w:trPr>
          <w:trHeight w:val="148"/>
        </w:trPr>
        <w:tc>
          <w:tcPr>
            <w:tcW w:w="7840" w:type="dxa"/>
            <w:vAlign w:val="bottom"/>
            <w:shd w:val="clear" w:color="auto" w:fill="D8D8D8"/>
          </w:tcPr>
          <w:p>
            <w:pPr>
              <w:ind w:left="60"/>
              <w:spacing w:after="0"/>
              <w:rPr>
                <w:sz w:val="20"/>
                <w:szCs w:val="20"/>
                <w:color w:val="auto"/>
              </w:rPr>
            </w:pPr>
            <w:r>
              <w:rPr>
                <w:rFonts w:ascii="Arial" w:cs="Arial" w:eastAsia="Arial" w:hAnsi="Arial"/>
                <w:sz w:val="13"/>
                <w:szCs w:val="13"/>
                <w:color w:val="auto"/>
              </w:rPr>
              <w:t>FMR LLC</w:t>
            </w:r>
            <w:r>
              <w:rPr>
                <w:rFonts w:ascii="Arial" w:cs="Arial" w:eastAsia="Arial" w:hAnsi="Arial"/>
                <w:sz w:val="11"/>
                <w:szCs w:val="11"/>
                <w:color w:val="auto"/>
              </w:rPr>
              <w:t>5</w:t>
            </w:r>
          </w:p>
        </w:tc>
        <w:tc>
          <w:tcPr>
            <w:tcW w:w="1460" w:type="dxa"/>
            <w:vAlign w:val="bottom"/>
            <w:shd w:val="clear" w:color="auto" w:fill="D8D8D8"/>
          </w:tcPr>
          <w:p>
            <w:pPr>
              <w:jc w:val="right"/>
              <w:ind w:right="333"/>
              <w:spacing w:after="0"/>
              <w:rPr>
                <w:sz w:val="20"/>
                <w:szCs w:val="20"/>
                <w:color w:val="auto"/>
              </w:rPr>
            </w:pPr>
            <w:r>
              <w:rPr>
                <w:rFonts w:ascii="Arial" w:cs="Arial" w:eastAsia="Arial" w:hAnsi="Arial"/>
                <w:sz w:val="13"/>
                <w:szCs w:val="13"/>
                <w:color w:val="auto"/>
              </w:rPr>
              <w:t>6,499,118</w:t>
            </w:r>
          </w:p>
        </w:tc>
        <w:tc>
          <w:tcPr>
            <w:tcW w:w="1720" w:type="dxa"/>
            <w:vAlign w:val="bottom"/>
            <w:shd w:val="clear" w:color="auto" w:fill="D8D8D8"/>
          </w:tcPr>
          <w:p>
            <w:pPr>
              <w:jc w:val="right"/>
              <w:ind w:right="253"/>
              <w:spacing w:after="0"/>
              <w:rPr>
                <w:sz w:val="20"/>
                <w:szCs w:val="20"/>
                <w:color w:val="auto"/>
              </w:rPr>
            </w:pPr>
            <w:r>
              <w:rPr>
                <w:rFonts w:ascii="Arial" w:cs="Arial" w:eastAsia="Arial" w:hAnsi="Arial"/>
                <w:sz w:val="13"/>
                <w:szCs w:val="13"/>
                <w:color w:val="auto"/>
              </w:rPr>
              <w:t>9.0%</w:t>
            </w:r>
          </w:p>
        </w:tc>
      </w:tr>
      <w:tr>
        <w:trPr>
          <w:trHeight w:val="148"/>
        </w:trPr>
        <w:tc>
          <w:tcPr>
            <w:tcW w:w="7840" w:type="dxa"/>
            <w:vAlign w:val="bottom"/>
          </w:tcPr>
          <w:p>
            <w:pPr>
              <w:ind w:left="60"/>
              <w:spacing w:after="0"/>
              <w:rPr>
                <w:sz w:val="20"/>
                <w:szCs w:val="20"/>
                <w:color w:val="auto"/>
              </w:rPr>
            </w:pPr>
            <w:r>
              <w:rPr>
                <w:rFonts w:ascii="Arial" w:cs="Arial" w:eastAsia="Arial" w:hAnsi="Arial"/>
                <w:sz w:val="13"/>
                <w:szCs w:val="13"/>
                <w:color w:val="auto"/>
              </w:rPr>
              <w:t>BlackRock, Inc.</w:t>
            </w:r>
            <w:r>
              <w:rPr>
                <w:rFonts w:ascii="Arial" w:cs="Arial" w:eastAsia="Arial" w:hAnsi="Arial"/>
                <w:sz w:val="11"/>
                <w:szCs w:val="11"/>
                <w:color w:val="auto"/>
              </w:rPr>
              <w:t>6</w:t>
            </w:r>
          </w:p>
        </w:tc>
        <w:tc>
          <w:tcPr>
            <w:tcW w:w="1460" w:type="dxa"/>
            <w:vAlign w:val="bottom"/>
          </w:tcPr>
          <w:p>
            <w:pPr>
              <w:jc w:val="right"/>
              <w:ind w:right="333"/>
              <w:spacing w:after="0"/>
              <w:rPr>
                <w:sz w:val="20"/>
                <w:szCs w:val="20"/>
                <w:color w:val="auto"/>
              </w:rPr>
            </w:pPr>
            <w:r>
              <w:rPr>
                <w:rFonts w:ascii="Arial" w:cs="Arial" w:eastAsia="Arial" w:hAnsi="Arial"/>
                <w:sz w:val="13"/>
                <w:szCs w:val="13"/>
                <w:color w:val="auto"/>
              </w:rPr>
              <w:t>4,003,353</w:t>
            </w:r>
          </w:p>
        </w:tc>
        <w:tc>
          <w:tcPr>
            <w:tcW w:w="1720" w:type="dxa"/>
            <w:vAlign w:val="bottom"/>
          </w:tcPr>
          <w:p>
            <w:pPr>
              <w:jc w:val="right"/>
              <w:ind w:right="253"/>
              <w:spacing w:after="0"/>
              <w:rPr>
                <w:sz w:val="20"/>
                <w:szCs w:val="20"/>
                <w:color w:val="auto"/>
              </w:rPr>
            </w:pPr>
            <w:r>
              <w:rPr>
                <w:rFonts w:ascii="Arial" w:cs="Arial" w:eastAsia="Arial" w:hAnsi="Arial"/>
                <w:sz w:val="13"/>
                <w:szCs w:val="13"/>
                <w:color w:val="auto"/>
              </w:rPr>
              <w:t>5.5%</w:t>
            </w:r>
          </w:p>
        </w:tc>
      </w:tr>
      <w:tr>
        <w:trPr>
          <w:trHeight w:val="149"/>
        </w:trPr>
        <w:tc>
          <w:tcPr>
            <w:tcW w:w="7840" w:type="dxa"/>
            <w:vAlign w:val="bottom"/>
            <w:shd w:val="clear" w:color="auto" w:fill="D8D8D8"/>
          </w:tcPr>
          <w:p>
            <w:pPr>
              <w:ind w:left="60"/>
              <w:spacing w:after="0"/>
              <w:rPr>
                <w:sz w:val="20"/>
                <w:szCs w:val="20"/>
                <w:color w:val="auto"/>
              </w:rPr>
            </w:pPr>
            <w:r>
              <w:rPr>
                <w:rFonts w:ascii="Arial" w:cs="Arial" w:eastAsia="Arial" w:hAnsi="Arial"/>
                <w:sz w:val="13"/>
                <w:szCs w:val="13"/>
                <w:b w:val="1"/>
                <w:bCs w:val="1"/>
                <w:i w:val="1"/>
                <w:iCs w:val="1"/>
                <w:color w:val="auto"/>
              </w:rPr>
              <w:t>Named Executive Officers and Directors</w:t>
            </w:r>
          </w:p>
        </w:tc>
        <w:tc>
          <w:tcPr>
            <w:tcW w:w="1460" w:type="dxa"/>
            <w:vAlign w:val="bottom"/>
            <w:shd w:val="clear" w:color="auto" w:fill="D8D8D8"/>
          </w:tcPr>
          <w:p>
            <w:pPr>
              <w:spacing w:after="0"/>
              <w:rPr>
                <w:sz w:val="12"/>
                <w:szCs w:val="12"/>
                <w:color w:val="auto"/>
              </w:rPr>
            </w:pPr>
          </w:p>
        </w:tc>
        <w:tc>
          <w:tcPr>
            <w:tcW w:w="1720" w:type="dxa"/>
            <w:vAlign w:val="bottom"/>
            <w:shd w:val="clear" w:color="auto" w:fill="D8D8D8"/>
          </w:tcPr>
          <w:p>
            <w:pPr>
              <w:spacing w:after="0"/>
              <w:rPr>
                <w:sz w:val="12"/>
                <w:szCs w:val="12"/>
                <w:color w:val="auto"/>
              </w:rPr>
            </w:pPr>
          </w:p>
        </w:tc>
      </w:tr>
      <w:tr>
        <w:trPr>
          <w:trHeight w:val="148"/>
        </w:trPr>
        <w:tc>
          <w:tcPr>
            <w:tcW w:w="7840" w:type="dxa"/>
            <w:vAlign w:val="bottom"/>
          </w:tcPr>
          <w:p>
            <w:pPr>
              <w:ind w:left="60"/>
              <w:spacing w:after="0"/>
              <w:rPr>
                <w:sz w:val="20"/>
                <w:szCs w:val="20"/>
                <w:color w:val="auto"/>
              </w:rPr>
            </w:pPr>
            <w:r>
              <w:rPr>
                <w:rFonts w:ascii="Arial" w:cs="Arial" w:eastAsia="Arial" w:hAnsi="Arial"/>
                <w:sz w:val="13"/>
                <w:szCs w:val="13"/>
                <w:color w:val="auto"/>
              </w:rPr>
              <w:t>Stephen Berenson</w:t>
            </w:r>
          </w:p>
        </w:tc>
        <w:tc>
          <w:tcPr>
            <w:tcW w:w="1460" w:type="dxa"/>
            <w:vAlign w:val="bottom"/>
          </w:tcPr>
          <w:p>
            <w:pPr>
              <w:jc w:val="right"/>
              <w:ind w:right="333"/>
              <w:spacing w:after="0"/>
              <w:rPr>
                <w:sz w:val="20"/>
                <w:szCs w:val="20"/>
                <w:color w:val="auto"/>
              </w:rPr>
            </w:pPr>
            <w:r>
              <w:rPr>
                <w:rFonts w:ascii="Arial" w:cs="Arial" w:eastAsia="Arial" w:hAnsi="Arial"/>
                <w:sz w:val="13"/>
                <w:szCs w:val="13"/>
                <w:color w:val="auto"/>
              </w:rPr>
              <w:t>—</w:t>
            </w:r>
          </w:p>
        </w:tc>
        <w:tc>
          <w:tcPr>
            <w:tcW w:w="1720" w:type="dxa"/>
            <w:vAlign w:val="bottom"/>
          </w:tcPr>
          <w:p>
            <w:pPr>
              <w:jc w:val="right"/>
              <w:ind w:right="373"/>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shd w:val="clear" w:color="auto" w:fill="D8D8D8"/>
          </w:tcPr>
          <w:p>
            <w:pPr>
              <w:ind w:left="60"/>
              <w:spacing w:after="0"/>
              <w:rPr>
                <w:sz w:val="20"/>
                <w:szCs w:val="20"/>
                <w:color w:val="auto"/>
              </w:rPr>
            </w:pPr>
            <w:r>
              <w:rPr>
                <w:rFonts w:ascii="Arial" w:cs="Arial" w:eastAsia="Arial" w:hAnsi="Arial"/>
                <w:sz w:val="13"/>
                <w:szCs w:val="13"/>
                <w:color w:val="auto"/>
              </w:rPr>
              <w:t>Dennis A. Ausiello, M.D.</w:t>
            </w:r>
            <w:r>
              <w:rPr>
                <w:rFonts w:ascii="Arial" w:cs="Arial" w:eastAsia="Arial" w:hAnsi="Arial"/>
                <w:sz w:val="11"/>
                <w:szCs w:val="11"/>
                <w:color w:val="auto"/>
              </w:rPr>
              <w:t>7</w:t>
            </w:r>
          </w:p>
        </w:tc>
        <w:tc>
          <w:tcPr>
            <w:tcW w:w="1460" w:type="dxa"/>
            <w:vAlign w:val="bottom"/>
            <w:shd w:val="clear" w:color="auto" w:fill="D8D8D8"/>
          </w:tcPr>
          <w:p>
            <w:pPr>
              <w:jc w:val="right"/>
              <w:ind w:right="333"/>
              <w:spacing w:after="0"/>
              <w:rPr>
                <w:sz w:val="20"/>
                <w:szCs w:val="20"/>
                <w:color w:val="auto"/>
              </w:rPr>
            </w:pPr>
            <w:r>
              <w:rPr>
                <w:rFonts w:ascii="Arial" w:cs="Arial" w:eastAsia="Arial" w:hAnsi="Arial"/>
                <w:sz w:val="13"/>
                <w:szCs w:val="13"/>
                <w:color w:val="auto"/>
              </w:rPr>
              <w:t>135,000</w:t>
            </w:r>
          </w:p>
        </w:tc>
        <w:tc>
          <w:tcPr>
            <w:tcW w:w="1720" w:type="dxa"/>
            <w:vAlign w:val="bottom"/>
            <w:shd w:val="clear" w:color="auto" w:fill="D8D8D8"/>
          </w:tcPr>
          <w:p>
            <w:pPr>
              <w:jc w:val="right"/>
              <w:ind w:right="373"/>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Pr>
          <w:p>
            <w:pPr>
              <w:ind w:left="60"/>
              <w:spacing w:after="0"/>
              <w:rPr>
                <w:sz w:val="20"/>
                <w:szCs w:val="20"/>
                <w:color w:val="auto"/>
              </w:rPr>
            </w:pPr>
            <w:r>
              <w:rPr>
                <w:rFonts w:ascii="Arial" w:cs="Arial" w:eastAsia="Arial" w:hAnsi="Arial"/>
                <w:sz w:val="13"/>
                <w:szCs w:val="13"/>
                <w:color w:val="auto"/>
              </w:rPr>
              <w:t>Grégory Behar</w:t>
            </w:r>
            <w:r>
              <w:rPr>
                <w:rFonts w:ascii="Arial" w:cs="Arial" w:eastAsia="Arial" w:hAnsi="Arial"/>
                <w:sz w:val="11"/>
                <w:szCs w:val="11"/>
                <w:color w:val="auto"/>
              </w:rPr>
              <w:t>8</w:t>
            </w:r>
          </w:p>
        </w:tc>
        <w:tc>
          <w:tcPr>
            <w:tcW w:w="1460" w:type="dxa"/>
            <w:vAlign w:val="bottom"/>
          </w:tcPr>
          <w:p>
            <w:pPr>
              <w:jc w:val="right"/>
              <w:ind w:right="333"/>
              <w:spacing w:after="0"/>
              <w:rPr>
                <w:sz w:val="20"/>
                <w:szCs w:val="20"/>
                <w:color w:val="auto"/>
              </w:rPr>
            </w:pPr>
            <w:r>
              <w:rPr>
                <w:rFonts w:ascii="Arial" w:cs="Arial" w:eastAsia="Arial" w:hAnsi="Arial"/>
                <w:sz w:val="13"/>
                <w:szCs w:val="13"/>
                <w:color w:val="auto"/>
              </w:rPr>
              <w:t>45,000</w:t>
            </w:r>
          </w:p>
        </w:tc>
        <w:tc>
          <w:tcPr>
            <w:tcW w:w="1720" w:type="dxa"/>
            <w:vAlign w:val="bottom"/>
          </w:tcPr>
          <w:p>
            <w:pPr>
              <w:jc w:val="right"/>
              <w:ind w:right="373"/>
              <w:spacing w:after="0"/>
              <w:rPr>
                <w:sz w:val="20"/>
                <w:szCs w:val="20"/>
                <w:color w:val="auto"/>
              </w:rPr>
            </w:pPr>
            <w:r>
              <w:rPr>
                <w:rFonts w:ascii="Arial" w:cs="Arial" w:eastAsia="Arial" w:hAnsi="Arial"/>
                <w:sz w:val="13"/>
                <w:szCs w:val="13"/>
                <w:color w:val="auto"/>
              </w:rPr>
              <w:t>*</w:t>
            </w:r>
          </w:p>
        </w:tc>
      </w:tr>
      <w:tr>
        <w:trPr>
          <w:trHeight w:val="149"/>
        </w:trPr>
        <w:tc>
          <w:tcPr>
            <w:tcW w:w="7840" w:type="dxa"/>
            <w:vAlign w:val="bottom"/>
            <w:shd w:val="clear" w:color="auto" w:fill="D8D8D8"/>
          </w:tcPr>
          <w:p>
            <w:pPr>
              <w:ind w:left="60"/>
              <w:spacing w:after="0"/>
              <w:rPr>
                <w:sz w:val="20"/>
                <w:szCs w:val="20"/>
                <w:color w:val="auto"/>
              </w:rPr>
            </w:pPr>
            <w:r>
              <w:rPr>
                <w:rFonts w:ascii="Arial" w:cs="Arial" w:eastAsia="Arial" w:hAnsi="Arial"/>
                <w:sz w:val="13"/>
                <w:szCs w:val="13"/>
                <w:color w:val="auto"/>
              </w:rPr>
              <w:t>Paul Biondi</w:t>
            </w:r>
          </w:p>
        </w:tc>
        <w:tc>
          <w:tcPr>
            <w:tcW w:w="1460" w:type="dxa"/>
            <w:vAlign w:val="bottom"/>
            <w:shd w:val="clear" w:color="auto" w:fill="D8D8D8"/>
          </w:tcPr>
          <w:p>
            <w:pPr>
              <w:jc w:val="right"/>
              <w:ind w:right="333"/>
              <w:spacing w:after="0"/>
              <w:rPr>
                <w:sz w:val="20"/>
                <w:szCs w:val="20"/>
                <w:color w:val="auto"/>
              </w:rPr>
            </w:pPr>
            <w:r>
              <w:rPr>
                <w:rFonts w:ascii="Arial" w:cs="Arial" w:eastAsia="Arial" w:hAnsi="Arial"/>
                <w:sz w:val="13"/>
                <w:szCs w:val="13"/>
                <w:color w:val="auto"/>
              </w:rPr>
              <w:t>—</w:t>
            </w:r>
          </w:p>
        </w:tc>
        <w:tc>
          <w:tcPr>
            <w:tcW w:w="1720" w:type="dxa"/>
            <w:vAlign w:val="bottom"/>
            <w:shd w:val="clear" w:color="auto" w:fill="D8D8D8"/>
          </w:tcPr>
          <w:p>
            <w:pPr>
              <w:jc w:val="right"/>
              <w:ind w:right="373"/>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Pr>
          <w:p>
            <w:pPr>
              <w:ind w:left="60"/>
              <w:spacing w:after="0"/>
              <w:rPr>
                <w:sz w:val="20"/>
                <w:szCs w:val="20"/>
                <w:color w:val="auto"/>
              </w:rPr>
            </w:pPr>
            <w:r>
              <w:rPr>
                <w:rFonts w:ascii="Arial" w:cs="Arial" w:eastAsia="Arial" w:hAnsi="Arial"/>
                <w:sz w:val="13"/>
                <w:szCs w:val="13"/>
                <w:color w:val="auto"/>
              </w:rPr>
              <w:t>Matthew Henn</w:t>
            </w:r>
            <w:r>
              <w:rPr>
                <w:rFonts w:ascii="Arial" w:cs="Arial" w:eastAsia="Arial" w:hAnsi="Arial"/>
                <w:sz w:val="11"/>
                <w:szCs w:val="11"/>
                <w:color w:val="auto"/>
              </w:rPr>
              <w:t>10</w:t>
            </w:r>
          </w:p>
        </w:tc>
        <w:tc>
          <w:tcPr>
            <w:tcW w:w="1460" w:type="dxa"/>
            <w:vAlign w:val="bottom"/>
          </w:tcPr>
          <w:p>
            <w:pPr>
              <w:jc w:val="right"/>
              <w:ind w:right="333"/>
              <w:spacing w:after="0"/>
              <w:rPr>
                <w:sz w:val="20"/>
                <w:szCs w:val="20"/>
                <w:color w:val="auto"/>
              </w:rPr>
            </w:pPr>
            <w:r>
              <w:rPr>
                <w:rFonts w:ascii="Arial" w:cs="Arial" w:eastAsia="Arial" w:hAnsi="Arial"/>
                <w:sz w:val="13"/>
                <w:szCs w:val="13"/>
                <w:color w:val="auto"/>
              </w:rPr>
              <w:t>171,593</w:t>
            </w:r>
          </w:p>
        </w:tc>
        <w:tc>
          <w:tcPr>
            <w:tcW w:w="1720" w:type="dxa"/>
            <w:vAlign w:val="bottom"/>
          </w:tcPr>
          <w:p>
            <w:pPr>
              <w:jc w:val="right"/>
              <w:ind w:right="373"/>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shd w:val="clear" w:color="auto" w:fill="D8D8D8"/>
          </w:tcPr>
          <w:p>
            <w:pPr>
              <w:ind w:left="60"/>
              <w:spacing w:after="0"/>
              <w:rPr>
                <w:sz w:val="20"/>
                <w:szCs w:val="20"/>
                <w:color w:val="auto"/>
              </w:rPr>
            </w:pPr>
            <w:r>
              <w:rPr>
                <w:rFonts w:ascii="Arial" w:cs="Arial" w:eastAsia="Arial" w:hAnsi="Arial"/>
                <w:sz w:val="13"/>
                <w:szCs w:val="13"/>
                <w:color w:val="auto"/>
              </w:rPr>
              <w:t>Willard H. Dere, M.D.</w:t>
            </w:r>
            <w:r>
              <w:rPr>
                <w:rFonts w:ascii="Arial" w:cs="Arial" w:eastAsia="Arial" w:hAnsi="Arial"/>
                <w:sz w:val="11"/>
                <w:szCs w:val="11"/>
                <w:color w:val="auto"/>
              </w:rPr>
              <w:t>11</w:t>
            </w:r>
          </w:p>
        </w:tc>
        <w:tc>
          <w:tcPr>
            <w:tcW w:w="1460" w:type="dxa"/>
            <w:vAlign w:val="bottom"/>
            <w:shd w:val="clear" w:color="auto" w:fill="D8D8D8"/>
          </w:tcPr>
          <w:p>
            <w:pPr>
              <w:jc w:val="right"/>
              <w:ind w:right="333"/>
              <w:spacing w:after="0"/>
              <w:rPr>
                <w:sz w:val="20"/>
                <w:szCs w:val="20"/>
                <w:color w:val="auto"/>
              </w:rPr>
            </w:pPr>
            <w:r>
              <w:rPr>
                <w:rFonts w:ascii="Arial" w:cs="Arial" w:eastAsia="Arial" w:hAnsi="Arial"/>
                <w:sz w:val="13"/>
                <w:szCs w:val="13"/>
                <w:color w:val="auto"/>
              </w:rPr>
              <w:t>45,000</w:t>
            </w:r>
          </w:p>
        </w:tc>
        <w:tc>
          <w:tcPr>
            <w:tcW w:w="1720" w:type="dxa"/>
            <w:vAlign w:val="bottom"/>
            <w:shd w:val="clear" w:color="auto" w:fill="D8D8D8"/>
          </w:tcPr>
          <w:p>
            <w:pPr>
              <w:jc w:val="right"/>
              <w:ind w:right="373"/>
              <w:spacing w:after="0"/>
              <w:rPr>
                <w:sz w:val="20"/>
                <w:szCs w:val="20"/>
                <w:color w:val="auto"/>
              </w:rPr>
            </w:pPr>
            <w:r>
              <w:rPr>
                <w:rFonts w:ascii="Arial" w:cs="Arial" w:eastAsia="Arial" w:hAnsi="Arial"/>
                <w:sz w:val="13"/>
                <w:szCs w:val="13"/>
                <w:color w:val="auto"/>
              </w:rPr>
              <w:t>*</w:t>
            </w:r>
          </w:p>
        </w:tc>
      </w:tr>
      <w:tr>
        <w:trPr>
          <w:trHeight w:val="149"/>
        </w:trPr>
        <w:tc>
          <w:tcPr>
            <w:tcW w:w="7840" w:type="dxa"/>
            <w:vAlign w:val="bottom"/>
          </w:tcPr>
          <w:p>
            <w:pPr>
              <w:ind w:left="60"/>
              <w:spacing w:after="0"/>
              <w:rPr>
                <w:sz w:val="20"/>
                <w:szCs w:val="20"/>
                <w:color w:val="auto"/>
              </w:rPr>
            </w:pPr>
            <w:r>
              <w:rPr>
                <w:rFonts w:ascii="Arial" w:cs="Arial" w:eastAsia="Arial" w:hAnsi="Arial"/>
                <w:sz w:val="13"/>
                <w:szCs w:val="13"/>
                <w:color w:val="auto"/>
              </w:rPr>
              <w:t>Thomas DesRosier</w:t>
            </w:r>
            <w:r>
              <w:rPr>
                <w:rFonts w:ascii="Arial" w:cs="Arial" w:eastAsia="Arial" w:hAnsi="Arial"/>
                <w:sz w:val="11"/>
                <w:szCs w:val="11"/>
                <w:color w:val="auto"/>
              </w:rPr>
              <w:t>12</w:t>
            </w:r>
          </w:p>
        </w:tc>
        <w:tc>
          <w:tcPr>
            <w:tcW w:w="1460" w:type="dxa"/>
            <w:vAlign w:val="bottom"/>
          </w:tcPr>
          <w:p>
            <w:pPr>
              <w:jc w:val="right"/>
              <w:ind w:right="333"/>
              <w:spacing w:after="0"/>
              <w:rPr>
                <w:sz w:val="20"/>
                <w:szCs w:val="20"/>
                <w:color w:val="auto"/>
              </w:rPr>
            </w:pPr>
            <w:r>
              <w:rPr>
                <w:rFonts w:ascii="Arial" w:cs="Arial" w:eastAsia="Arial" w:hAnsi="Arial"/>
                <w:sz w:val="13"/>
                <w:szCs w:val="13"/>
                <w:color w:val="auto"/>
              </w:rPr>
              <w:t>327,970</w:t>
            </w:r>
          </w:p>
        </w:tc>
        <w:tc>
          <w:tcPr>
            <w:tcW w:w="1720" w:type="dxa"/>
            <w:vAlign w:val="bottom"/>
          </w:tcPr>
          <w:p>
            <w:pPr>
              <w:jc w:val="right"/>
              <w:ind w:right="373"/>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shd w:val="clear" w:color="auto" w:fill="D8D8D8"/>
          </w:tcPr>
          <w:p>
            <w:pPr>
              <w:ind w:left="60"/>
              <w:spacing w:after="0"/>
              <w:rPr>
                <w:sz w:val="20"/>
                <w:szCs w:val="20"/>
                <w:color w:val="auto"/>
              </w:rPr>
            </w:pPr>
            <w:r>
              <w:rPr>
                <w:rFonts w:ascii="Arial" w:cs="Arial" w:eastAsia="Arial" w:hAnsi="Arial"/>
                <w:sz w:val="13"/>
                <w:szCs w:val="13"/>
                <w:color w:val="auto"/>
              </w:rPr>
              <w:t>Kurt C. Graves</w:t>
            </w:r>
            <w:r>
              <w:rPr>
                <w:rFonts w:ascii="Arial" w:cs="Arial" w:eastAsia="Arial" w:hAnsi="Arial"/>
                <w:sz w:val="11"/>
                <w:szCs w:val="11"/>
                <w:color w:val="auto"/>
              </w:rPr>
              <w:t>13</w:t>
            </w:r>
          </w:p>
        </w:tc>
        <w:tc>
          <w:tcPr>
            <w:tcW w:w="1460" w:type="dxa"/>
            <w:vAlign w:val="bottom"/>
            <w:shd w:val="clear" w:color="auto" w:fill="D8D8D8"/>
          </w:tcPr>
          <w:p>
            <w:pPr>
              <w:jc w:val="right"/>
              <w:ind w:right="333"/>
              <w:spacing w:after="0"/>
              <w:rPr>
                <w:sz w:val="20"/>
                <w:szCs w:val="20"/>
                <w:color w:val="auto"/>
              </w:rPr>
            </w:pPr>
            <w:r>
              <w:rPr>
                <w:rFonts w:ascii="Arial" w:cs="Arial" w:eastAsia="Arial" w:hAnsi="Arial"/>
                <w:sz w:val="13"/>
                <w:szCs w:val="13"/>
                <w:color w:val="auto"/>
              </w:rPr>
              <w:t>90,000</w:t>
            </w:r>
          </w:p>
        </w:tc>
        <w:tc>
          <w:tcPr>
            <w:tcW w:w="1720" w:type="dxa"/>
            <w:vAlign w:val="bottom"/>
            <w:shd w:val="clear" w:color="auto" w:fill="D8D8D8"/>
          </w:tcPr>
          <w:p>
            <w:pPr>
              <w:jc w:val="right"/>
              <w:ind w:right="373"/>
              <w:spacing w:after="0"/>
              <w:rPr>
                <w:sz w:val="20"/>
                <w:szCs w:val="20"/>
                <w:color w:val="auto"/>
              </w:rPr>
            </w:pPr>
            <w:r>
              <w:rPr>
                <w:rFonts w:ascii="Arial" w:cs="Arial" w:eastAsia="Arial" w:hAnsi="Arial"/>
                <w:sz w:val="13"/>
                <w:szCs w:val="13"/>
                <w:color w:val="auto"/>
              </w:rPr>
              <w:t>*</w:t>
            </w:r>
          </w:p>
        </w:tc>
      </w:tr>
      <w:tr>
        <w:trPr>
          <w:trHeight w:val="149"/>
        </w:trPr>
        <w:tc>
          <w:tcPr>
            <w:tcW w:w="7840" w:type="dxa"/>
            <w:vAlign w:val="bottom"/>
          </w:tcPr>
          <w:p>
            <w:pPr>
              <w:ind w:left="60"/>
              <w:spacing w:after="0"/>
              <w:rPr>
                <w:sz w:val="20"/>
                <w:szCs w:val="20"/>
                <w:color w:val="auto"/>
              </w:rPr>
            </w:pPr>
            <w:r>
              <w:rPr>
                <w:rFonts w:ascii="Arial" w:cs="Arial" w:eastAsia="Arial" w:hAnsi="Arial"/>
                <w:sz w:val="13"/>
                <w:szCs w:val="13"/>
                <w:color w:val="auto"/>
              </w:rPr>
              <w:t>Richard N. Kender</w:t>
            </w:r>
            <w:r>
              <w:rPr>
                <w:rFonts w:ascii="Arial" w:cs="Arial" w:eastAsia="Arial" w:hAnsi="Arial"/>
                <w:sz w:val="11"/>
                <w:szCs w:val="11"/>
                <w:color w:val="auto"/>
              </w:rPr>
              <w:t>14</w:t>
            </w:r>
          </w:p>
        </w:tc>
        <w:tc>
          <w:tcPr>
            <w:tcW w:w="1460" w:type="dxa"/>
            <w:vAlign w:val="bottom"/>
          </w:tcPr>
          <w:p>
            <w:pPr>
              <w:jc w:val="right"/>
              <w:ind w:right="333"/>
              <w:spacing w:after="0"/>
              <w:rPr>
                <w:sz w:val="20"/>
                <w:szCs w:val="20"/>
                <w:color w:val="auto"/>
              </w:rPr>
            </w:pPr>
            <w:r>
              <w:rPr>
                <w:rFonts w:ascii="Arial" w:cs="Arial" w:eastAsia="Arial" w:hAnsi="Arial"/>
                <w:sz w:val="13"/>
                <w:szCs w:val="13"/>
                <w:color w:val="auto"/>
              </w:rPr>
              <w:t>150,000</w:t>
            </w:r>
          </w:p>
        </w:tc>
        <w:tc>
          <w:tcPr>
            <w:tcW w:w="1720" w:type="dxa"/>
            <w:vAlign w:val="bottom"/>
          </w:tcPr>
          <w:p>
            <w:pPr>
              <w:jc w:val="right"/>
              <w:ind w:right="373"/>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shd w:val="clear" w:color="auto" w:fill="D8D8D8"/>
          </w:tcPr>
          <w:p>
            <w:pPr>
              <w:ind w:left="60"/>
              <w:spacing w:after="0"/>
              <w:rPr>
                <w:sz w:val="20"/>
                <w:szCs w:val="20"/>
                <w:color w:val="auto"/>
              </w:rPr>
            </w:pPr>
            <w:r>
              <w:rPr>
                <w:rFonts w:ascii="Arial" w:cs="Arial" w:eastAsia="Arial" w:hAnsi="Arial"/>
                <w:sz w:val="13"/>
                <w:szCs w:val="13"/>
                <w:color w:val="auto"/>
              </w:rPr>
              <w:t>Lorence H. Kim, M.D.</w:t>
            </w:r>
            <w:r>
              <w:rPr>
                <w:rFonts w:ascii="Arial" w:cs="Arial" w:eastAsia="Arial" w:hAnsi="Arial"/>
                <w:sz w:val="11"/>
                <w:szCs w:val="11"/>
                <w:color w:val="auto"/>
              </w:rPr>
              <w:t>15</w:t>
            </w:r>
          </w:p>
        </w:tc>
        <w:tc>
          <w:tcPr>
            <w:tcW w:w="1460" w:type="dxa"/>
            <w:vAlign w:val="bottom"/>
            <w:shd w:val="clear" w:color="auto" w:fill="D8D8D8"/>
          </w:tcPr>
          <w:p>
            <w:pPr>
              <w:jc w:val="right"/>
              <w:ind w:right="333"/>
              <w:spacing w:after="0"/>
              <w:rPr>
                <w:sz w:val="20"/>
                <w:szCs w:val="20"/>
                <w:color w:val="auto"/>
              </w:rPr>
            </w:pPr>
            <w:r>
              <w:rPr>
                <w:rFonts w:ascii="Arial" w:cs="Arial" w:eastAsia="Arial" w:hAnsi="Arial"/>
                <w:sz w:val="13"/>
                <w:szCs w:val="13"/>
                <w:color w:val="auto"/>
              </w:rPr>
              <w:t>150,000</w:t>
            </w:r>
          </w:p>
        </w:tc>
        <w:tc>
          <w:tcPr>
            <w:tcW w:w="1720" w:type="dxa"/>
            <w:vAlign w:val="bottom"/>
            <w:shd w:val="clear" w:color="auto" w:fill="D8D8D8"/>
          </w:tcPr>
          <w:p>
            <w:pPr>
              <w:jc w:val="right"/>
              <w:ind w:right="373"/>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Pr>
          <w:p>
            <w:pPr>
              <w:ind w:left="60"/>
              <w:spacing w:after="0"/>
              <w:rPr>
                <w:sz w:val="20"/>
                <w:szCs w:val="20"/>
                <w:color w:val="auto"/>
              </w:rPr>
            </w:pPr>
            <w:r>
              <w:rPr>
                <w:rFonts w:ascii="Arial" w:cs="Arial" w:eastAsia="Arial" w:hAnsi="Arial"/>
                <w:sz w:val="13"/>
                <w:szCs w:val="13"/>
                <w:color w:val="auto"/>
              </w:rPr>
              <w:t>Roger J. Pomerantz, M.D.</w:t>
            </w:r>
            <w:r>
              <w:rPr>
                <w:rFonts w:ascii="Arial" w:cs="Arial" w:eastAsia="Arial" w:hAnsi="Arial"/>
                <w:sz w:val="11"/>
                <w:szCs w:val="11"/>
                <w:color w:val="auto"/>
              </w:rPr>
              <w:t>16</w:t>
            </w:r>
          </w:p>
        </w:tc>
        <w:tc>
          <w:tcPr>
            <w:tcW w:w="1460" w:type="dxa"/>
            <w:vAlign w:val="bottom"/>
          </w:tcPr>
          <w:p>
            <w:pPr>
              <w:jc w:val="right"/>
              <w:ind w:right="333"/>
              <w:spacing w:after="0"/>
              <w:rPr>
                <w:sz w:val="20"/>
                <w:szCs w:val="20"/>
                <w:color w:val="auto"/>
              </w:rPr>
            </w:pPr>
            <w:r>
              <w:rPr>
                <w:rFonts w:ascii="Arial" w:cs="Arial" w:eastAsia="Arial" w:hAnsi="Arial"/>
                <w:sz w:val="13"/>
                <w:szCs w:val="13"/>
                <w:color w:val="auto"/>
              </w:rPr>
              <w:t>1,344,542</w:t>
            </w:r>
          </w:p>
        </w:tc>
        <w:tc>
          <w:tcPr>
            <w:tcW w:w="1720" w:type="dxa"/>
            <w:vAlign w:val="bottom"/>
          </w:tcPr>
          <w:p>
            <w:pPr>
              <w:jc w:val="right"/>
              <w:ind w:right="373"/>
              <w:spacing w:after="0"/>
              <w:rPr>
                <w:sz w:val="20"/>
                <w:szCs w:val="20"/>
                <w:color w:val="auto"/>
              </w:rPr>
            </w:pPr>
            <w:r>
              <w:rPr>
                <w:rFonts w:ascii="Arial" w:cs="Arial" w:eastAsia="Arial" w:hAnsi="Arial"/>
                <w:sz w:val="13"/>
                <w:szCs w:val="13"/>
                <w:color w:val="auto"/>
              </w:rPr>
              <w:t>*</w:t>
            </w:r>
          </w:p>
        </w:tc>
      </w:tr>
      <w:tr>
        <w:trPr>
          <w:trHeight w:val="149"/>
        </w:trPr>
        <w:tc>
          <w:tcPr>
            <w:tcW w:w="7840" w:type="dxa"/>
            <w:vAlign w:val="bottom"/>
            <w:shd w:val="clear" w:color="auto" w:fill="D8D8D8"/>
          </w:tcPr>
          <w:p>
            <w:pPr>
              <w:ind w:left="60"/>
              <w:spacing w:after="0"/>
              <w:rPr>
                <w:sz w:val="20"/>
                <w:szCs w:val="20"/>
                <w:color w:val="auto"/>
              </w:rPr>
            </w:pPr>
            <w:r>
              <w:rPr>
                <w:rFonts w:ascii="Arial" w:cs="Arial" w:eastAsia="Arial" w:hAnsi="Arial"/>
                <w:sz w:val="13"/>
                <w:szCs w:val="13"/>
                <w:color w:val="auto"/>
              </w:rPr>
              <w:t>Eric D. Shaff1</w:t>
            </w:r>
            <w:r>
              <w:rPr>
                <w:rFonts w:ascii="Arial" w:cs="Arial" w:eastAsia="Arial" w:hAnsi="Arial"/>
                <w:sz w:val="11"/>
                <w:szCs w:val="11"/>
                <w:color w:val="auto"/>
              </w:rPr>
              <w:t>7</w:t>
            </w:r>
          </w:p>
        </w:tc>
        <w:tc>
          <w:tcPr>
            <w:tcW w:w="1460" w:type="dxa"/>
            <w:vAlign w:val="bottom"/>
            <w:shd w:val="clear" w:color="auto" w:fill="D8D8D8"/>
          </w:tcPr>
          <w:p>
            <w:pPr>
              <w:jc w:val="right"/>
              <w:ind w:right="333"/>
              <w:spacing w:after="0"/>
              <w:rPr>
                <w:sz w:val="20"/>
                <w:szCs w:val="20"/>
                <w:color w:val="auto"/>
              </w:rPr>
            </w:pPr>
            <w:r>
              <w:rPr>
                <w:rFonts w:ascii="Arial" w:cs="Arial" w:eastAsia="Arial" w:hAnsi="Arial"/>
                <w:sz w:val="13"/>
                <w:szCs w:val="13"/>
                <w:color w:val="auto"/>
              </w:rPr>
              <w:t>683,545</w:t>
            </w:r>
          </w:p>
        </w:tc>
        <w:tc>
          <w:tcPr>
            <w:tcW w:w="1720" w:type="dxa"/>
            <w:vAlign w:val="bottom"/>
            <w:shd w:val="clear" w:color="auto" w:fill="D8D8D8"/>
          </w:tcPr>
          <w:p>
            <w:pPr>
              <w:jc w:val="right"/>
              <w:ind w:right="253"/>
              <w:spacing w:after="0"/>
              <w:rPr>
                <w:sz w:val="20"/>
                <w:szCs w:val="20"/>
                <w:color w:val="auto"/>
              </w:rPr>
            </w:pPr>
            <w:r>
              <w:rPr>
                <w:rFonts w:ascii="Arial" w:cs="Arial" w:eastAsia="Arial" w:hAnsi="Arial"/>
                <w:sz w:val="13"/>
                <w:szCs w:val="13"/>
                <w:color w:val="auto"/>
              </w:rPr>
              <w:t>1.8%</w:t>
            </w:r>
          </w:p>
        </w:tc>
      </w:tr>
      <w:tr>
        <w:trPr>
          <w:trHeight w:val="148"/>
        </w:trPr>
        <w:tc>
          <w:tcPr>
            <w:tcW w:w="7840" w:type="dxa"/>
            <w:vAlign w:val="bottom"/>
          </w:tcPr>
          <w:p>
            <w:pPr>
              <w:ind w:left="60"/>
              <w:spacing w:after="0"/>
              <w:rPr>
                <w:sz w:val="20"/>
                <w:szCs w:val="20"/>
                <w:color w:val="auto"/>
              </w:rPr>
            </w:pPr>
            <w:r>
              <w:rPr>
                <w:rFonts w:ascii="Arial" w:cs="Arial" w:eastAsia="Arial" w:hAnsi="Arial"/>
                <w:sz w:val="13"/>
                <w:szCs w:val="13"/>
                <w:color w:val="auto"/>
              </w:rPr>
              <w:t>Meryl S. Zausner</w:t>
            </w:r>
            <w:r>
              <w:rPr>
                <w:rFonts w:ascii="Arial" w:cs="Arial" w:eastAsia="Arial" w:hAnsi="Arial"/>
                <w:sz w:val="11"/>
                <w:szCs w:val="11"/>
                <w:color w:val="auto"/>
              </w:rPr>
              <w:t>18</w:t>
            </w:r>
          </w:p>
        </w:tc>
        <w:tc>
          <w:tcPr>
            <w:tcW w:w="1460" w:type="dxa"/>
            <w:vAlign w:val="bottom"/>
          </w:tcPr>
          <w:p>
            <w:pPr>
              <w:jc w:val="right"/>
              <w:ind w:right="333"/>
              <w:spacing w:after="0"/>
              <w:rPr>
                <w:sz w:val="20"/>
                <w:szCs w:val="20"/>
                <w:color w:val="auto"/>
              </w:rPr>
            </w:pPr>
            <w:r>
              <w:rPr>
                <w:rFonts w:ascii="Arial" w:cs="Arial" w:eastAsia="Arial" w:hAnsi="Arial"/>
                <w:sz w:val="13"/>
                <w:szCs w:val="13"/>
                <w:color w:val="auto"/>
              </w:rPr>
              <w:t>22,500</w:t>
            </w:r>
          </w:p>
        </w:tc>
        <w:tc>
          <w:tcPr>
            <w:tcW w:w="1720" w:type="dxa"/>
            <w:vAlign w:val="bottom"/>
          </w:tcPr>
          <w:p>
            <w:pPr>
              <w:jc w:val="right"/>
              <w:ind w:right="373"/>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3"/>
                <w:szCs w:val="13"/>
                <w:color w:val="auto"/>
              </w:rPr>
              <w:t>All executive officers and directors as a group (16 persons)</w:t>
            </w:r>
            <w:r>
              <w:rPr>
                <w:rFonts w:ascii="Arial" w:cs="Arial" w:eastAsia="Arial" w:hAnsi="Arial"/>
                <w:sz w:val="11"/>
                <w:szCs w:val="11"/>
                <w:color w:val="auto"/>
              </w:rPr>
              <w:t>19</w:t>
            </w:r>
          </w:p>
        </w:tc>
        <w:tc>
          <w:tcPr>
            <w:tcW w:w="1460" w:type="dxa"/>
            <w:vAlign w:val="bottom"/>
            <w:tcBorders>
              <w:bottom w:val="single" w:sz="8" w:color="auto"/>
            </w:tcBorders>
            <w:shd w:val="clear" w:color="auto" w:fill="D8D8D8"/>
          </w:tcPr>
          <w:p>
            <w:pPr>
              <w:jc w:val="right"/>
              <w:ind w:right="333"/>
              <w:spacing w:after="0"/>
              <w:rPr>
                <w:sz w:val="20"/>
                <w:szCs w:val="20"/>
                <w:color w:val="auto"/>
              </w:rPr>
            </w:pPr>
            <w:r>
              <w:rPr>
                <w:rFonts w:ascii="Arial" w:cs="Arial" w:eastAsia="Arial" w:hAnsi="Arial"/>
                <w:sz w:val="13"/>
                <w:szCs w:val="13"/>
                <w:color w:val="auto"/>
              </w:rPr>
              <w:t>3,583,437</w:t>
            </w:r>
          </w:p>
        </w:tc>
        <w:tc>
          <w:tcPr>
            <w:tcW w:w="1720" w:type="dxa"/>
            <w:vAlign w:val="bottom"/>
            <w:tcBorders>
              <w:bottom w:val="single" w:sz="8" w:color="auto"/>
            </w:tcBorders>
            <w:shd w:val="clear" w:color="auto" w:fill="D8D8D8"/>
          </w:tcPr>
          <w:p>
            <w:pPr>
              <w:jc w:val="right"/>
              <w:ind w:right="253"/>
              <w:spacing w:after="0"/>
              <w:rPr>
                <w:sz w:val="20"/>
                <w:szCs w:val="20"/>
                <w:color w:val="auto"/>
              </w:rPr>
            </w:pPr>
            <w:r>
              <w:rPr>
                <w:rFonts w:ascii="Arial" w:cs="Arial" w:eastAsia="Arial" w:hAnsi="Arial"/>
                <w:sz w:val="13"/>
                <w:szCs w:val="13"/>
                <w:color w:val="auto"/>
              </w:rPr>
              <w:t>4.8%</w:t>
            </w:r>
          </w:p>
        </w:tc>
      </w:tr>
    </w:tbl>
    <w:p>
      <w:pPr>
        <w:spacing w:after="0" w:line="121" w:lineRule="exact"/>
        <w:rPr>
          <w:sz w:val="20"/>
          <w:szCs w:val="20"/>
          <w:color w:val="auto"/>
        </w:rPr>
      </w:pPr>
    </w:p>
    <w:p>
      <w:pPr>
        <w:ind w:left="440" w:hanging="324"/>
        <w:spacing w:after="0"/>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67" w:lineRule="exact"/>
        <w:rPr>
          <w:sz w:val="20"/>
          <w:szCs w:val="20"/>
          <w:color w:val="auto"/>
        </w:rPr>
      </w:pPr>
    </w:p>
    <w:p>
      <w:pPr>
        <w:ind w:left="440" w:right="40" w:hanging="324"/>
        <w:spacing w:after="0" w:line="243" w:lineRule="auto"/>
        <w:tabs>
          <w:tab w:leader="none" w:pos="440" w:val="left"/>
        </w:tabs>
        <w:numPr>
          <w:ilvl w:val="0"/>
          <w:numId w:val="34"/>
        </w:numPr>
        <w:rPr>
          <w:rFonts w:ascii="Arial" w:cs="Arial" w:eastAsia="Arial" w:hAnsi="Arial"/>
          <w:sz w:val="11"/>
          <w:szCs w:val="11"/>
          <w:color w:val="auto"/>
        </w:rPr>
      </w:pPr>
      <w:r>
        <w:rPr>
          <w:rFonts w:ascii="Arial" w:cs="Arial" w:eastAsia="Arial" w:hAnsi="Arial"/>
          <w:sz w:val="13"/>
          <w:szCs w:val="13"/>
          <w:color w:val="auto"/>
        </w:rPr>
        <w:t>Based solely on a Schedule 13D filed with the SEC on June 28, 2019 by Flagship VentureLabs IV, LLC (“VentureLabs IV”), Flagship Ventures Fund IV, L.P. (“Flagship Fund IV”), Flagship Ventures Fund IV-Rx, L.P. (“Flagship Fund IV-Rx”) (and, together with VentureLabs IV and Flagship Fund IV, the “Flagship IV Funds”), Flagship Ventures Fund IV General Partner LLC (“Flagship Fund IV GP”), Nutritional Health LTP Fund, L.P. (“Nutritional LTP”), Nutritional Health LTP Fund General Partner LLC (“Nutritional LTP GP”), Flagship Pioneering Fund VI, L.P. (“Flagship Fund VI”) (and, together with the Flagship IV Funds and Nutritional LTP, the “Flagship Funds”), Flagship Pioneering Fund VI General Partner LLC (“Flagship Fund VI GP”), Flagship Pioneering, Inc. (“Flagship</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20"/>
        <w:spacing w:after="0"/>
        <w:rPr>
          <w:sz w:val="20"/>
          <w:szCs w:val="20"/>
          <w:color w:val="auto"/>
        </w:rPr>
      </w:pPr>
      <w:r>
        <w:rPr>
          <w:rFonts w:ascii="Arial" w:cs="Arial" w:eastAsia="Arial" w:hAnsi="Arial"/>
          <w:sz w:val="13"/>
          <w:szCs w:val="13"/>
          <w:color w:val="auto"/>
        </w:rPr>
        <w:t>Pioneering”), Noubar B. Afeyan, Ph.D. and Edwin M. Kania, Jr. VentureLabs IV, Flagship Fund IV, Flagship Fund IV-Rx, Flagship Fund IV GP, Nutritional LTP, Nutritional LTP GP, Flagship Fund VI, Flagship Fund VI GP, Flagship Pioneering, Dr. Afeyan and Mr. Kania are collectively referred to herein as the “Flagship Reporting Persons.” VentureLabs IV, Flagship Fund IV and Flagship Fund IV-Rx have shared voting and dispositive power over the 2,734,994 shares, 8,022,420 shares, and 1,925,462 shares of Common Stock directly held by them, respectively. Flagship Fund IV, as the manager of VentureLabs IV, may be deemed to beneficially own and share voting and dispositive power over the shares directly held by VentureLabs IV. Flagship Fund IV GP, as the general partner of the Flagship Fund IV Funds, may be deemed to beneficially own and share voting and dispositive power over the shares directly held by the Flagship Fund IV Funds. Nutritional LTP directly holds and has shared voting and dispositive power over 4,444,444 shares of Common Stock. Nutritional LTP GP, as the general partner of Nutritional LTP, may be deemed to beneficially own and share voting and dispositive power over the shares directly held by Nutritional LTP. Flagship Fund VI directly holds and has shared voting and dispositive power over 4,444,444 shares of Common Stock. Flagship Fund VI GP, as the general partner of Flagship Fund VI, may be deemed to beneficially own and share voting and dispositive power over the shares directly held by Flagship Fund VI. Flagship Pioneering, as the general partner of Flagship Fund VI GP, may be deemed to beneficially own and share voting and dispositive power over the shares directly held by Flagship Fund VI. Dr. Afeyan and Mr. Kania, as the managers of Flagship Fund IV GP, may be deemed to beneficially own and share voting and dispositive power over the shares directly held by the Flagship Fund IV Funds. While Mr. Kania is retired from Flagship Pioneering, he continues to serve as a manager of Flagship Fund IV GP. Dr. Afeyan, as the sole member and manager of Nutritional LTP GP and as CEO and sole shareholder of Flagship Pioneering, may be deemed to beneficially own and share voting and dispositive power over the shares directly held by each of Nutritional LTP and Flagship Fund VI. The address for the Flagship Reporting Persons is c/o Flagship Pioneering, Inc., 55 Cambridge Parkway, Suite 800E, Cambridge, Massachusetts 02142.</w:t>
      </w:r>
    </w:p>
    <w:p>
      <w:pPr>
        <w:spacing w:after="0" w:line="202" w:lineRule="exact"/>
        <w:rPr>
          <w:sz w:val="20"/>
          <w:szCs w:val="20"/>
          <w:color w:val="auto"/>
        </w:rPr>
      </w:pPr>
    </w:p>
    <w:p>
      <w:pPr>
        <w:ind w:left="440" w:hanging="324"/>
        <w:spacing w:after="0" w:line="245" w:lineRule="auto"/>
        <w:tabs>
          <w:tab w:leader="none" w:pos="4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Based solely on a Schedule 13G/A filed with the SEC on February 12, 2020 by Sumitomo Mitsui Trust Holdings, Inc. (“SMTH”), and Nikko Asset Management Co., Ltd. (“NAM”). Each of SMTH and NAM are parent holding companies of Nikko Asset Management Americas, Inc. (“Nikko Americas”). Nikko Americas has shared dispositive power over all 8,273,223 shares and shared voting power over 5,434,478 shares. All of the shares of Common Stock are owned, or may be deemed to be beneficially owned, by Nikko Americas. The address for SMTH is 1-4-1 Marunouchi, Chiyoda-ku, Tokyo 100-8233, Japan. The address for NAM is Midtown Tower, 9-7-1 Akasaka, Minato-ku, Tokyo 107-6242, Japan.</w:t>
      </w:r>
    </w:p>
    <w:p>
      <w:pPr>
        <w:spacing w:after="0" w:line="51" w:lineRule="exact"/>
        <w:rPr>
          <w:sz w:val="20"/>
          <w:szCs w:val="20"/>
          <w:color w:val="auto"/>
        </w:rPr>
      </w:pPr>
    </w:p>
    <w:p>
      <w:pPr>
        <w:ind w:left="440" w:hanging="324"/>
        <w:spacing w:after="0" w:line="251" w:lineRule="auto"/>
        <w:tabs>
          <w:tab w:leader="none" w:pos="440" w:val="left"/>
        </w:tabs>
        <w:numPr>
          <w:ilvl w:val="0"/>
          <w:numId w:val="36"/>
        </w:numPr>
        <w:rPr>
          <w:rFonts w:ascii="Arial" w:cs="Arial" w:eastAsia="Arial" w:hAnsi="Arial"/>
          <w:sz w:val="11"/>
          <w:szCs w:val="11"/>
          <w:color w:val="auto"/>
        </w:rPr>
      </w:pPr>
      <w:r>
        <w:rPr>
          <w:rFonts w:ascii="Arial" w:cs="Arial" w:eastAsia="Arial" w:hAnsi="Arial"/>
          <w:sz w:val="13"/>
          <w:szCs w:val="13"/>
          <w:color w:val="auto"/>
        </w:rPr>
        <w:t>Based solely on a Schedule 13G/A filed on February 14, 2020 by ARK Investment Management LLC (“ARK”). ARK is an investment adviser and has sole dispositive power over all 7,273,840 shares, sole voting power over 5,983,163 shares and shared voting power over 445,694 shares. The address for ARK is 3 East 28th Street, 7th Floor, New York, NY 10016.</w:t>
      </w:r>
    </w:p>
    <w:p>
      <w:pPr>
        <w:spacing w:after="0" w:line="200" w:lineRule="exact"/>
        <w:rPr>
          <w:sz w:val="20"/>
          <w:szCs w:val="20"/>
          <w:color w:val="auto"/>
        </w:rPr>
      </w:pPr>
    </w:p>
    <w:p>
      <w:pPr>
        <w:ind w:left="440" w:hanging="324"/>
        <w:spacing w:after="0" w:line="243" w:lineRule="auto"/>
        <w:tabs>
          <w:tab w:leader="none" w:pos="440" w:val="left"/>
        </w:tabs>
        <w:numPr>
          <w:ilvl w:val="0"/>
          <w:numId w:val="37"/>
        </w:numPr>
        <w:rPr>
          <w:rFonts w:ascii="Arial" w:cs="Arial" w:eastAsia="Arial" w:hAnsi="Arial"/>
          <w:sz w:val="11"/>
          <w:szCs w:val="11"/>
          <w:color w:val="auto"/>
        </w:rPr>
      </w:pPr>
      <w:r>
        <w:rPr>
          <w:rFonts w:ascii="Arial" w:cs="Arial" w:eastAsia="Arial" w:hAnsi="Arial"/>
          <w:sz w:val="13"/>
          <w:szCs w:val="13"/>
          <w:color w:val="auto"/>
        </w:rPr>
        <w:t>Based on a Schedule 13D filed with the SEC on April 11, 2018 by Nestlé Health Science US Holdings, Inc. (“NHS US”), NIMCO US, Inc. (“NIMCO”) and Nestlé S.A. (“Nestlé”) and information known to us. NHS US is a wholly owned subsidiary of NIMCO, which is a wholly owned subsidiary of Nestlé, a publicly traded company, and other information known to the us. Each of these entities may be deemed to share voting and investment power with respect to all shares of Common Stock held by NHS US. Each of NHS US, NIMCO and Nestlé disclaims beneficial ownership of such shares of Common Stock except to the extent of its pecuniary interest therein. The address for NHS US and NIMCO is 383 Main Ave., 5th Floor, Norwalk, CT 06851. The address for Nestlé is Avenue Nestlé 55, CH-1800, Vevey Switzerland.</w:t>
      </w:r>
    </w:p>
    <w:p>
      <w:pPr>
        <w:spacing w:after="0" w:line="53" w:lineRule="exact"/>
        <w:rPr>
          <w:sz w:val="20"/>
          <w:szCs w:val="20"/>
          <w:color w:val="auto"/>
        </w:rPr>
      </w:pPr>
    </w:p>
    <w:p>
      <w:pPr>
        <w:ind w:left="440" w:hanging="324"/>
        <w:spacing w:after="0"/>
        <w:tabs>
          <w:tab w:leader="none" w:pos="440" w:val="left"/>
        </w:tabs>
        <w:numPr>
          <w:ilvl w:val="0"/>
          <w:numId w:val="38"/>
        </w:numPr>
        <w:rPr>
          <w:rFonts w:ascii="Arial" w:cs="Arial" w:eastAsia="Arial" w:hAnsi="Arial"/>
          <w:sz w:val="11"/>
          <w:szCs w:val="11"/>
          <w:color w:val="auto"/>
        </w:rPr>
      </w:pPr>
      <w:r>
        <w:rPr>
          <w:rFonts w:ascii="Arial" w:cs="Arial" w:eastAsia="Arial" w:hAnsi="Arial"/>
          <w:sz w:val="13"/>
          <w:szCs w:val="13"/>
          <w:color w:val="auto"/>
        </w:rPr>
        <w:t>Based solely on a Schedule 13G/A filed on February 7, 2020 by FMR LLC and Abigail P. Johnson.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(the “Fidelity Funds”), advised by Fidelity Management &amp; Research Company (“FMR Co”), a wholly owned subsidiary of FMR LLC, which power resides with the Fidelity Funds’ Boards of Trustees. FMR LLC has sole voting power over 2,079,689 shares and sole dispositive power over 6,499,118 shares. Abigail P. Johnson has sole dispositive power over 6,499,118 shares. The address for FMR LLC is 245 Summer Street, Boston, Massachusetts 02210.</w:t>
      </w:r>
    </w:p>
    <w:p>
      <w:pPr>
        <w:spacing w:after="0" w:line="59" w:lineRule="exact"/>
        <w:rPr>
          <w:sz w:val="20"/>
          <w:szCs w:val="20"/>
          <w:color w:val="auto"/>
        </w:rPr>
      </w:pPr>
    </w:p>
    <w:p>
      <w:pPr>
        <w:ind w:left="440" w:right="180" w:hanging="324"/>
        <w:spacing w:after="0" w:line="242" w:lineRule="auto"/>
        <w:tabs>
          <w:tab w:leader="none" w:pos="440" w:val="left"/>
        </w:tabs>
        <w:numPr>
          <w:ilvl w:val="0"/>
          <w:numId w:val="39"/>
        </w:numPr>
        <w:rPr>
          <w:rFonts w:ascii="Arial" w:cs="Arial" w:eastAsia="Arial" w:hAnsi="Arial"/>
          <w:sz w:val="11"/>
          <w:szCs w:val="11"/>
          <w:color w:val="auto"/>
        </w:rPr>
      </w:pPr>
      <w:r>
        <w:rPr>
          <w:rFonts w:ascii="Arial" w:cs="Arial" w:eastAsia="Arial" w:hAnsi="Arial"/>
          <w:sz w:val="13"/>
          <w:szCs w:val="13"/>
          <w:color w:val="auto"/>
        </w:rPr>
        <w:t>Based solely on a Schedule 13G filed on February 7, 2020 by BlackRock, Inc. (“Blackrock”), on behalf of itself and its wholly owned subsidiaries, BlackRock Advisors, LLC, BlackRock Investment Management (UK) Limited, BlackRock Asset Management Canada Limited, BlackRock Fund Advisors, BlackRock Asset Management Ireland Limited, BlackRock Institutional Trust Company, National Association, BlackRock Financial Management, Inc., BlackRock Japan Co., Ltd. and BlackRock Investment Management, LLC. BlackRock reported that as of December 31, 2019, it had sole voting power with respect to 3,863,749 shares of Common Stock and sole dispositive power with respect to all 4,003,353 shares, and that the shares are beneficially owned by BlackRock and its wholly owned subsidiaries identified above. The address of each of the foregoing is 55 East 52nd Street, New York, NY 10055.</w:t>
      </w:r>
    </w:p>
    <w:p>
      <w:pPr>
        <w:spacing w:after="0" w:line="54" w:lineRule="exact"/>
        <w:rPr>
          <w:sz w:val="20"/>
          <w:szCs w:val="20"/>
          <w:color w:val="auto"/>
        </w:rPr>
      </w:pPr>
    </w:p>
    <w:p>
      <w:pPr>
        <w:ind w:left="440" w:right="80" w:hanging="324"/>
        <w:spacing w:after="0" w:line="258" w:lineRule="auto"/>
        <w:tabs>
          <w:tab w:leader="none" w:pos="440" w:val="left"/>
        </w:tabs>
        <w:numPr>
          <w:ilvl w:val="0"/>
          <w:numId w:val="40"/>
        </w:numPr>
        <w:rPr>
          <w:rFonts w:ascii="Arial" w:cs="Arial" w:eastAsia="Arial" w:hAnsi="Arial"/>
          <w:sz w:val="11"/>
          <w:szCs w:val="11"/>
          <w:color w:val="auto"/>
        </w:rPr>
      </w:pPr>
      <w:r>
        <w:rPr>
          <w:rFonts w:ascii="Arial" w:cs="Arial" w:eastAsia="Arial" w:hAnsi="Arial"/>
          <w:sz w:val="13"/>
          <w:szCs w:val="13"/>
          <w:color w:val="auto"/>
        </w:rPr>
        <w:t>Includes 135,000 shares of Common Stock which Dr. Ausiello has the right to acquire pursuant to outstanding stock options which are or will be immediately exercisable within 60 days of April 21, 2020.</w:t>
      </w:r>
    </w:p>
    <w:p>
      <w:pPr>
        <w:spacing w:after="0" w:line="43" w:lineRule="exact"/>
        <w:rPr>
          <w:sz w:val="20"/>
          <w:szCs w:val="20"/>
          <w:color w:val="auto"/>
        </w:rPr>
      </w:pPr>
    </w:p>
    <w:p>
      <w:pPr>
        <w:ind w:left="440" w:right="260" w:hanging="324"/>
        <w:spacing w:after="0" w:line="258" w:lineRule="auto"/>
        <w:tabs>
          <w:tab w:leader="none" w:pos="440" w:val="left"/>
        </w:tabs>
        <w:numPr>
          <w:ilvl w:val="0"/>
          <w:numId w:val="41"/>
        </w:numPr>
        <w:rPr>
          <w:rFonts w:ascii="Arial" w:cs="Arial" w:eastAsia="Arial" w:hAnsi="Arial"/>
          <w:sz w:val="11"/>
          <w:szCs w:val="11"/>
          <w:color w:val="auto"/>
        </w:rPr>
      </w:pPr>
      <w:r>
        <w:rPr>
          <w:rFonts w:ascii="Arial" w:cs="Arial" w:eastAsia="Arial" w:hAnsi="Arial"/>
          <w:sz w:val="13"/>
          <w:szCs w:val="13"/>
          <w:color w:val="auto"/>
        </w:rPr>
        <w:t>Includes 45,000 shares of Common Stock which Mr. Behar has the right to acquire pursuant to outstanding stock options which are or will be immediately exercisable within 60 days of April 21, 2020.</w:t>
      </w:r>
    </w:p>
    <w:p>
      <w:pPr>
        <w:spacing w:after="0" w:line="43" w:lineRule="exact"/>
        <w:rPr>
          <w:sz w:val="20"/>
          <w:szCs w:val="20"/>
          <w:color w:val="auto"/>
        </w:rPr>
      </w:pPr>
    </w:p>
    <w:p>
      <w:pPr>
        <w:ind w:left="440" w:right="220" w:hanging="324"/>
        <w:spacing w:after="0" w:line="258" w:lineRule="auto"/>
        <w:tabs>
          <w:tab w:leader="none" w:pos="440" w:val="left"/>
        </w:tabs>
        <w:numPr>
          <w:ilvl w:val="0"/>
          <w:numId w:val="42"/>
        </w:numPr>
        <w:rPr>
          <w:rFonts w:ascii="Arial" w:cs="Arial" w:eastAsia="Arial" w:hAnsi="Arial"/>
          <w:sz w:val="11"/>
          <w:szCs w:val="11"/>
          <w:color w:val="auto"/>
        </w:rPr>
      </w:pPr>
      <w:r>
        <w:rPr>
          <w:rFonts w:ascii="Arial" w:cs="Arial" w:eastAsia="Arial" w:hAnsi="Arial"/>
          <w:sz w:val="13"/>
          <w:szCs w:val="13"/>
          <w:color w:val="auto"/>
        </w:rPr>
        <w:t>Includes 171,593 shares of Common Stock which Mr. Henn has the right to acquire pursuant to outstanding stock options which are or will be immediately exercisable within 60 days of April 21, 2020.</w:t>
      </w:r>
    </w:p>
    <w:p>
      <w:pPr>
        <w:spacing w:after="0" w:line="43" w:lineRule="exact"/>
        <w:rPr>
          <w:sz w:val="20"/>
          <w:szCs w:val="20"/>
          <w:color w:val="auto"/>
        </w:rPr>
      </w:pPr>
    </w:p>
    <w:p>
      <w:pPr>
        <w:ind w:left="440" w:right="20" w:hanging="324"/>
        <w:spacing w:after="0" w:line="258" w:lineRule="auto"/>
        <w:tabs>
          <w:tab w:leader="none" w:pos="440" w:val="left"/>
        </w:tabs>
        <w:numPr>
          <w:ilvl w:val="0"/>
          <w:numId w:val="43"/>
        </w:numPr>
        <w:rPr>
          <w:rFonts w:ascii="Arial" w:cs="Arial" w:eastAsia="Arial" w:hAnsi="Arial"/>
          <w:sz w:val="11"/>
          <w:szCs w:val="11"/>
          <w:color w:val="auto"/>
        </w:rPr>
      </w:pPr>
      <w:r>
        <w:rPr>
          <w:rFonts w:ascii="Arial" w:cs="Arial" w:eastAsia="Arial" w:hAnsi="Arial"/>
          <w:sz w:val="13"/>
          <w:szCs w:val="13"/>
          <w:color w:val="auto"/>
        </w:rPr>
        <w:t>Includes 45,000 shares of Common Stock which Dr. Dere has the right to acquire pursuant to outstanding stock options which are or will be immediately exercisable within 60 days of April 21, 2020.</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100" w:hanging="324"/>
        <w:spacing w:after="0" w:line="258"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327,] shares of Common Stock which Mr. DesRosier has the right to acquire pursuant to outstanding stock options which are or will be immediately exercisable within 60 days of April 21, 2020.</w:t>
      </w:r>
    </w:p>
    <w:p>
      <w:pPr>
        <w:spacing w:after="0" w:line="43" w:lineRule="exact"/>
        <w:rPr>
          <w:rFonts w:ascii="Arial" w:cs="Arial" w:eastAsia="Arial" w:hAnsi="Arial"/>
          <w:sz w:val="11"/>
          <w:szCs w:val="11"/>
          <w:color w:val="auto"/>
        </w:rPr>
      </w:pPr>
    </w:p>
    <w:p>
      <w:pPr>
        <w:ind w:left="440" w:right="180" w:hanging="324"/>
        <w:spacing w:after="0" w:line="258"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90,000 shares of Common Stock which Mr. Graves has the right to acquire pursuant to outstanding stock options which are or will be immediately exercisable within 60 days of April 21, 2020.</w:t>
      </w:r>
    </w:p>
    <w:p>
      <w:pPr>
        <w:spacing w:after="0" w:line="43" w:lineRule="exact"/>
        <w:rPr>
          <w:rFonts w:ascii="Arial" w:cs="Arial" w:eastAsia="Arial" w:hAnsi="Arial"/>
          <w:sz w:val="11"/>
          <w:szCs w:val="11"/>
          <w:color w:val="auto"/>
        </w:rPr>
      </w:pPr>
    </w:p>
    <w:p>
      <w:pPr>
        <w:ind w:left="440" w:right="100" w:hanging="324"/>
        <w:spacing w:after="0" w:line="258"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150,000 shares of Common Stock which Mr. Kender has the right to acquire pursuant to outstanding stock options which are or will be immediately exercisable within 60 days of April 21, 2020.</w:t>
      </w:r>
    </w:p>
    <w:p>
      <w:pPr>
        <w:spacing w:after="0" w:line="43" w:lineRule="exact"/>
        <w:rPr>
          <w:rFonts w:ascii="Arial" w:cs="Arial" w:eastAsia="Arial" w:hAnsi="Arial"/>
          <w:sz w:val="11"/>
          <w:szCs w:val="11"/>
          <w:color w:val="auto"/>
        </w:rPr>
      </w:pPr>
    </w:p>
    <w:p>
      <w:pPr>
        <w:ind w:left="440" w:hanging="324"/>
        <w:spacing w:after="0" w:line="258"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150,000 shares of Common Stock which Dr. Kim has the right to acquire pursuant to outstanding stock options which are or will be immediately exercisable within 60 days of April 21, 2020.</w:t>
      </w:r>
    </w:p>
    <w:p>
      <w:pPr>
        <w:spacing w:after="0" w:line="43" w:lineRule="exact"/>
        <w:rPr>
          <w:rFonts w:ascii="Arial" w:cs="Arial" w:eastAsia="Arial" w:hAnsi="Arial"/>
          <w:sz w:val="11"/>
          <w:szCs w:val="11"/>
          <w:color w:val="auto"/>
        </w:rPr>
      </w:pPr>
    </w:p>
    <w:p>
      <w:pPr>
        <w:ind w:left="440" w:right="360" w:hanging="324"/>
        <w:spacing w:after="0" w:line="258"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1,130,566 shares of Common Stock which Dr. Pomerantz has the right to acquire pursuant to outstanding stock options which are or will be immediately exercisable within 60 days of April 21, 2020.</w:t>
      </w:r>
    </w:p>
    <w:p>
      <w:pPr>
        <w:spacing w:after="0" w:line="43" w:lineRule="exact"/>
        <w:rPr>
          <w:rFonts w:ascii="Arial" w:cs="Arial" w:eastAsia="Arial" w:hAnsi="Arial"/>
          <w:sz w:val="11"/>
          <w:szCs w:val="11"/>
          <w:color w:val="auto"/>
        </w:rPr>
      </w:pPr>
    </w:p>
    <w:p>
      <w:pPr>
        <w:ind w:left="440" w:right="220" w:hanging="324"/>
        <w:spacing w:after="0" w:line="258"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683,545 shares of Common Stock which Mr. Shaff has the right to acquire pursuant to outstanding stock options which are or will be immediately exercisable within 60 days of April 21, 2020.</w:t>
      </w:r>
    </w:p>
    <w:p>
      <w:pPr>
        <w:spacing w:after="0" w:line="43" w:lineRule="exact"/>
        <w:rPr>
          <w:rFonts w:ascii="Arial" w:cs="Arial" w:eastAsia="Arial" w:hAnsi="Arial"/>
          <w:sz w:val="11"/>
          <w:szCs w:val="11"/>
          <w:color w:val="auto"/>
        </w:rPr>
      </w:pPr>
    </w:p>
    <w:p>
      <w:pPr>
        <w:ind w:left="440" w:right="80" w:hanging="324"/>
        <w:spacing w:after="0" w:line="258"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22,500 shares of Common Stock which Ms. Zausner has the right to acquire pursuant to outstanding stock options which are or will be immediately exercisable within 60 days of April 21, 2020.</w:t>
      </w:r>
    </w:p>
    <w:p>
      <w:pPr>
        <w:spacing w:after="0" w:line="43" w:lineRule="exact"/>
        <w:rPr>
          <w:rFonts w:ascii="Arial" w:cs="Arial" w:eastAsia="Arial" w:hAnsi="Arial"/>
          <w:sz w:val="11"/>
          <w:szCs w:val="11"/>
          <w:color w:val="auto"/>
        </w:rPr>
      </w:pPr>
    </w:p>
    <w:p>
      <w:pPr>
        <w:ind w:left="440" w:right="220" w:hanging="324"/>
        <w:spacing w:after="0" w:line="258"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Consists of (a) 413,722 shares of Common Stock and (b) 3,169,715 shares of Common Stock which the holders have the right to acquire pursuant to outstanding stock options which are or will be immediately exercisable within 60 days of April 21, 2020.</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Board of Directors has adopted a written Related Person Transaction Policy and Procedures, setting forth the policies and procedures for the review and approval or ratification of related person transactions. This policy covers, with certain exceptions set forth in Item 404 of Regulation S-K of the Securities Act of 1933, as amended,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 Our finance team is primarily responsible for developing and implementing procedures to obtain information regarding potential related person transactions and for determining whether a related person transaction requiring compliance with our policy exists. Our Chief Executive Officer then presents the related person transaction to our Audit Committee. In reviewing and approving any such transaction, our Audit Committee is tasked to consider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 The following are certain transactions, arrangements and relationships with our directors, executive officers and stockholders owning 5% or more of our outstanding Common Stock.</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TRANSACTIONS WITH NESTLÉ HEALTH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January 2016 we entered into the Collaboration and License Agreement (the “License Agreement”) with Nestec Ltd. (“NHS”), an affiliate of Nestlé Health Science US Holdings, Inc., which holds approximately 9.7% of our Common Stock as of February 25, 2020, for the development and commercialization of certain of our product candidates in development for the treatment and management of Clostridium difficile infection (“CDI”) and inflammatory bowel disease (“IBD”), including ulcerative colitis and Crohn’s disease. The License Agreement supports the development of our portfolio of products for CDI and IBD in markets outside of the United States and Canada (the “Licensed Territory”) and is expected to provide substantial financial support for our ongoing worldwide research and development. We have retained full commercial rights to our entire portfolio of product candidates with respect to the United States and Canada, where we plan to build our own commercial organization.</w:t>
      </w:r>
    </w:p>
    <w:p>
      <w:pPr>
        <w:spacing w:after="0" w:line="10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(collectively, the “NHS Collaboration Products”). Upon mutual agreement, one or more other products based on our microbiome technology for CDI or IBD may be added to the License Agreement in lieu of or in addition to the then-existing NHS Collaboration Products. NHS’ exclusive license in the Licensed Territory to develop and commercialize NHS Collaboration Products extends to any indications for which we and NHS agree to develop such products. We also granted to NHS a non-exclusive license to export, develop and make NHS Collaboration Products in the licensed fields worldwide solely for commercialization in the licensed fields and in the Licensed Territory. Additionally,</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rights to develop and commercialize a given NHS Collaboration Product in certain non-EU countries within the Licensed Territory may revert to us if NHS either elects not to pursue commercialization of such NHS Collaboration Product in such country or fails to meet certain agreed upon milestones for commercialization of such NHS Collaboration Product in such country. If the licensed rights in any country revert to us in this way, then we would pay to NHS a royalty in the mid-single digits on net sales of such NHS Collaboration Product in such country.</w:t>
      </w:r>
    </w:p>
    <w:p>
      <w:pPr>
        <w:spacing w:after="0" w:line="9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License Agreement sets forth our and NHS’ respective obligations for development, commercialization, regulatory and manufacturing and supply activities for the NHS Collaboration Products with respect to the licensed fields and the Licensed Territory. In exchange for the license, NHS paid us an upfront cash payment of $120.0 million in February 2016 and has agreed to pay us tiered royalties, at percentages ranging from the high single digits to high teens, of net sales of NHS Collaboration Products in the Licensed Territory. Additionally, NHS has agreed to pay us up to $660.0 million for the achievement of certain development and regulatory milestones and up to an aggregate of $1.125 billion for the achievement of certain commercial milestones related to the sales of NHS Collaboration Products. We received a $10.0 million milestone payment in 2016 associated with the initiation of our Phase 1b study for SER-262 in CDI and a $20.0 million milestone payment in 2017 associated with the initiation of our Phase 3 study of SER-109 in multiply recurrent CDI.</w:t>
      </w:r>
    </w:p>
    <w:p>
      <w:pPr>
        <w:spacing w:after="0" w:line="10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November 2018, we executed the letter agreement with NHS (the “Letter Agreement”), modifying certain terms of the License Agreement. Under the Letter Agreement, NHS agreed to accelerate the payment of the $20.0 million Phase 3 commencement milestone to be payable upon the commencement of the Phase 2b study for SER-287. Further, based on the results of the Phase 2b study, the Letter Agreement modifies certain terms and conditions related to the extent and timing of expense reimbursement associated with the ongoing SER-287 clinical trials. The Phase 2b study was initiated and the $40.0 million of milestone payments were received in December 2018.</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date, we have received $70.0 million in development milestones under the License Agreement and the Letter Agreement.</w:t>
      </w:r>
    </w:p>
    <w:p>
      <w:pPr>
        <w:spacing w:after="0" w:line="10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License Agreement continues in effect until terminated by either us or NHS on the following bases: (i) NHS may terminate the License Agreement in the event of serious safety issues related to any of the NHS Collaboration Products; (ii) we may terminate the License Agreement if NHS challenges the validity or enforceability of any of our licensed patents; and (iii) either we or NHS may terminate the License Agreement in the event of the other party’s uncured material breach or insolvency. Upon termination of the License Agreement, all licenses granted to NHS by us will terminate, and all rights in and to the NHS Collaboration Products in the Licensed Territory will revert to us. If we commit a material breach of the License Agreement, NHS may elect not to terminate the License Agreement but instead apply specified adjustments to its payment obligations and other terms and conditions of the License Agreement.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2019 FOLLOW ON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In June 2019, we completed a registered public offering pursuant to which we issued and sold an aggregate of 28,818,578 shares of our Common Stock (including 2,151,911 shares sold pursuant to the underwriters’ partial exercise of their option to purchase additional shares) at a public offering price of $2.25 for aggregate net proceeds to us of approximately $60.5 million. The following table sets forth the number of shares of Common Stock purchased in our registered public offering by directors (and related parties thereto) and holders of more than 5% of our Common Stock:</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160" w:type="dxa"/>
            <w:vAlign w:val="bottom"/>
            <w:shd w:val="clear" w:color="auto" w:fill="E5E5E5"/>
          </w:tcPr>
          <w:p>
            <w:pPr>
              <w:spacing w:after="0"/>
              <w:rPr>
                <w:sz w:val="13"/>
                <w:szCs w:val="13"/>
                <w:color w:val="auto"/>
              </w:rPr>
            </w:pPr>
          </w:p>
        </w:tc>
        <w:tc>
          <w:tcPr>
            <w:tcW w:w="2080" w:type="dxa"/>
            <w:vAlign w:val="bottom"/>
            <w:shd w:val="clear" w:color="auto" w:fill="E5E5E5"/>
          </w:tcPr>
          <w:p>
            <w:pPr>
              <w:jc w:val="right"/>
              <w:ind w:right="373"/>
              <w:spacing w:after="0"/>
              <w:rPr>
                <w:sz w:val="20"/>
                <w:szCs w:val="20"/>
                <w:color w:val="auto"/>
              </w:rPr>
            </w:pPr>
            <w:r>
              <w:rPr>
                <w:rFonts w:ascii="Arial" w:cs="Arial" w:eastAsia="Arial" w:hAnsi="Arial"/>
                <w:sz w:val="13"/>
                <w:szCs w:val="13"/>
                <w:b w:val="1"/>
                <w:bCs w:val="1"/>
                <w:color w:val="auto"/>
              </w:rPr>
              <w:t>Shares of Common</w:t>
            </w:r>
          </w:p>
        </w:tc>
        <w:tc>
          <w:tcPr>
            <w:tcW w:w="1880" w:type="dxa"/>
            <w:vAlign w:val="bottom"/>
            <w:gridSpan w:val="2"/>
            <w:shd w:val="clear" w:color="auto" w:fill="E5E5E5"/>
          </w:tcPr>
          <w:p>
            <w:pPr>
              <w:ind w:left="440"/>
              <w:spacing w:after="0"/>
              <w:rPr>
                <w:sz w:val="20"/>
                <w:szCs w:val="20"/>
                <w:color w:val="auto"/>
              </w:rPr>
            </w:pPr>
            <w:r>
              <w:rPr>
                <w:rFonts w:ascii="Arial" w:cs="Arial" w:eastAsia="Arial" w:hAnsi="Arial"/>
                <w:sz w:val="13"/>
                <w:szCs w:val="13"/>
                <w:b w:val="1"/>
                <w:bCs w:val="1"/>
                <w:color w:val="auto"/>
              </w:rPr>
              <w:t>Total Purchase</w:t>
            </w:r>
          </w:p>
        </w:tc>
      </w:tr>
      <w:tr>
        <w:trPr>
          <w:trHeight w:val="165"/>
        </w:trPr>
        <w:tc>
          <w:tcPr>
            <w:tcW w:w="61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Name (1)</w:t>
            </w:r>
          </w:p>
        </w:tc>
        <w:tc>
          <w:tcPr>
            <w:tcW w:w="2080" w:type="dxa"/>
            <w:vAlign w:val="bottom"/>
            <w:tcBorders>
              <w:bottom w:val="single" w:sz="8" w:color="auto"/>
            </w:tcBorders>
            <w:shd w:val="clear" w:color="auto" w:fill="E5E5E5"/>
          </w:tcPr>
          <w:p>
            <w:pPr>
              <w:jc w:val="right"/>
              <w:ind w:right="433"/>
              <w:spacing w:after="0"/>
              <w:rPr>
                <w:sz w:val="20"/>
                <w:szCs w:val="20"/>
                <w:color w:val="auto"/>
              </w:rPr>
            </w:pPr>
            <w:r>
              <w:rPr>
                <w:rFonts w:ascii="Arial" w:cs="Arial" w:eastAsia="Arial" w:hAnsi="Arial"/>
                <w:sz w:val="13"/>
                <w:szCs w:val="13"/>
                <w:b w:val="1"/>
                <w:bCs w:val="1"/>
                <w:color w:val="auto"/>
              </w:rPr>
              <w:t>Stock Purchased</w:t>
            </w:r>
          </w:p>
        </w:tc>
        <w:tc>
          <w:tcPr>
            <w:tcW w:w="620" w:type="dxa"/>
            <w:vAlign w:val="bottom"/>
            <w:tcBorders>
              <w:bottom w:val="single" w:sz="8" w:color="auto"/>
            </w:tcBorders>
            <w:shd w:val="clear" w:color="auto" w:fill="E5E5E5"/>
          </w:tcPr>
          <w:p>
            <w:pPr>
              <w:spacing w:after="0"/>
              <w:rPr>
                <w:sz w:val="14"/>
                <w:szCs w:val="14"/>
                <w:color w:val="auto"/>
              </w:rPr>
            </w:pPr>
          </w:p>
        </w:tc>
        <w:tc>
          <w:tcPr>
            <w:tcW w:w="1260" w:type="dxa"/>
            <w:vAlign w:val="bottom"/>
            <w:tcBorders>
              <w:bottom w:val="single" w:sz="8" w:color="auto"/>
            </w:tcBorders>
            <w:shd w:val="clear" w:color="auto" w:fill="E5E5E5"/>
          </w:tcPr>
          <w:p>
            <w:pPr>
              <w:jc w:val="right"/>
              <w:ind w:right="733"/>
              <w:spacing w:after="0"/>
              <w:rPr>
                <w:sz w:val="20"/>
                <w:szCs w:val="20"/>
                <w:color w:val="auto"/>
              </w:rPr>
            </w:pPr>
            <w:r>
              <w:rPr>
                <w:rFonts w:ascii="Arial" w:cs="Arial" w:eastAsia="Arial" w:hAnsi="Arial"/>
                <w:sz w:val="13"/>
                <w:szCs w:val="13"/>
                <w:b w:val="1"/>
                <w:bCs w:val="1"/>
                <w:color w:val="auto"/>
              </w:rPr>
              <w:t>Price</w:t>
            </w:r>
          </w:p>
        </w:tc>
      </w:tr>
      <w:tr>
        <w:trPr>
          <w:trHeight w:val="142"/>
        </w:trPr>
        <w:tc>
          <w:tcPr>
            <w:tcW w:w="6160" w:type="dxa"/>
            <w:vAlign w:val="bottom"/>
          </w:tcPr>
          <w:p>
            <w:pPr>
              <w:ind w:left="80"/>
              <w:spacing w:after="0" w:line="142" w:lineRule="exact"/>
              <w:rPr>
                <w:sz w:val="20"/>
                <w:szCs w:val="20"/>
                <w:color w:val="auto"/>
              </w:rPr>
            </w:pPr>
            <w:r>
              <w:rPr>
                <w:rFonts w:ascii="Arial" w:cs="Arial" w:eastAsia="Arial" w:hAnsi="Arial"/>
                <w:sz w:val="13"/>
                <w:szCs w:val="13"/>
                <w:color w:val="auto"/>
              </w:rPr>
              <w:t>Entities affiliated with Flagship Pioneering (2)</w:t>
            </w:r>
          </w:p>
        </w:tc>
        <w:tc>
          <w:tcPr>
            <w:tcW w:w="2080" w:type="dxa"/>
            <w:vAlign w:val="bottom"/>
          </w:tcPr>
          <w:p>
            <w:pPr>
              <w:jc w:val="right"/>
              <w:ind w:right="373"/>
              <w:spacing w:after="0" w:line="142" w:lineRule="exact"/>
              <w:rPr>
                <w:sz w:val="20"/>
                <w:szCs w:val="20"/>
                <w:color w:val="auto"/>
              </w:rPr>
            </w:pPr>
            <w:r>
              <w:rPr>
                <w:rFonts w:ascii="Arial" w:cs="Arial" w:eastAsia="Arial" w:hAnsi="Arial"/>
                <w:sz w:val="13"/>
                <w:szCs w:val="13"/>
                <w:color w:val="auto"/>
              </w:rPr>
              <w:t>8,888,888</w:t>
            </w:r>
          </w:p>
        </w:tc>
        <w:tc>
          <w:tcPr>
            <w:tcW w:w="620" w:type="dxa"/>
            <w:vAlign w:val="bottom"/>
          </w:tcPr>
          <w:p>
            <w:pPr>
              <w:ind w:left="440"/>
              <w:spacing w:after="0" w:line="142"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413"/>
              <w:spacing w:after="0" w:line="142" w:lineRule="exact"/>
              <w:rPr>
                <w:sz w:val="20"/>
                <w:szCs w:val="20"/>
                <w:color w:val="auto"/>
              </w:rPr>
            </w:pPr>
            <w:r>
              <w:rPr>
                <w:rFonts w:ascii="Arial" w:cs="Arial" w:eastAsia="Arial" w:hAnsi="Arial"/>
                <w:sz w:val="13"/>
                <w:szCs w:val="13"/>
                <w:color w:val="auto"/>
              </w:rPr>
              <w:t>19,999,998</w:t>
            </w:r>
          </w:p>
        </w:tc>
      </w:tr>
      <w:tr>
        <w:trPr>
          <w:trHeight w:val="149"/>
        </w:trPr>
        <w:tc>
          <w:tcPr>
            <w:tcW w:w="6160" w:type="dxa"/>
            <w:vAlign w:val="bottom"/>
            <w:shd w:val="clear" w:color="auto" w:fill="D8D8D8"/>
          </w:tcPr>
          <w:p>
            <w:pPr>
              <w:ind w:left="80"/>
              <w:spacing w:after="0"/>
              <w:rPr>
                <w:sz w:val="20"/>
                <w:szCs w:val="20"/>
                <w:color w:val="auto"/>
              </w:rPr>
            </w:pPr>
            <w:r>
              <w:rPr>
                <w:rFonts w:ascii="Arial" w:cs="Arial" w:eastAsia="Arial" w:hAnsi="Arial"/>
                <w:sz w:val="13"/>
                <w:szCs w:val="13"/>
                <w:color w:val="auto"/>
              </w:rPr>
              <w:t>Nikko Asset Management Co., Ltd.</w:t>
            </w:r>
          </w:p>
        </w:tc>
        <w:tc>
          <w:tcPr>
            <w:tcW w:w="2080" w:type="dxa"/>
            <w:vAlign w:val="bottom"/>
            <w:shd w:val="clear" w:color="auto" w:fill="D8D8D8"/>
          </w:tcPr>
          <w:p>
            <w:pPr>
              <w:jc w:val="right"/>
              <w:ind w:right="373"/>
              <w:spacing w:after="0"/>
              <w:rPr>
                <w:sz w:val="20"/>
                <w:szCs w:val="20"/>
                <w:color w:val="auto"/>
              </w:rPr>
            </w:pPr>
            <w:r>
              <w:rPr>
                <w:rFonts w:ascii="Arial" w:cs="Arial" w:eastAsia="Arial" w:hAnsi="Arial"/>
                <w:sz w:val="13"/>
                <w:szCs w:val="13"/>
                <w:color w:val="auto"/>
              </w:rPr>
              <w:t>380,000</w:t>
            </w:r>
          </w:p>
        </w:tc>
        <w:tc>
          <w:tcPr>
            <w:tcW w:w="620" w:type="dxa"/>
            <w:vAlign w:val="bottom"/>
            <w:shd w:val="clear" w:color="auto" w:fill="D8D8D8"/>
          </w:tcPr>
          <w:p>
            <w:pPr>
              <w:ind w:left="440"/>
              <w:spacing w:after="0"/>
              <w:rPr>
                <w:sz w:val="20"/>
                <w:szCs w:val="20"/>
                <w:color w:val="auto"/>
              </w:rPr>
            </w:pPr>
            <w:r>
              <w:rPr>
                <w:rFonts w:ascii="Arial" w:cs="Arial" w:eastAsia="Arial" w:hAnsi="Arial"/>
                <w:sz w:val="13"/>
                <w:szCs w:val="13"/>
                <w:color w:val="auto"/>
              </w:rPr>
              <w:t>$</w:t>
            </w:r>
          </w:p>
        </w:tc>
        <w:tc>
          <w:tcPr>
            <w:tcW w:w="1260" w:type="dxa"/>
            <w:vAlign w:val="bottom"/>
            <w:shd w:val="clear" w:color="auto" w:fill="D8D8D8"/>
          </w:tcPr>
          <w:p>
            <w:pPr>
              <w:jc w:val="right"/>
              <w:ind w:right="413"/>
              <w:spacing w:after="0"/>
              <w:rPr>
                <w:sz w:val="20"/>
                <w:szCs w:val="20"/>
                <w:color w:val="auto"/>
              </w:rPr>
            </w:pPr>
            <w:r>
              <w:rPr>
                <w:rFonts w:ascii="Arial" w:cs="Arial" w:eastAsia="Arial" w:hAnsi="Arial"/>
                <w:sz w:val="13"/>
                <w:szCs w:val="13"/>
                <w:color w:val="auto"/>
              </w:rPr>
              <w:t>855,000</w:t>
            </w:r>
          </w:p>
        </w:tc>
      </w:tr>
      <w:tr>
        <w:trPr>
          <w:trHeight w:val="148"/>
        </w:trPr>
        <w:tc>
          <w:tcPr>
            <w:tcW w:w="6160" w:type="dxa"/>
            <w:vAlign w:val="bottom"/>
          </w:tcPr>
          <w:p>
            <w:pPr>
              <w:ind w:left="80"/>
              <w:spacing w:after="0"/>
              <w:rPr>
                <w:sz w:val="20"/>
                <w:szCs w:val="20"/>
                <w:color w:val="auto"/>
              </w:rPr>
            </w:pPr>
            <w:r>
              <w:rPr>
                <w:rFonts w:ascii="Arial" w:cs="Arial" w:eastAsia="Arial" w:hAnsi="Arial"/>
                <w:sz w:val="13"/>
                <w:szCs w:val="13"/>
                <w:color w:val="auto"/>
              </w:rPr>
              <w:t>Entities affiliated with ARK Investment Management LLC</w:t>
            </w:r>
          </w:p>
        </w:tc>
        <w:tc>
          <w:tcPr>
            <w:tcW w:w="2080" w:type="dxa"/>
            <w:vAlign w:val="bottom"/>
          </w:tcPr>
          <w:p>
            <w:pPr>
              <w:jc w:val="right"/>
              <w:ind w:right="373"/>
              <w:spacing w:after="0"/>
              <w:rPr>
                <w:sz w:val="20"/>
                <w:szCs w:val="20"/>
                <w:color w:val="auto"/>
              </w:rPr>
            </w:pPr>
            <w:r>
              <w:rPr>
                <w:rFonts w:ascii="Arial" w:cs="Arial" w:eastAsia="Arial" w:hAnsi="Arial"/>
                <w:sz w:val="13"/>
                <w:szCs w:val="13"/>
                <w:color w:val="auto"/>
              </w:rPr>
              <w:t>1,130,000</w:t>
            </w:r>
          </w:p>
        </w:tc>
        <w:tc>
          <w:tcPr>
            <w:tcW w:w="620" w:type="dxa"/>
            <w:vAlign w:val="bottom"/>
          </w:tcPr>
          <w:p>
            <w:pPr>
              <w:ind w:left="44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413"/>
              <w:spacing w:after="0"/>
              <w:rPr>
                <w:sz w:val="20"/>
                <w:szCs w:val="20"/>
                <w:color w:val="auto"/>
              </w:rPr>
            </w:pPr>
            <w:r>
              <w:rPr>
                <w:rFonts w:ascii="Arial" w:cs="Arial" w:eastAsia="Arial" w:hAnsi="Arial"/>
                <w:sz w:val="13"/>
                <w:szCs w:val="13"/>
                <w:color w:val="auto"/>
              </w:rPr>
              <w:t>2,542,500</w:t>
            </w:r>
          </w:p>
        </w:tc>
      </w:tr>
      <w:tr>
        <w:trPr>
          <w:trHeight w:val="148"/>
        </w:trPr>
        <w:tc>
          <w:tcPr>
            <w:tcW w:w="616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3"/>
                <w:szCs w:val="13"/>
                <w:color w:val="auto"/>
              </w:rPr>
              <w:t>Entities affiliated with FMR LLC</w:t>
            </w:r>
          </w:p>
        </w:tc>
        <w:tc>
          <w:tcPr>
            <w:tcW w:w="2080" w:type="dxa"/>
            <w:vAlign w:val="bottom"/>
            <w:tcBorders>
              <w:bottom w:val="single" w:sz="8" w:color="auto"/>
            </w:tcBorders>
            <w:shd w:val="clear" w:color="auto" w:fill="D8D8D8"/>
          </w:tcPr>
          <w:p>
            <w:pPr>
              <w:jc w:val="right"/>
              <w:ind w:right="373"/>
              <w:spacing w:after="0"/>
              <w:rPr>
                <w:sz w:val="20"/>
                <w:szCs w:val="20"/>
                <w:color w:val="auto"/>
              </w:rPr>
            </w:pPr>
            <w:r>
              <w:rPr>
                <w:rFonts w:ascii="Arial" w:cs="Arial" w:eastAsia="Arial" w:hAnsi="Arial"/>
                <w:sz w:val="13"/>
                <w:szCs w:val="13"/>
                <w:color w:val="auto"/>
              </w:rPr>
              <w:t>3,357,300</w:t>
            </w:r>
          </w:p>
        </w:tc>
        <w:tc>
          <w:tcPr>
            <w:tcW w:w="62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D8D8D8"/>
          </w:tcPr>
          <w:p>
            <w:pPr>
              <w:jc w:val="right"/>
              <w:ind w:right="413"/>
              <w:spacing w:after="0"/>
              <w:rPr>
                <w:sz w:val="20"/>
                <w:szCs w:val="20"/>
                <w:color w:val="auto"/>
              </w:rPr>
            </w:pPr>
            <w:r>
              <w:rPr>
                <w:rFonts w:ascii="Arial" w:cs="Arial" w:eastAsia="Arial" w:hAnsi="Arial"/>
                <w:sz w:val="13"/>
                <w:szCs w:val="13"/>
                <w:color w:val="auto"/>
              </w:rPr>
              <w:t>7,553,925</w:t>
            </w:r>
          </w:p>
        </w:tc>
      </w:tr>
    </w:tbl>
    <w:p>
      <w:pPr>
        <w:spacing w:after="0" w:line="107" w:lineRule="exact"/>
        <w:rPr>
          <w:sz w:val="20"/>
          <w:szCs w:val="20"/>
          <w:color w:val="auto"/>
        </w:rPr>
      </w:pPr>
    </w:p>
    <w:p>
      <w:pPr>
        <w:ind w:left="840" w:right="820" w:hanging="279"/>
        <w:spacing w:after="0" w:line="258" w:lineRule="auto"/>
        <w:tabs>
          <w:tab w:leader="none" w:pos="822" w:val="left"/>
        </w:tabs>
        <w:numPr>
          <w:ilvl w:val="0"/>
          <w:numId w:val="45"/>
        </w:numPr>
        <w:rPr>
          <w:rFonts w:ascii="Arial" w:cs="Arial" w:eastAsia="Arial" w:hAnsi="Arial"/>
          <w:sz w:val="13"/>
          <w:szCs w:val="13"/>
          <w:color w:val="auto"/>
        </w:rPr>
      </w:pPr>
      <w:r>
        <w:rPr>
          <w:rFonts w:ascii="Arial" w:cs="Arial" w:eastAsia="Arial" w:hAnsi="Arial"/>
          <w:sz w:val="13"/>
          <w:szCs w:val="13"/>
          <w:color w:val="auto"/>
        </w:rPr>
        <w:t>Additional details regarding these stockholders and their equity holdings are provided in this proxy statement under the caption “Security Ownership of Certain Beneficial Owners and Management.”</w:t>
      </w:r>
    </w:p>
    <w:p>
      <w:pPr>
        <w:spacing w:after="0" w:line="56" w:lineRule="exact"/>
        <w:rPr>
          <w:rFonts w:ascii="Arial" w:cs="Arial" w:eastAsia="Arial" w:hAnsi="Arial"/>
          <w:sz w:val="13"/>
          <w:szCs w:val="13"/>
          <w:color w:val="auto"/>
        </w:rPr>
      </w:pPr>
    </w:p>
    <w:p>
      <w:pPr>
        <w:ind w:left="840" w:right="560" w:hanging="279"/>
        <w:spacing w:after="0" w:line="258" w:lineRule="auto"/>
        <w:tabs>
          <w:tab w:leader="none" w:pos="83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shares acquired by Flagship Pioneering Fund VI, L.P. and Nutritional Health LTP Fund, L.P. Flagship Pioneering is an affiliate of Noubar Afeyan, Ph.D. Dr. Afeyan was a member of our board of directors until his departure on March 20, 2020.</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jc w:val="both"/>
        <w:ind w:left="120" w:right="180"/>
        <w:spacing w:after="0"/>
        <w:rPr>
          <w:sz w:val="20"/>
          <w:szCs w:val="20"/>
          <w:color w:val="auto"/>
        </w:rPr>
      </w:pPr>
      <w:r>
        <w:rPr>
          <w:rFonts w:ascii="Arial" w:cs="Arial" w:eastAsia="Arial" w:hAnsi="Arial"/>
          <w:sz w:val="18"/>
          <w:szCs w:val="18"/>
          <w:color w:val="auto"/>
        </w:rPr>
        <w:t>We have entered into employment agreements with our executive officers. For more information regarding the employment agreements with our named executive officers, see the section in this proxy statement entitled “Executive and Director Compensation—Employment and Separation Agreements.”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060"/>
          </w:cols>
          <w:pgMar w:left="320" w:top="459"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Section 16(a) of the Exchange Act requires our directors, certain officers and stockholders who beneficially own more than 10% of any class of our equity securities registered pursuant to Section 12 of the Exchange Act (the “Reporting Persons”) to file initial statements of beneficial ownership of securities and statements of changes in beneficial ownership of securities with respect to our equity securities with the SEC. To our knowledge, based solely on our review of the copies of such forms filed with the SEC and upon written representations of the Reporting Persons received by us, we believe that there has been compliance with all Section 16(a) filing requirements applicable to such Reporting Persons with respect to the year ended December 31, 2019, except that that following form was filed late: one Form 3 (reporting one transaction) for Matthew R. Henn.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472440</wp:posOffset>
            </wp:positionV>
            <wp:extent cx="699516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During the fiscal year ended December 31, 2019, Richard N. Kender, Lorence H. Kim, M.D. and Kurt C. Graves served as members of our Compensation Committee. No member of our Compensation Committee during the fiscal year ended December 31, 2019 is or has been an officer or employee of our Company. None of our executive officers served as a director or a member of a compensation committee (or other committee serving an equivalent function) of any other entity that had an executive officer who served as a director on our Board or as a member of our Compensation Committee during the fiscal year ended December 31, 2019.</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2021 Annual Meeting of Stockholders pursuant to Rule 14a-8 under the Exchange Act must submit the proposal to our Secretary at our offices at 200 Sidney Street, Cambridge, MA 02139 in writing not later than December 31, 2020.</w:t>
      </w:r>
    </w:p>
    <w:p>
      <w:pPr>
        <w:spacing w:after="0" w:line="9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Stockholders intending to present a proposal at the 2021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2021 Annual Meeting of Stockholders no earlier than the close of business on February 18, 2021 and no later than the close of business on March 20, 2021. The notice must contain the information required by the Amended and Restated Bylaws, a copy of which is available upon request to our Secretary. In the event that the date of the 2021 Annual Meeting of Stockholders is more than 30 days before or more than 60 days after June 18, 2021, then our Secretary must receive such written notice not earlier than the close of business on the 120th day prior to the 2021 Annual Meeting and not later than the close of business on the 90th day prior to the 2021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95"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468630</wp:posOffset>
            </wp:positionV>
            <wp:extent cx="699516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120" w:right="480"/>
        <w:spacing w:after="0" w:line="261" w:lineRule="auto"/>
        <w:rPr>
          <w:sz w:val="20"/>
          <w:szCs w:val="20"/>
          <w:color w:val="auto"/>
        </w:rPr>
      </w:pPr>
      <w:r>
        <w:rPr>
          <w:rFonts w:ascii="Arial" w:cs="Arial" w:eastAsia="Arial" w:hAnsi="Arial"/>
          <w:sz w:val="17"/>
          <w:szCs w:val="17"/>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469900</wp:posOffset>
            </wp:positionV>
            <wp:extent cx="699516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accompanying proxy is solicited by and on behalf of our Board of Directors,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97"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Seres’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 copy of Seres’ Annual Report on Form 10-K for the fiscal year ended December 31, 2019, including financial statements and schedules thereto but not including exhibits, as filed with the SEC, will be sent to any stockholder of record on April 21, 2020 without charge upon written request addressed to:</w:t>
      </w:r>
    </w:p>
    <w:p>
      <w:pPr>
        <w:spacing w:after="0" w:line="9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Seres Therapeutics, Inc.</w:t>
      </w:r>
    </w:p>
    <w:p>
      <w:pPr>
        <w:ind w:left="1100"/>
        <w:spacing w:after="0" w:line="234" w:lineRule="auto"/>
        <w:rPr>
          <w:sz w:val="20"/>
          <w:szCs w:val="20"/>
          <w:color w:val="auto"/>
        </w:rPr>
      </w:pPr>
      <w:r>
        <w:rPr>
          <w:rFonts w:ascii="Arial" w:cs="Arial" w:eastAsia="Arial" w:hAnsi="Arial"/>
          <w:sz w:val="18"/>
          <w:szCs w:val="18"/>
          <w:color w:val="auto"/>
        </w:rPr>
        <w:t>Attention: Secretary</w:t>
      </w:r>
    </w:p>
    <w:p>
      <w:pPr>
        <w:ind w:left="1100"/>
        <w:spacing w:after="0" w:line="235" w:lineRule="auto"/>
        <w:rPr>
          <w:sz w:val="20"/>
          <w:szCs w:val="20"/>
          <w:color w:val="auto"/>
        </w:rPr>
      </w:pPr>
      <w:r>
        <w:rPr>
          <w:rFonts w:ascii="Arial" w:cs="Arial" w:eastAsia="Arial" w:hAnsi="Arial"/>
          <w:sz w:val="18"/>
          <w:szCs w:val="18"/>
          <w:color w:val="auto"/>
        </w:rPr>
        <w:t>200 Sidney Street</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Cambridge, MA 02139</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 reasonable fee will be charged for copies of exhibits. You also may access this proxy statement and our Annual Report on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 You also may access our Annual Report on Form 10-K for the year ended December 31, 2019 at</w:t>
      </w:r>
      <w:r>
        <w:rPr>
          <w:rFonts w:ascii="Arial" w:cs="Arial" w:eastAsia="Arial" w:hAnsi="Arial"/>
          <w:sz w:val="18"/>
          <w:szCs w:val="18"/>
          <w:i w:val="1"/>
          <w:iCs w:val="1"/>
          <w:color w:val="auto"/>
        </w:rPr>
        <w:t xml:space="preserve"> www.serestherapeutics.com</w:t>
      </w:r>
      <w:r>
        <w:rPr>
          <w:rFonts w:ascii="Arial" w:cs="Arial" w:eastAsia="Arial" w:hAnsi="Arial"/>
          <w:sz w:val="18"/>
          <w:szCs w:val="18"/>
          <w:color w:val="auto"/>
        </w:rPr>
        <w:t>.</w:t>
      </w:r>
    </w:p>
    <w:p>
      <w:pPr>
        <w:spacing w:after="0" w:line="73"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b w:val="1"/>
          <w:bCs w:val="1"/>
          <w:color w:val="auto"/>
        </w:rPr>
        <w:t>WHETHER OR NOT YOU PLAN TO ATTEND THE ANNUAL MEETING ONLINE, WE URGE YOU TO VOTE YOUR SHARES VIA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1920240" cy="4286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202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Thomas J. DesRosier, Secretary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Cambridge, Massachusetts</w:t>
      </w:r>
    </w:p>
    <w:p>
      <w:pPr>
        <w:ind w:left="120"/>
        <w:spacing w:after="0"/>
        <w:rPr>
          <w:sz w:val="20"/>
          <w:szCs w:val="20"/>
          <w:color w:val="auto"/>
        </w:rPr>
      </w:pPr>
      <w:r>
        <w:rPr>
          <w:rFonts w:ascii="Arial" w:cs="Arial" w:eastAsia="Arial" w:hAnsi="Arial"/>
          <w:sz w:val="18"/>
          <w:szCs w:val="18"/>
          <w:color w:val="auto"/>
        </w:rPr>
        <w:t>April 30, 2020</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205740</wp:posOffset>
            </wp:positionV>
            <wp:extent cx="5683250" cy="7063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83250" cy="706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20" w:type="dxa"/>
            <w:vAlign w:val="bottom"/>
            <w:gridSpan w:val="6"/>
          </w:tcPr>
          <w:p>
            <w:pPr>
              <w:spacing w:after="0"/>
              <w:rPr>
                <w:sz w:val="20"/>
                <w:szCs w:val="20"/>
                <w:color w:val="auto"/>
              </w:rPr>
            </w:pPr>
            <w:r>
              <w:rPr>
                <w:rFonts w:ascii="Arial" w:cs="Arial" w:eastAsia="Arial" w:hAnsi="Arial"/>
                <w:sz w:val="13"/>
                <w:szCs w:val="13"/>
                <w:color w:val="FFFFFF"/>
              </w:rPr>
              <w:t>SERES THERAPEUTICS, INC. 200 SIDNEY STREET CAMBRIDGE, MA 02139 VOTE BY INTERNET - www.proxyvote.com Before the Meeting - Go to www.proxyvote.com Use the Internet to</w:t>
            </w:r>
          </w:p>
        </w:tc>
      </w:tr>
      <w:tr>
        <w:trPr>
          <w:trHeight w:val="41"/>
        </w:trPr>
        <w:tc>
          <w:tcPr>
            <w:tcW w:w="1900" w:type="dxa"/>
            <w:vAlign w:val="bottom"/>
            <w:gridSpan w:val="2"/>
          </w:tcPr>
          <w:p>
            <w:pPr>
              <w:spacing w:after="0" w:line="41" w:lineRule="exact"/>
              <w:rPr>
                <w:sz w:val="20"/>
                <w:szCs w:val="20"/>
                <w:color w:val="auto"/>
              </w:rPr>
            </w:pPr>
            <w:r>
              <w:rPr>
                <w:rFonts w:ascii="Arial" w:cs="Arial" w:eastAsia="Arial" w:hAnsi="Arial"/>
                <w:sz w:val="4"/>
                <w:szCs w:val="4"/>
                <w:color w:val="FFFFFF"/>
              </w:rPr>
              <w:t>transmit your voting instructions</w:t>
            </w:r>
          </w:p>
        </w:tc>
        <w:tc>
          <w:tcPr>
            <w:tcW w:w="1500" w:type="dxa"/>
            <w:vAlign w:val="bottom"/>
          </w:tcPr>
          <w:p>
            <w:pPr>
              <w:ind w:left="140"/>
              <w:spacing w:after="0" w:line="41" w:lineRule="exact"/>
              <w:rPr>
                <w:sz w:val="20"/>
                <w:szCs w:val="20"/>
                <w:color w:val="auto"/>
              </w:rPr>
            </w:pPr>
            <w:r>
              <w:rPr>
                <w:rFonts w:ascii="Arial" w:cs="Arial" w:eastAsia="Arial" w:hAnsi="Arial"/>
                <w:sz w:val="4"/>
                <w:szCs w:val="4"/>
                <w:color w:val="FFFFFF"/>
              </w:rPr>
              <w:t>for electronic delivery of</w:t>
            </w:r>
          </w:p>
        </w:tc>
        <w:tc>
          <w:tcPr>
            <w:tcW w:w="7820" w:type="dxa"/>
            <w:vAlign w:val="bottom"/>
            <w:gridSpan w:val="3"/>
          </w:tcPr>
          <w:p>
            <w:pPr>
              <w:ind w:left="660"/>
              <w:spacing w:after="0" w:line="41" w:lineRule="exact"/>
              <w:rPr>
                <w:sz w:val="20"/>
                <w:szCs w:val="20"/>
                <w:color w:val="auto"/>
              </w:rPr>
            </w:pPr>
            <w:r>
              <w:rPr>
                <w:rFonts w:ascii="Arial" w:cs="Arial" w:eastAsia="Arial" w:hAnsi="Arial"/>
                <w:sz w:val="4"/>
                <w:szCs w:val="4"/>
                <w:color w:val="FFFFFF"/>
              </w:rPr>
              <w:t>. Vote by 11:59 P.M. ET on 06/12/2019. Have your proxy card in hand when you access the web site and follow the instructions to</w:t>
            </w:r>
          </w:p>
        </w:tc>
      </w:tr>
      <w:tr>
        <w:trPr>
          <w:trHeight w:val="40"/>
        </w:trPr>
        <w:tc>
          <w:tcPr>
            <w:tcW w:w="3400" w:type="dxa"/>
            <w:vAlign w:val="bottom"/>
            <w:gridSpan w:val="3"/>
          </w:tcPr>
          <w:p>
            <w:pPr>
              <w:spacing w:after="0" w:line="41" w:lineRule="exact"/>
              <w:rPr>
                <w:sz w:val="20"/>
                <w:szCs w:val="20"/>
                <w:color w:val="auto"/>
              </w:rPr>
            </w:pPr>
            <w:r>
              <w:rPr>
                <w:rFonts w:ascii="Arial" w:cs="Arial" w:eastAsia="Arial" w:hAnsi="Arial"/>
                <w:sz w:val="4"/>
                <w:szCs w:val="4"/>
                <w:color w:val="FFFFFF"/>
              </w:rPr>
              <w:t>obtain your records and to create andelectronic voting</w:t>
            </w:r>
          </w:p>
        </w:tc>
        <w:tc>
          <w:tcPr>
            <w:tcW w:w="7820" w:type="dxa"/>
            <w:vAlign w:val="bottom"/>
            <w:gridSpan w:val="3"/>
          </w:tcPr>
          <w:p>
            <w:pPr>
              <w:ind w:left="20"/>
              <w:spacing w:after="0" w:line="41" w:lineRule="exact"/>
              <w:rPr>
                <w:sz w:val="20"/>
                <w:szCs w:val="20"/>
                <w:color w:val="auto"/>
              </w:rPr>
            </w:pPr>
            <w:r>
              <w:rPr>
                <w:rFonts w:ascii="Arial" w:cs="Arial" w:eastAsia="Arial" w:hAnsi="Arial"/>
                <w:sz w:val="4"/>
                <w:szCs w:val="4"/>
                <w:color w:val="FFFFFF"/>
              </w:rPr>
              <w:t>information.During the Meeting - Go to www.virtualshareholdermeeting.com/MCRB2020 You may attend the meeting via the Internet and vote</w:t>
            </w:r>
          </w:p>
        </w:tc>
      </w:tr>
      <w:tr>
        <w:trPr>
          <w:trHeight w:val="40"/>
        </w:trPr>
        <w:tc>
          <w:tcPr>
            <w:tcW w:w="11220" w:type="dxa"/>
            <w:vAlign w:val="bottom"/>
            <w:gridSpan w:val="6"/>
          </w:tcPr>
          <w:p>
            <w:pPr>
              <w:spacing w:after="0" w:line="41" w:lineRule="exact"/>
              <w:rPr>
                <w:sz w:val="20"/>
                <w:szCs w:val="20"/>
                <w:color w:val="auto"/>
              </w:rPr>
            </w:pPr>
            <w:r>
              <w:rPr>
                <w:rFonts w:ascii="Arial" w:cs="Arial" w:eastAsia="Arial" w:hAnsi="Arial"/>
                <w:sz w:val="4"/>
                <w:szCs w:val="4"/>
                <w:color w:val="FFFFFF"/>
              </w:rPr>
              <w:t>during the meeting. Have the information that is printedinstructionthebox marked by the arrow available and follow the instructions. VOTE BY PHONE - 1-800-690-6903 Use any touch-tone telephone to transmit</w:t>
            </w:r>
          </w:p>
        </w:tc>
      </w:tr>
      <w:tr>
        <w:trPr>
          <w:trHeight w:val="41"/>
        </w:trPr>
        <w:tc>
          <w:tcPr>
            <w:tcW w:w="400" w:type="dxa"/>
            <w:vAlign w:val="bottom"/>
          </w:tcPr>
          <w:p>
            <w:pPr>
              <w:spacing w:after="0" w:line="41" w:lineRule="exact"/>
              <w:rPr>
                <w:sz w:val="20"/>
                <w:szCs w:val="20"/>
                <w:color w:val="auto"/>
              </w:rPr>
            </w:pPr>
            <w:r>
              <w:rPr>
                <w:rFonts w:ascii="Arial" w:cs="Arial" w:eastAsia="Arial" w:hAnsi="Arial"/>
                <w:sz w:val="4"/>
                <w:szCs w:val="4"/>
                <w:color w:val="FFFFFF"/>
              </w:rPr>
              <w:t>your</w:t>
            </w:r>
          </w:p>
        </w:tc>
        <w:tc>
          <w:tcPr>
            <w:tcW w:w="7480" w:type="dxa"/>
            <w:vAlign w:val="bottom"/>
            <w:gridSpan w:val="3"/>
          </w:tcPr>
          <w:p>
            <w:pPr>
              <w:ind w:left="260"/>
              <w:spacing w:after="0" w:line="41" w:lineRule="exact"/>
              <w:rPr>
                <w:sz w:val="20"/>
                <w:szCs w:val="20"/>
                <w:color w:val="auto"/>
              </w:rPr>
            </w:pPr>
            <w:r>
              <w:rPr>
                <w:rFonts w:ascii="Arial" w:cs="Arial" w:eastAsia="Arial" w:hAnsi="Arial"/>
                <w:sz w:val="4"/>
                <w:szCs w:val="4"/>
                <w:color w:val="FFFFFF"/>
              </w:rPr>
              <w:t>instructions. Vote by 11:59 P.M. ET on 06/12/2019. Have your proxy card in hand when you call and then follow the instructions.</w:t>
            </w:r>
          </w:p>
        </w:tc>
        <w:tc>
          <w:tcPr>
            <w:tcW w:w="3340" w:type="dxa"/>
            <w:vAlign w:val="bottom"/>
            <w:gridSpan w:val="2"/>
          </w:tcPr>
          <w:p>
            <w:pPr>
              <w:ind w:left="220"/>
              <w:spacing w:after="0" w:line="41" w:lineRule="exact"/>
              <w:rPr>
                <w:sz w:val="20"/>
                <w:szCs w:val="20"/>
                <w:color w:val="auto"/>
              </w:rPr>
            </w:pPr>
            <w:r>
              <w:rPr>
                <w:rFonts w:ascii="Arial" w:cs="Arial" w:eastAsia="Arial" w:hAnsi="Arial"/>
                <w:sz w:val="4"/>
                <w:szCs w:val="4"/>
                <w:color w:val="FFFFFF"/>
              </w:rPr>
              <w:t>BY MAIL Mark, sign and date your proxy card and</w:t>
            </w:r>
          </w:p>
        </w:tc>
      </w:tr>
      <w:tr>
        <w:trPr>
          <w:trHeight w:val="40"/>
        </w:trPr>
        <w:tc>
          <w:tcPr>
            <w:tcW w:w="11220" w:type="dxa"/>
            <w:vAlign w:val="bottom"/>
            <w:gridSpan w:val="6"/>
          </w:tcPr>
          <w:p>
            <w:pPr>
              <w:spacing w:after="0" w:line="41" w:lineRule="exact"/>
              <w:rPr>
                <w:sz w:val="20"/>
                <w:szCs w:val="20"/>
                <w:color w:val="auto"/>
              </w:rPr>
            </w:pPr>
            <w:r>
              <w:rPr>
                <w:rFonts w:ascii="Arial" w:cs="Arial" w:eastAsia="Arial" w:hAnsi="Arial"/>
                <w:sz w:val="4"/>
                <w:szCs w:val="4"/>
                <w:color w:val="FFFFFF"/>
              </w:rPr>
              <w:t>returnvotingitthe postage-paid envelope we have provided or return it to Vote Processing, c/o Broadridge, 51 Mercedes Way, Edgewood, NY 11717.VOTE VOTE, MARK BLOCKS BELOW IN BLUE OR</w:t>
            </w:r>
          </w:p>
        </w:tc>
      </w:tr>
      <w:tr>
        <w:trPr>
          <w:trHeight w:val="40"/>
        </w:trPr>
        <w:tc>
          <w:tcPr>
            <w:tcW w:w="11220" w:type="dxa"/>
            <w:vAlign w:val="bottom"/>
            <w:gridSpan w:val="6"/>
          </w:tcPr>
          <w:p>
            <w:pPr>
              <w:spacing w:after="0" w:line="41" w:lineRule="exact"/>
              <w:rPr>
                <w:sz w:val="20"/>
                <w:szCs w:val="20"/>
                <w:color w:val="auto"/>
              </w:rPr>
            </w:pPr>
            <w:r>
              <w:rPr>
                <w:rFonts w:ascii="Arial" w:cs="Arial" w:eastAsia="Arial" w:hAnsi="Arial"/>
                <w:sz w:val="4"/>
                <w:szCs w:val="4"/>
                <w:color w:val="FFFFFF"/>
              </w:rPr>
              <w:t>BLACK INK AS FOLLOWS: KEEP THIS PORTION FOR YOUR RECORDS DETACH AND RETURN THIS PORTION ONLY THIS PROXY CARD IS VALID ONLY WHEN SIGNED AND DATED.</w:t>
            </w:r>
          </w:p>
        </w:tc>
      </w:tr>
      <w:tr>
        <w:trPr>
          <w:trHeight w:val="41"/>
        </w:trPr>
        <w:tc>
          <w:tcPr>
            <w:tcW w:w="11220" w:type="dxa"/>
            <w:vAlign w:val="bottom"/>
            <w:gridSpan w:val="6"/>
          </w:tcPr>
          <w:p>
            <w:pPr>
              <w:spacing w:after="0" w:line="41" w:lineRule="exact"/>
              <w:rPr>
                <w:sz w:val="20"/>
                <w:szCs w:val="20"/>
                <w:color w:val="auto"/>
              </w:rPr>
            </w:pPr>
            <w:r>
              <w:rPr>
                <w:rFonts w:ascii="Arial" w:cs="Arial" w:eastAsia="Arial" w:hAnsi="Arial"/>
                <w:sz w:val="4"/>
                <w:szCs w:val="4"/>
                <w:color w:val="FFFFFF"/>
              </w:rPr>
              <w:t>For Withhold For All T  withhold authority to vote for any All All Except individual nominee(s), mark “For All Except” and write the number(s) of the The Board of Directors recommends you vote FOR the</w:t>
            </w:r>
          </w:p>
        </w:tc>
      </w:tr>
      <w:tr>
        <w:trPr>
          <w:trHeight w:val="40"/>
        </w:trPr>
        <w:tc>
          <w:tcPr>
            <w:tcW w:w="400" w:type="dxa"/>
            <w:vAlign w:val="bottom"/>
          </w:tcPr>
          <w:p>
            <w:pPr>
              <w:spacing w:after="0"/>
              <w:rPr>
                <w:sz w:val="3"/>
                <w:szCs w:val="3"/>
                <w:color w:val="auto"/>
              </w:rPr>
            </w:pPr>
          </w:p>
        </w:tc>
        <w:tc>
          <w:tcPr>
            <w:tcW w:w="10820" w:type="dxa"/>
            <w:vAlign w:val="bottom"/>
            <w:gridSpan w:val="5"/>
          </w:tcPr>
          <w:p>
            <w:pPr>
              <w:ind w:left="140"/>
              <w:spacing w:after="0" w:line="41" w:lineRule="exact"/>
              <w:rPr>
                <w:sz w:val="20"/>
                <w:szCs w:val="20"/>
                <w:color w:val="auto"/>
              </w:rPr>
            </w:pPr>
            <w:r>
              <w:rPr>
                <w:rFonts w:ascii="Arial" w:cs="Arial" w:eastAsia="Arial" w:hAnsi="Arial"/>
                <w:sz w:val="4"/>
                <w:szCs w:val="4"/>
                <w:color w:val="FFFFFF"/>
              </w:rPr>
              <w:t>: nominee(s) on the line below. 0 0 0 1. Election of Directors Nominees 01 Stephen A. Berenson 02 Richard N. Kender 03 Meryl S. Zausner The Board of Directors recommends you vote FOR the</w:t>
            </w:r>
          </w:p>
        </w:tc>
      </w:tr>
      <w:tr>
        <w:trPr>
          <w:trHeight w:val="41"/>
        </w:trPr>
        <w:tc>
          <w:tcPr>
            <w:tcW w:w="11220" w:type="dxa"/>
            <w:vAlign w:val="bottom"/>
            <w:gridSpan w:val="6"/>
          </w:tcPr>
          <w:p>
            <w:pPr>
              <w:spacing w:after="0" w:line="41" w:lineRule="exact"/>
              <w:rPr>
                <w:sz w:val="20"/>
                <w:szCs w:val="20"/>
                <w:color w:val="auto"/>
              </w:rPr>
            </w:pPr>
            <w:r>
              <w:rPr>
                <w:rFonts w:ascii="Arial" w:cs="Arial" w:eastAsia="Arial" w:hAnsi="Arial"/>
                <w:sz w:val="4"/>
                <w:szCs w:val="4"/>
                <w:color w:val="FFFFFF"/>
              </w:rPr>
              <w:t>following proposal: For Against Abstain 2. Ratify the appointment of PricewaterhouseCoopers LLP as our independent registered public accounting firm for 0 0 0 the fiscal year ending December 31, 2020.</w:t>
            </w:r>
          </w:p>
        </w:tc>
      </w:tr>
      <w:tr>
        <w:trPr>
          <w:trHeight w:val="0"/>
        </w:trPr>
        <w:tc>
          <w:tcPr>
            <w:tcW w:w="8960" w:type="dxa"/>
            <w:vAlign w:val="bottom"/>
            <w:gridSpan w:val="5"/>
          </w:tcPr>
          <w:p>
            <w:pPr>
              <w:spacing w:after="0" w:line="80" w:lineRule="exact"/>
              <w:rPr>
                <w:sz w:val="20"/>
                <w:szCs w:val="20"/>
                <w:color w:val="auto"/>
              </w:rPr>
            </w:pPr>
            <w:r>
              <w:rPr>
                <w:rFonts w:ascii="Arial" w:cs="Arial" w:eastAsia="Arial" w:hAnsi="Arial"/>
                <w:sz w:val="9"/>
                <w:szCs w:val="9"/>
                <w:color w:val="FFFFFF"/>
              </w:rPr>
              <w:t>NOTE: To transact such other business as may properly come before the Annual Meeting or any continuation, postponement, or adjournment thereof. Please sign</w:t>
            </w:r>
          </w:p>
        </w:tc>
        <w:tc>
          <w:tcPr>
            <w:tcW w:w="2260" w:type="dxa"/>
            <w:vAlign w:val="bottom"/>
          </w:tcPr>
          <w:p>
            <w:pPr>
              <w:ind w:left="220"/>
              <w:spacing w:after="0" w:line="80" w:lineRule="exact"/>
              <w:rPr>
                <w:sz w:val="20"/>
                <w:szCs w:val="20"/>
                <w:color w:val="auto"/>
              </w:rPr>
            </w:pPr>
            <w:r>
              <w:rPr>
                <w:rFonts w:ascii="Arial" w:cs="Arial" w:eastAsia="Arial" w:hAnsi="Arial"/>
                <w:sz w:val="9"/>
                <w:szCs w:val="9"/>
                <w:color w:val="FFFFFF"/>
              </w:rPr>
              <w:t>as your name(s) appear(s) hereon.</w:t>
            </w:r>
          </w:p>
        </w:tc>
      </w:tr>
    </w:tbl>
    <w:p>
      <w:pPr>
        <w:ind w:right="120"/>
        <w:spacing w:after="0" w:line="187" w:lineRule="auto"/>
        <w:rPr>
          <w:sz w:val="20"/>
          <w:szCs w:val="20"/>
          <w:color w:val="auto"/>
        </w:rPr>
      </w:pPr>
      <w:r>
        <w:rPr>
          <w:rFonts w:ascii="Arial" w:cs="Arial" w:eastAsia="Arial" w:hAnsi="Arial"/>
          <w:sz w:val="9"/>
          <w:szCs w:val="9"/>
          <w:color w:val="FFFFFF"/>
        </w:rPr>
        <w:t>When signing as attorney, executor, administrator, or other fiduciary, please give full title as such. Joint owners should each sign personally. All holders must sign.exactlyIfcorporation or partnership, please sign in full corporate or partnership name by authorized officer. Signature [PLEASE SIGN WITHIN BOX] Date Signature (Joint Owners) Date 0000463297_1 R1.0.1.18</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205740</wp:posOffset>
            </wp:positionV>
            <wp:extent cx="6077585" cy="7123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77585" cy="712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20" w:type="dxa"/>
            <w:vAlign w:val="bottom"/>
            <w:gridSpan w:val="5"/>
          </w:tcPr>
          <w:p>
            <w:pPr>
              <w:ind w:left="60"/>
              <w:spacing w:after="0"/>
              <w:rPr>
                <w:sz w:val="20"/>
                <w:szCs w:val="20"/>
                <w:color w:val="auto"/>
              </w:rPr>
            </w:pPr>
            <w:r>
              <w:rPr>
                <w:rFonts w:ascii="Arial" w:cs="Arial" w:eastAsia="Arial" w:hAnsi="Arial"/>
                <w:sz w:val="13"/>
                <w:szCs w:val="13"/>
                <w:color w:val="FFFFFF"/>
                <w:w w:val="96"/>
              </w:rPr>
              <w:t>mportant Notice Regarding the Availability of Proxy Materials for the Annual Meeting: The Notice and Proxy Statement and Annual Report are available at www.proxyvote.com SERES THERAPEUTICS,</w:t>
            </w:r>
          </w:p>
        </w:tc>
      </w:tr>
      <w:tr>
        <w:trPr>
          <w:trHeight w:val="40"/>
        </w:trPr>
        <w:tc>
          <w:tcPr>
            <w:tcW w:w="5020" w:type="dxa"/>
            <w:vAlign w:val="bottom"/>
            <w:gridSpan w:val="2"/>
          </w:tcPr>
          <w:p>
            <w:pPr>
              <w:spacing w:after="0" w:line="41" w:lineRule="exact"/>
              <w:rPr>
                <w:sz w:val="20"/>
                <w:szCs w:val="20"/>
                <w:color w:val="auto"/>
              </w:rPr>
            </w:pPr>
            <w:r>
              <w:rPr>
                <w:rFonts w:ascii="Arial" w:cs="Arial" w:eastAsia="Arial" w:hAnsi="Arial"/>
                <w:sz w:val="4"/>
                <w:szCs w:val="4"/>
                <w:color w:val="FFFFFF"/>
              </w:rPr>
              <w:t>INC. Annual Meeting of Stockholders June 18, 2020 8:00 AM EDT This proxy is solicited</w:t>
            </w:r>
          </w:p>
        </w:tc>
        <w:tc>
          <w:tcPr>
            <w:tcW w:w="1300" w:type="dxa"/>
            <w:vAlign w:val="bottom"/>
          </w:tcPr>
          <w:p>
            <w:pPr>
              <w:ind w:left="100"/>
              <w:spacing w:after="0" w:line="41" w:lineRule="exact"/>
              <w:rPr>
                <w:sz w:val="20"/>
                <w:szCs w:val="20"/>
                <w:color w:val="auto"/>
              </w:rPr>
            </w:pPr>
            <w:r>
              <w:rPr>
                <w:rFonts w:ascii="Arial" w:cs="Arial" w:eastAsia="Arial" w:hAnsi="Arial"/>
                <w:sz w:val="4"/>
                <w:szCs w:val="4"/>
                <w:color w:val="FFFFFF"/>
              </w:rPr>
              <w:t>the Board of</w:t>
            </w:r>
          </w:p>
        </w:tc>
        <w:tc>
          <w:tcPr>
            <w:tcW w:w="4900" w:type="dxa"/>
            <w:vAlign w:val="bottom"/>
            <w:gridSpan w:val="2"/>
          </w:tcPr>
          <w:p>
            <w:pPr>
              <w:ind w:left="40"/>
              <w:spacing w:after="0" w:line="41" w:lineRule="exact"/>
              <w:rPr>
                <w:sz w:val="20"/>
                <w:szCs w:val="20"/>
                <w:color w:val="auto"/>
              </w:rPr>
            </w:pPr>
            <w:r>
              <w:rPr>
                <w:rFonts w:ascii="Arial" w:cs="Arial" w:eastAsia="Arial" w:hAnsi="Arial"/>
                <w:sz w:val="4"/>
                <w:szCs w:val="4"/>
                <w:color w:val="FFFFFF"/>
              </w:rPr>
              <w:t>The undersigned stockholder(s) hereby appoint(s) Eric D. Shaff and Thomas J.</w:t>
            </w:r>
          </w:p>
        </w:tc>
      </w:tr>
      <w:tr>
        <w:trPr>
          <w:trHeight w:val="41"/>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DesRosier, or either of them, as proxies, each with the power to appoint his substitute, and hereby authorizesDirectorsthem represent and to vote, as designated on the reverse side of this proxy card, all of the shares</w:t>
            </w:r>
          </w:p>
        </w:tc>
      </w:tr>
      <w:tr>
        <w:trPr>
          <w:trHeight w:val="40"/>
        </w:trPr>
        <w:tc>
          <w:tcPr>
            <w:tcW w:w="6320" w:type="dxa"/>
            <w:vAlign w:val="bottom"/>
            <w:gridSpan w:val="3"/>
          </w:tcPr>
          <w:p>
            <w:pPr>
              <w:spacing w:after="0" w:line="41" w:lineRule="exact"/>
              <w:rPr>
                <w:sz w:val="20"/>
                <w:szCs w:val="20"/>
                <w:color w:val="auto"/>
              </w:rPr>
            </w:pPr>
            <w:r>
              <w:rPr>
                <w:rFonts w:ascii="Arial" w:cs="Arial" w:eastAsia="Arial" w:hAnsi="Arial"/>
                <w:sz w:val="4"/>
                <w:szCs w:val="4"/>
                <w:color w:val="FFFFFF"/>
              </w:rPr>
              <w:t>of common stock of Seres Therapeutics, Inc. that the undersigned stockholder(s) would be entitled to vote if present</w:t>
            </w:r>
          </w:p>
        </w:tc>
        <w:tc>
          <w:tcPr>
            <w:tcW w:w="3880" w:type="dxa"/>
            <w:vAlign w:val="bottom"/>
          </w:tcPr>
          <w:p>
            <w:pPr>
              <w:ind w:left="120"/>
              <w:spacing w:after="0" w:line="41" w:lineRule="exact"/>
              <w:rPr>
                <w:sz w:val="20"/>
                <w:szCs w:val="20"/>
                <w:color w:val="auto"/>
              </w:rPr>
            </w:pPr>
            <w:r>
              <w:rPr>
                <w:rFonts w:ascii="Arial" w:cs="Arial" w:eastAsia="Arial" w:hAnsi="Arial"/>
                <w:sz w:val="4"/>
                <w:szCs w:val="4"/>
                <w:color w:val="FFFFFF"/>
              </w:rPr>
              <w:t>the Annual Meeting of Stockholders to be held live via webcast at</w:t>
            </w:r>
          </w:p>
        </w:tc>
        <w:tc>
          <w:tcPr>
            <w:tcW w:w="1020" w:type="dxa"/>
            <w:vAlign w:val="bottom"/>
          </w:tcPr>
          <w:p>
            <w:pPr>
              <w:spacing w:after="0"/>
              <w:rPr>
                <w:sz w:val="3"/>
                <w:szCs w:val="3"/>
                <w:color w:val="auto"/>
              </w:rPr>
            </w:pPr>
          </w:p>
        </w:tc>
      </w:tr>
      <w:tr>
        <w:trPr>
          <w:trHeight w:val="40"/>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www.virtualshareholdermeeting.com/MCRB2020 on June 18, 2020 at 8:00 AM EDT, and any adjournment, continuation, or postponement thereof. Such proxies are authorized to vote in their discretion</w:t>
            </w:r>
          </w:p>
        </w:tc>
      </w:tr>
      <w:tr>
        <w:trPr>
          <w:trHeight w:val="41"/>
        </w:trPr>
        <w:tc>
          <w:tcPr>
            <w:tcW w:w="10200" w:type="dxa"/>
            <w:vAlign w:val="bottom"/>
            <w:gridSpan w:val="4"/>
          </w:tcPr>
          <w:p>
            <w:pPr>
              <w:spacing w:after="0" w:line="41" w:lineRule="exact"/>
              <w:rPr>
                <w:sz w:val="20"/>
                <w:szCs w:val="20"/>
                <w:color w:val="auto"/>
              </w:rPr>
            </w:pPr>
            <w:r>
              <w:rPr>
                <w:rFonts w:ascii="Arial" w:cs="Arial" w:eastAsia="Arial" w:hAnsi="Arial"/>
                <w:sz w:val="4"/>
                <w:szCs w:val="4"/>
                <w:color w:val="FFFFFF"/>
              </w:rPr>
              <w:t>(x) for the election of any person to the Board of Directors if any nominee named herein becomes unable to serve or for good cause will not serve, (y) on any matter that the Board of</w:t>
            </w:r>
          </w:p>
        </w:tc>
        <w:tc>
          <w:tcPr>
            <w:tcW w:w="1020" w:type="dxa"/>
            <w:vAlign w:val="bottom"/>
          </w:tcPr>
          <w:p>
            <w:pPr>
              <w:ind w:left="200"/>
              <w:spacing w:after="0" w:line="41" w:lineRule="exact"/>
              <w:rPr>
                <w:sz w:val="20"/>
                <w:szCs w:val="20"/>
                <w:color w:val="auto"/>
              </w:rPr>
            </w:pPr>
            <w:r>
              <w:rPr>
                <w:rFonts w:ascii="Arial" w:cs="Arial" w:eastAsia="Arial" w:hAnsi="Arial"/>
                <w:sz w:val="4"/>
                <w:szCs w:val="4"/>
                <w:color w:val="FFFFFF"/>
              </w:rPr>
              <w:t>did not know</w:t>
            </w:r>
          </w:p>
        </w:tc>
      </w:tr>
      <w:tr>
        <w:trPr>
          <w:trHeight w:val="40"/>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would be presented at the Annual Meeting by a reasonable time before the proxy solicitation was made, and (z) on such other business as may properly be brought before the meeting Directorsanyadjournment,</w:t>
            </w:r>
          </w:p>
        </w:tc>
      </w:tr>
      <w:tr>
        <w:trPr>
          <w:trHeight w:val="41"/>
        </w:trPr>
        <w:tc>
          <w:tcPr>
            <w:tcW w:w="11220" w:type="dxa"/>
            <w:vAlign w:val="bottom"/>
            <w:gridSpan w:val="5"/>
          </w:tcPr>
          <w:p>
            <w:pPr>
              <w:ind w:left="900"/>
              <w:spacing w:after="0" w:line="41" w:lineRule="exact"/>
              <w:rPr>
                <w:sz w:val="20"/>
                <w:szCs w:val="20"/>
                <w:color w:val="auto"/>
              </w:rPr>
            </w:pPr>
            <w:r>
              <w:rPr>
                <w:rFonts w:ascii="Arial" w:cs="Arial" w:eastAsia="Arial" w:hAnsi="Arial"/>
                <w:sz w:val="4"/>
                <w:szCs w:val="4"/>
                <w:color w:val="FFFFFF"/>
              </w:rPr>
              <w:t>postponement there  . This proxy, when properly executed, will be voted in the manner directed herein by the undersigned stockholder(s). If no such direction is made, this proxy will be</w:t>
            </w:r>
          </w:p>
        </w:tc>
      </w:tr>
      <w:tr>
        <w:trPr>
          <w:trHeight w:val="213"/>
        </w:trPr>
        <w:tc>
          <w:tcPr>
            <w:tcW w:w="1100" w:type="dxa"/>
            <w:vAlign w:val="bottom"/>
          </w:tcPr>
          <w:p>
            <w:pPr>
              <w:spacing w:after="0"/>
              <w:rPr>
                <w:sz w:val="20"/>
                <w:szCs w:val="20"/>
                <w:color w:val="auto"/>
              </w:rPr>
            </w:pPr>
            <w:r>
              <w:rPr>
                <w:rFonts w:ascii="Arial" w:cs="Arial" w:eastAsia="Arial" w:hAnsi="Arial"/>
                <w:sz w:val="11"/>
                <w:szCs w:val="11"/>
                <w:color w:val="FFFFFF"/>
                <w:w w:val="73"/>
              </w:rPr>
              <w:t>continuation,accordancevoted</w:t>
            </w:r>
          </w:p>
        </w:tc>
        <w:tc>
          <w:tcPr>
            <w:tcW w:w="9100" w:type="dxa"/>
            <w:vAlign w:val="bottom"/>
            <w:gridSpan w:val="3"/>
          </w:tcPr>
          <w:p>
            <w:pPr>
              <w:ind w:left="20"/>
              <w:spacing w:after="0"/>
              <w:rPr>
                <w:sz w:val="20"/>
                <w:szCs w:val="20"/>
                <w:color w:val="auto"/>
              </w:rPr>
            </w:pPr>
            <w:r>
              <w:rPr>
                <w:rFonts w:ascii="Arial" w:cs="Arial" w:eastAsia="Arial" w:hAnsi="Arial"/>
                <w:sz w:val="13"/>
                <w:szCs w:val="13"/>
                <w:color w:val="FFFFFF"/>
              </w:rPr>
              <w:t>with the Board of Directors’ recommendations. Continued and to be signed on reverse side 0000463297_2 R1.0.1.18</w:t>
            </w:r>
          </w:p>
        </w:tc>
        <w:tc>
          <w:tcPr>
            <w:tcW w:w="102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220"/>
      </w:cols>
      <w:pgMar w:left="320" w:top="45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lvl w:ilvl="1">
      <w:lvlJc w:val="left"/>
      <w:lvlText w:val="(%2)"/>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bullet"/>
      <w:start w:val="1"/>
    </w:lvl>
  </w:abstractNum>
  <w:abstractNum w:abstractNumId="8">
    <w:nsid w:val="54E49EB4"/>
    <w:multiLevelType w:val="hybridMultilevel"/>
    <w:lvl w:ilvl="0">
      <w:lvlJc w:val="left"/>
      <w:lvlText w:val="2"/>
      <w:numFmt w:val="bullet"/>
      <w:start w:val="1"/>
    </w:lvl>
  </w:abstractNum>
  <w:abstractNum w:abstractNumId="9">
    <w:nsid w:val="71F32454"/>
    <w:multiLevelType w:val="hybridMultilevel"/>
    <w:lvl w:ilvl="0">
      <w:lvlJc w:val="left"/>
      <w:lvlText w:val="3"/>
      <w:numFmt w:val="bullet"/>
      <w:start w:val="1"/>
    </w:lvl>
  </w:abstractNum>
  <w:abstractNum w:abstractNumId="10">
    <w:nsid w:val="2CA88611"/>
    <w:multiLevelType w:val="hybridMultilevel"/>
    <w:lvl w:ilvl="0">
      <w:lvlJc w:val="left"/>
      <w:lvlText w:val="4"/>
      <w:numFmt w:val="bullet"/>
      <w:start w:val="1"/>
    </w:lvl>
  </w:abstractNum>
  <w:abstractNum w:abstractNumId="11">
    <w:nsid w:val="836C40E"/>
    <w:multiLevelType w:val="hybridMultilevel"/>
    <w:lvl w:ilvl="0">
      <w:lvlJc w:val="left"/>
      <w:lvlText w:val="5"/>
      <w:numFmt w:val="bullet"/>
      <w:start w:val="1"/>
    </w:lvl>
  </w:abstractNum>
  <w:abstractNum w:abstractNumId="12">
    <w:nsid w:val="2901D82"/>
    <w:multiLevelType w:val="hybridMultilevel"/>
    <w:lvl w:ilvl="0">
      <w:lvlJc w:val="left"/>
      <w:lvlText w:val="6"/>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6"/>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5"/>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lvl w:ilvl="1">
      <w:lvlJc w:val="left"/>
      <w:lvlText w:val="•"/>
      <w:numFmt w:val="bullet"/>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2"/>
    </w:lvl>
  </w:abstractNum>
  <w:abstractNum w:abstractNumId="27">
    <w:nsid w:val="3804823E"/>
    <w:multiLevelType w:val="hybridMultilevel"/>
    <w:lvl w:ilvl="0">
      <w:lvlJc w:val="left"/>
      <w:lvlText w:val="1"/>
      <w:numFmt w:val="bullet"/>
      <w:start w:val="1"/>
    </w:lvl>
  </w:abstractNum>
  <w:abstractNum w:abstractNumId="28">
    <w:nsid w:val="77465F01"/>
    <w:multiLevelType w:val="hybridMultilevel"/>
    <w:lvl w:ilvl="0">
      <w:lvlJc w:val="left"/>
      <w:lvlText w:val="2"/>
      <w:numFmt w:val="bullet"/>
      <w:start w:val="1"/>
    </w:lvl>
  </w:abstractNum>
  <w:abstractNum w:abstractNumId="29">
    <w:nsid w:val="7724C67E"/>
    <w:multiLevelType w:val="hybridMultilevel"/>
    <w:lvl w:ilvl="0">
      <w:lvlJc w:val="left"/>
      <w:lvlText w:val="3"/>
      <w:numFmt w:val="bullet"/>
      <w:start w:val="1"/>
    </w:lvl>
  </w:abstractNum>
  <w:abstractNum w:abstractNumId="30">
    <w:nsid w:val="5C482A97"/>
    <w:multiLevelType w:val="hybridMultilevel"/>
    <w:lvl w:ilvl="0">
      <w:lvlJc w:val="left"/>
      <w:lvlText w:val="4"/>
      <w:numFmt w:val="bullet"/>
      <w:start w:val="1"/>
    </w:lvl>
  </w:abstractNum>
  <w:abstractNum w:abstractNumId="31">
    <w:nsid w:val="2463B9EA"/>
    <w:multiLevelType w:val="hybridMultilevel"/>
    <w:lvl w:ilvl="0">
      <w:lvlJc w:val="left"/>
      <w:lvlText w:val="5"/>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bullet"/>
      <w:start w:val="1"/>
    </w:lvl>
  </w:abstractNum>
  <w:abstractNum w:abstractNumId="34">
    <w:nsid w:val="2D517796"/>
    <w:multiLevelType w:val="hybridMultilevel"/>
    <w:lvl w:ilvl="0">
      <w:lvlJc w:val="left"/>
      <w:lvlText w:val="2"/>
      <w:numFmt w:val="bullet"/>
      <w:start w:val="1"/>
    </w:lvl>
  </w:abstractNum>
  <w:abstractNum w:abstractNumId="35">
    <w:nsid w:val="580BD78F"/>
    <w:multiLevelType w:val="hybridMultilevel"/>
    <w:lvl w:ilvl="0">
      <w:lvlJc w:val="left"/>
      <w:lvlText w:val="3"/>
      <w:numFmt w:val="bullet"/>
      <w:start w:val="1"/>
    </w:lvl>
  </w:abstractNum>
  <w:abstractNum w:abstractNumId="36">
    <w:nsid w:val="153EA438"/>
    <w:multiLevelType w:val="hybridMultilevel"/>
    <w:lvl w:ilvl="0">
      <w:lvlJc w:val="left"/>
      <w:lvlText w:val="4"/>
      <w:numFmt w:val="bullet"/>
      <w:start w:val="1"/>
    </w:lvl>
  </w:abstractNum>
  <w:abstractNum w:abstractNumId="37">
    <w:nsid w:val="3855585C"/>
    <w:multiLevelType w:val="hybridMultilevel"/>
    <w:lvl w:ilvl="0">
      <w:lvlJc w:val="left"/>
      <w:lvlText w:val="5"/>
      <w:numFmt w:val="bullet"/>
      <w:start w:val="1"/>
    </w:lvl>
  </w:abstractNum>
  <w:abstractNum w:abstractNumId="38">
    <w:nsid w:val="70A64E2A"/>
    <w:multiLevelType w:val="hybridMultilevel"/>
    <w:lvl w:ilvl="0">
      <w:lvlJc w:val="left"/>
      <w:lvlText w:val="6"/>
      <w:numFmt w:val="bullet"/>
      <w:start w:val="1"/>
    </w:lvl>
  </w:abstractNum>
  <w:abstractNum w:abstractNumId="39">
    <w:nsid w:val="6A2342EC"/>
    <w:multiLevelType w:val="hybridMultilevel"/>
    <w:lvl w:ilvl="0">
      <w:lvlJc w:val="left"/>
      <w:lvlText w:val="7"/>
      <w:numFmt w:val="bullet"/>
      <w:start w:val="1"/>
    </w:lvl>
  </w:abstractNum>
  <w:abstractNum w:abstractNumId="40">
    <w:nsid w:val="2A487CB0"/>
    <w:multiLevelType w:val="hybridMultilevel"/>
    <w:lvl w:ilvl="0">
      <w:lvlJc w:val="left"/>
      <w:lvlText w:val="8"/>
      <w:numFmt w:val="bullet"/>
      <w:start w:val="1"/>
    </w:lvl>
  </w:abstractNum>
  <w:abstractNum w:abstractNumId="41">
    <w:nsid w:val="1D4ED43B"/>
    <w:multiLevelType w:val="hybridMultilevel"/>
    <w:lvl w:ilvl="0">
      <w:lvlJc w:val="left"/>
      <w:lvlText w:val="9"/>
      <w:numFmt w:val="bullet"/>
      <w:start w:val="1"/>
    </w:lvl>
  </w:abstractNum>
  <w:abstractNum w:abstractNumId="42">
    <w:nsid w:val="725A06FB"/>
    <w:multiLevelType w:val="hybridMultilevel"/>
    <w:lvl w:ilvl="0">
      <w:lvlJc w:val="left"/>
      <w:lvlText w:val="%1"/>
      <w:numFmt w:val="decimal"/>
      <w:start w:val="10"/>
    </w:lvl>
  </w:abstractNum>
  <w:abstractNum w:abstractNumId="43">
    <w:nsid w:val="2CD89A32"/>
    <w:multiLevelType w:val="hybridMultilevel"/>
    <w:lvl w:ilvl="0">
      <w:lvlJc w:val="left"/>
      <w:lvlText w:val="%1"/>
      <w:numFmt w:val="decimal"/>
      <w:start w:val="1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2020-04-30T15:15:42Z</dcterms:created>
  <dcterms:modified xsi:type="dcterms:W3CDTF">2020-04-30T15:15:42Z</dcterms:modified>
</cp:coreProperties>
</file>