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91"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90" w:lineRule="exact"/>
        <w:rPr>
          <w:sz w:val="24"/>
          <w:szCs w:val="24"/>
          <w:color w:val="auto"/>
        </w:rPr>
      </w:pPr>
    </w:p>
    <w:p>
      <w:pPr>
        <w:ind w:left="414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001-37465</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Seres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-274320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080" w:type="dxa"/>
            <w:vAlign w:val="bottom"/>
          </w:tcPr>
          <w:p>
            <w:pPr>
              <w:jc w:val="center"/>
              <w:ind w:left="1504"/>
              <w:spacing w:after="0"/>
              <w:rPr>
                <w:sz w:val="20"/>
                <w:szCs w:val="20"/>
                <w:color w:val="auto"/>
              </w:rPr>
            </w:pPr>
            <w:r>
              <w:rPr>
                <w:rFonts w:ascii="Arial" w:cs="Arial" w:eastAsia="Arial" w:hAnsi="Arial"/>
                <w:sz w:val="16"/>
                <w:szCs w:val="16"/>
                <w:b w:val="1"/>
                <w:bCs w:val="1"/>
                <w:color w:val="auto"/>
                <w:w w:val="93"/>
              </w:rPr>
              <w:t>Delaware</w:t>
            </w:r>
          </w:p>
        </w:tc>
        <w:tc>
          <w:tcPr>
            <w:tcW w:w="7340" w:type="dxa"/>
            <w:vAlign w:val="bottom"/>
            <w:gridSpan w:val="7"/>
          </w:tcPr>
          <w:p>
            <w:pPr>
              <w:jc w:val="right"/>
              <w:ind w:right="2359"/>
              <w:spacing w:after="0"/>
              <w:rPr>
                <w:sz w:val="20"/>
                <w:szCs w:val="20"/>
                <w:color w:val="auto"/>
              </w:rPr>
            </w:pPr>
            <w:r>
              <w:rPr>
                <w:rFonts w:ascii="Arial" w:cs="Arial" w:eastAsia="Arial" w:hAnsi="Arial"/>
                <w:sz w:val="16"/>
                <w:szCs w:val="16"/>
                <w:b w:val="1"/>
                <w:bCs w:val="1"/>
                <w:color w:val="231F20"/>
              </w:rPr>
              <w:t>27-4326290</w:t>
            </w:r>
          </w:p>
        </w:tc>
        <w:tc>
          <w:tcPr>
            <w:tcW w:w="0" w:type="dxa"/>
            <w:vAlign w:val="bottom"/>
          </w:tcPr>
          <w:p>
            <w:pPr>
              <w:spacing w:after="0"/>
              <w:rPr>
                <w:sz w:val="1"/>
                <w:szCs w:val="1"/>
                <w:color w:val="auto"/>
              </w:rPr>
            </w:pPr>
          </w:p>
        </w:tc>
      </w:tr>
      <w:tr>
        <w:trPr>
          <w:trHeight w:val="149"/>
        </w:trPr>
        <w:tc>
          <w:tcPr>
            <w:tcW w:w="4080" w:type="dxa"/>
            <w:vAlign w:val="bottom"/>
          </w:tcPr>
          <w:p>
            <w:pPr>
              <w:jc w:val="center"/>
              <w:ind w:left="150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560" w:type="dxa"/>
            <w:vAlign w:val="bottom"/>
            <w:gridSpan w:val="3"/>
          </w:tcPr>
          <w:p>
            <w:pPr>
              <w:jc w:val="center"/>
              <w:ind w:right="1019"/>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4080" w:type="dxa"/>
            <w:vAlign w:val="bottom"/>
          </w:tcPr>
          <w:p>
            <w:pPr>
              <w:jc w:val="center"/>
              <w:ind w:left="1504"/>
              <w:spacing w:after="0"/>
              <w:rPr>
                <w:sz w:val="20"/>
                <w:szCs w:val="20"/>
                <w:color w:val="auto"/>
              </w:rPr>
            </w:pPr>
            <w:r>
              <w:rPr>
                <w:rFonts w:ascii="Arial" w:cs="Arial" w:eastAsia="Arial" w:hAnsi="Arial"/>
                <w:sz w:val="14"/>
                <w:szCs w:val="14"/>
                <w:b w:val="1"/>
                <w:bCs w:val="1"/>
                <w:color w:val="auto"/>
                <w:w w:val="95"/>
              </w:rPr>
              <w:t>Incorporation or Organization)</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560" w:type="dxa"/>
            <w:vAlign w:val="bottom"/>
            <w:gridSpan w:val="3"/>
          </w:tcPr>
          <w:p>
            <w:pPr>
              <w:jc w:val="center"/>
              <w:ind w:right="1019"/>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4080" w:type="dxa"/>
            <w:vAlign w:val="bottom"/>
          </w:tcPr>
          <w:p>
            <w:pPr>
              <w:jc w:val="center"/>
              <w:ind w:left="1504"/>
              <w:spacing w:after="0" w:line="254" w:lineRule="exact"/>
              <w:rPr>
                <w:sz w:val="20"/>
                <w:szCs w:val="20"/>
                <w:color w:val="auto"/>
              </w:rPr>
            </w:pPr>
            <w:r>
              <w:rPr>
                <w:rFonts w:ascii="Arial" w:cs="Arial" w:eastAsia="Arial" w:hAnsi="Arial"/>
                <w:sz w:val="16"/>
                <w:szCs w:val="16"/>
                <w:b w:val="1"/>
                <w:bCs w:val="1"/>
                <w:color w:val="auto"/>
                <w:w w:val="89"/>
              </w:rPr>
              <w:t>200 Sidney Street – 4</w:t>
            </w:r>
            <w:r>
              <w:rPr>
                <w:rFonts w:ascii="Arial" w:cs="Arial" w:eastAsia="Arial" w:hAnsi="Arial"/>
                <w:sz w:val="27"/>
                <w:szCs w:val="27"/>
                <w:b w:val="1"/>
                <w:bCs w:val="1"/>
                <w:color w:val="auto"/>
                <w:w w:val="89"/>
                <w:vertAlign w:val="superscript"/>
              </w:rPr>
              <w:t>th</w:t>
            </w:r>
            <w:r>
              <w:rPr>
                <w:rFonts w:ascii="Arial" w:cs="Arial" w:eastAsia="Arial" w:hAnsi="Arial"/>
                <w:sz w:val="16"/>
                <w:szCs w:val="16"/>
                <w:b w:val="1"/>
                <w:bCs w:val="1"/>
                <w:color w:val="auto"/>
                <w:w w:val="89"/>
              </w:rPr>
              <w:t xml:space="preserve"> Floor</w:t>
            </w: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080" w:type="dxa"/>
            <w:vAlign w:val="bottom"/>
          </w:tcPr>
          <w:p>
            <w:pPr>
              <w:jc w:val="center"/>
              <w:ind w:left="1504"/>
              <w:spacing w:after="0"/>
              <w:rPr>
                <w:sz w:val="20"/>
                <w:szCs w:val="20"/>
                <w:color w:val="auto"/>
              </w:rPr>
            </w:pPr>
            <w:r>
              <w:rPr>
                <w:rFonts w:ascii="Arial" w:cs="Arial" w:eastAsia="Arial" w:hAnsi="Arial"/>
                <w:sz w:val="16"/>
                <w:szCs w:val="16"/>
                <w:b w:val="1"/>
                <w:bCs w:val="1"/>
                <w:color w:val="auto"/>
                <w:w w:val="89"/>
              </w:rPr>
              <w:t>Cambridge, Massachusetts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02139</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80" w:type="dxa"/>
            <w:vAlign w:val="bottom"/>
          </w:tcPr>
          <w:p>
            <w:pPr>
              <w:jc w:val="center"/>
              <w:ind w:left="150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560" w:type="dxa"/>
            <w:vAlign w:val="bottom"/>
            <w:gridSpan w:val="3"/>
          </w:tcPr>
          <w:p>
            <w:pPr>
              <w:jc w:val="center"/>
              <w:ind w:right="101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73"/>
        </w:trPr>
        <w:tc>
          <w:tcPr>
            <w:tcW w:w="4080" w:type="dxa"/>
            <w:vAlign w:val="bottom"/>
          </w:tcPr>
          <w:p>
            <w:pPr>
              <w:spacing w:after="0"/>
              <w:rPr>
                <w:sz w:val="23"/>
                <w:szCs w:val="23"/>
                <w:color w:val="auto"/>
              </w:rPr>
            </w:pPr>
          </w:p>
        </w:tc>
        <w:tc>
          <w:tcPr>
            <w:tcW w:w="2780" w:type="dxa"/>
            <w:vAlign w:val="bottom"/>
            <w:gridSpan w:val="4"/>
          </w:tcPr>
          <w:p>
            <w:pPr>
              <w:jc w:val="center"/>
              <w:ind w:left="402"/>
              <w:spacing w:after="0"/>
              <w:rPr>
                <w:sz w:val="20"/>
                <w:szCs w:val="20"/>
                <w:color w:val="auto"/>
              </w:rPr>
            </w:pPr>
            <w:r>
              <w:rPr>
                <w:rFonts w:ascii="Arial" w:cs="Arial" w:eastAsia="Arial" w:hAnsi="Arial"/>
                <w:sz w:val="16"/>
                <w:szCs w:val="16"/>
                <w:b w:val="1"/>
                <w:bCs w:val="1"/>
                <w:color w:val="auto"/>
                <w:w w:val="93"/>
              </w:rPr>
              <w:t>(617) 945-9626</w:t>
            </w:r>
          </w:p>
        </w:tc>
        <w:tc>
          <w:tcPr>
            <w:tcW w:w="1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8280" w:type="dxa"/>
            <w:vAlign w:val="bottom"/>
            <w:gridSpan w:val="6"/>
          </w:tcPr>
          <w:p>
            <w:pPr>
              <w:jc w:val="center"/>
              <w:ind w:left="3084"/>
              <w:spacing w:after="0" w:line="153" w:lineRule="exact"/>
              <w:rPr>
                <w:sz w:val="20"/>
                <w:szCs w:val="20"/>
                <w:color w:val="auto"/>
              </w:rPr>
            </w:pPr>
            <w:r>
              <w:rPr>
                <w:rFonts w:ascii="Arial" w:cs="Arial" w:eastAsia="Arial" w:hAnsi="Arial"/>
                <w:sz w:val="14"/>
                <w:szCs w:val="14"/>
                <w:b w:val="1"/>
                <w:bCs w:val="1"/>
                <w:color w:val="auto"/>
                <w:w w:val="93"/>
              </w:rPr>
              <w:t>(Registrant’s Telephone Number, Including Area Code)</w:t>
            </w:r>
          </w:p>
        </w:tc>
        <w:tc>
          <w:tcPr>
            <w:tcW w:w="6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4200" w:type="dxa"/>
            <w:vAlign w:val="bottom"/>
            <w:gridSpan w:val="5"/>
          </w:tcPr>
          <w:p>
            <w:pPr>
              <w:jc w:val="center"/>
              <w:ind w:right="84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6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4080" w:type="dxa"/>
            <w:vAlign w:val="bottom"/>
            <w:tcBorders>
              <w:bottom w:val="single" w:sz="8" w:color="auto"/>
            </w:tcBorders>
          </w:tcPr>
          <w:p>
            <w:pPr>
              <w:jc w:val="center"/>
              <w:ind w:left="1524"/>
              <w:spacing w:after="0"/>
              <w:rPr>
                <w:sz w:val="20"/>
                <w:szCs w:val="20"/>
                <w:color w:val="auto"/>
              </w:rPr>
            </w:pPr>
            <w:r>
              <w:rPr>
                <w:rFonts w:ascii="Arial" w:cs="Arial" w:eastAsia="Arial" w:hAnsi="Arial"/>
                <w:sz w:val="14"/>
                <w:szCs w:val="14"/>
                <w:b w:val="1"/>
                <w:bCs w:val="1"/>
                <w:color w:val="auto"/>
                <w:w w:val="89"/>
              </w:rPr>
              <w:t>Title of each class</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1019"/>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6"/>
        </w:trPr>
        <w:tc>
          <w:tcPr>
            <w:tcW w:w="4080" w:type="dxa"/>
            <w:vAlign w:val="bottom"/>
          </w:tcPr>
          <w:p>
            <w:pPr>
              <w:jc w:val="center"/>
              <w:ind w:left="1504"/>
              <w:spacing w:after="0"/>
              <w:rPr>
                <w:sz w:val="20"/>
                <w:szCs w:val="20"/>
                <w:color w:val="auto"/>
              </w:rPr>
            </w:pPr>
            <w:r>
              <w:rPr>
                <w:rFonts w:ascii="Arial" w:cs="Arial" w:eastAsia="Arial" w:hAnsi="Arial"/>
                <w:sz w:val="14"/>
                <w:szCs w:val="14"/>
                <w:color w:val="auto"/>
                <w:w w:val="91"/>
              </w:rPr>
              <w:t>Common stock, par value $0.001 per share</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560" w:type="dxa"/>
            <w:vAlign w:val="bottom"/>
            <w:gridSpan w:val="3"/>
          </w:tcPr>
          <w:p>
            <w:pPr>
              <w:jc w:val="center"/>
              <w:ind w:right="1019"/>
              <w:spacing w:after="0"/>
              <w:rPr>
                <w:sz w:val="20"/>
                <w:szCs w:val="20"/>
                <w:color w:val="auto"/>
              </w:rPr>
            </w:pPr>
            <w:r>
              <w:rPr>
                <w:rFonts w:ascii="Arial" w:cs="Arial" w:eastAsia="Arial" w:hAnsi="Arial"/>
                <w:sz w:val="14"/>
                <w:szCs w:val="14"/>
                <w:color w:val="auto"/>
                <w:w w:val="92"/>
              </w:rPr>
              <w:t>The Nasdaq Global Select Market</w:t>
            </w:r>
          </w:p>
        </w:tc>
        <w:tc>
          <w:tcPr>
            <w:tcW w:w="0" w:type="dxa"/>
            <w:vAlign w:val="bottom"/>
          </w:tcPr>
          <w:p>
            <w:pPr>
              <w:spacing w:after="0"/>
              <w:rPr>
                <w:sz w:val="1"/>
                <w:szCs w:val="1"/>
                <w:color w:val="auto"/>
              </w:rPr>
            </w:pPr>
          </w:p>
        </w:tc>
      </w:tr>
      <w:tr>
        <w:trPr>
          <w:trHeight w:val="211"/>
        </w:trPr>
        <w:tc>
          <w:tcPr>
            <w:tcW w:w="8280" w:type="dxa"/>
            <w:vAlign w:val="bottom"/>
            <w:gridSpan w:val="6"/>
          </w:tcPr>
          <w:p>
            <w:pPr>
              <w:jc w:val="center"/>
              <w:ind w:left="3084"/>
              <w:spacing w:after="0"/>
              <w:rPr>
                <w:sz w:val="20"/>
                <w:szCs w:val="20"/>
                <w:color w:val="auto"/>
              </w:rPr>
            </w:pPr>
            <w:r>
              <w:rPr>
                <w:rFonts w:ascii="Arial" w:cs="Arial" w:eastAsia="Arial" w:hAnsi="Arial"/>
                <w:sz w:val="14"/>
                <w:szCs w:val="14"/>
                <w:color w:val="auto"/>
                <w:w w:val="93"/>
              </w:rPr>
              <w:t>Securities Registered pursuant to Section 12(g) of the Act: None</w:t>
            </w:r>
          </w:p>
        </w:tc>
        <w:tc>
          <w:tcPr>
            <w:tcW w:w="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4580" w:type="dxa"/>
            <w:vAlign w:val="bottom"/>
            <w:gridSpan w:val="2"/>
          </w:tcPr>
          <w:p>
            <w:pPr>
              <w:spacing w:after="0"/>
              <w:rPr>
                <w:sz w:val="6"/>
                <w:szCs w:val="6"/>
                <w:color w:val="auto"/>
              </w:rPr>
            </w:pPr>
          </w:p>
        </w:tc>
        <w:tc>
          <w:tcPr>
            <w:tcW w:w="2280" w:type="dxa"/>
            <w:vAlign w:val="bottom"/>
            <w:tcBorders>
              <w:bottom w:val="single" w:sz="8" w:color="auto"/>
            </w:tcBorders>
            <w:gridSpan w:val="3"/>
          </w:tcPr>
          <w:p>
            <w:pPr>
              <w:spacing w:after="0"/>
              <w:rPr>
                <w:sz w:val="6"/>
                <w:szCs w:val="6"/>
                <w:color w:val="auto"/>
              </w:rPr>
            </w:pPr>
          </w:p>
        </w:tc>
        <w:tc>
          <w:tcPr>
            <w:tcW w:w="1420" w:type="dxa"/>
            <w:vAlign w:val="bottom"/>
          </w:tcPr>
          <w:p>
            <w:pPr>
              <w:spacing w:after="0"/>
              <w:rPr>
                <w:sz w:val="6"/>
                <w:szCs w:val="6"/>
                <w:color w:val="auto"/>
              </w:rPr>
            </w:pPr>
          </w:p>
        </w:tc>
        <w:tc>
          <w:tcPr>
            <w:tcW w:w="640" w:type="dxa"/>
            <w:vAlign w:val="bottom"/>
            <w:vMerge w:val="restart"/>
          </w:tcPr>
          <w:p>
            <w:pPr>
              <w:ind w:left="2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p>
        </w:tc>
        <w:tc>
          <w:tcPr>
            <w:tcW w:w="2500" w:type="dxa"/>
            <w:vAlign w:val="bottom"/>
            <w:vMerge w:val="restart"/>
          </w:tcPr>
          <w:p>
            <w:pPr>
              <w:spacing w:after="0" w:line="184" w:lineRule="exact"/>
              <w:rPr>
                <w:sz w:val="20"/>
                <w:szCs w:val="20"/>
                <w:color w:val="auto"/>
              </w:rPr>
            </w:pP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6"/>
        </w:trPr>
        <w:tc>
          <w:tcPr>
            <w:tcW w:w="8280" w:type="dxa"/>
            <w:vAlign w:val="bottom"/>
            <w:gridSpan w:val="6"/>
          </w:tcPr>
          <w:p>
            <w:pPr>
              <w:ind w:left="52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40" w:type="dxa"/>
            <w:vAlign w:val="bottom"/>
            <w:vMerge w:val="continue"/>
          </w:tcPr>
          <w:p>
            <w:pPr>
              <w:spacing w:after="0"/>
              <w:rPr>
                <w:sz w:val="23"/>
                <w:szCs w:val="23"/>
                <w:color w:val="auto"/>
              </w:rPr>
            </w:pPr>
          </w:p>
        </w:tc>
        <w:tc>
          <w:tcPr>
            <w:tcW w:w="25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280" w:type="dxa"/>
            <w:vAlign w:val="bottom"/>
            <w:gridSpan w:val="6"/>
          </w:tcPr>
          <w:p>
            <w:pPr>
              <w:ind w:left="52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40" w:type="dxa"/>
            <w:vAlign w:val="bottom"/>
          </w:tcPr>
          <w:p>
            <w:pPr>
              <w:ind w:left="160"/>
              <w:spacing w:after="0" w:line="184" w:lineRule="exact"/>
              <w:rPr>
                <w:sz w:val="20"/>
                <w:szCs w:val="20"/>
                <w:color w:val="auto"/>
              </w:rPr>
            </w:pPr>
            <w:r>
              <w:rPr>
                <w:rFonts w:ascii="Arial" w:cs="Arial" w:eastAsia="Arial" w:hAnsi="Arial"/>
                <w:sz w:val="16"/>
                <w:szCs w:val="16"/>
                <w:b w:val="1"/>
                <w:bCs w:val="1"/>
                <w:color w:val="auto"/>
                <w:w w:val="93"/>
              </w:rPr>
              <w:t xml:space="preserve">Yes </w:t>
            </w:r>
            <w:r>
              <w:rPr>
                <w:rFonts w:ascii="MS PGothic" w:cs="MS PGothic" w:eastAsia="MS PGothic" w:hAnsi="MS PGothic"/>
                <w:sz w:val="16"/>
                <w:szCs w:val="16"/>
                <w:color w:val="auto"/>
                <w:w w:val="93"/>
              </w:rPr>
              <w:t>☐</w:t>
            </w:r>
          </w:p>
        </w:tc>
        <w:tc>
          <w:tcPr>
            <w:tcW w:w="2500" w:type="dxa"/>
            <w:vAlign w:val="bottom"/>
          </w:tcPr>
          <w:p>
            <w:pPr>
              <w:ind w:left="140"/>
              <w:spacing w:after="0" w:line="184" w:lineRule="exact"/>
              <w:rPr>
                <w:sz w:val="20"/>
                <w:szCs w:val="20"/>
                <w:color w:val="auto"/>
              </w:rPr>
            </w:pP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right="30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700" w:val="left"/>
          <w:tab w:leader="none" w:pos="1320" w:val="left"/>
        </w:tabs>
        <w:rPr>
          <w:sz w:val="20"/>
          <w:szCs w:val="20"/>
          <w:color w:val="auto"/>
        </w:rPr>
      </w:pPr>
      <w:r>
        <w:rPr>
          <w:rFonts w:ascii="Arial" w:cs="Arial" w:eastAsia="Arial" w:hAnsi="Arial"/>
          <w:sz w:val="16"/>
          <w:szCs w:val="16"/>
          <w:color w:val="auto"/>
        </w:rPr>
        <w:t>90 days.</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60"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59" w:lineRule="exact"/>
        <w:rPr>
          <w:sz w:val="24"/>
          <w:szCs w:val="24"/>
          <w:color w:val="auto"/>
        </w:rPr>
      </w:pPr>
    </w:p>
    <w:p>
      <w:pPr>
        <w:ind w:right="80" w:firstLine="518"/>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7" w:lineRule="exact"/>
        <w:rPr>
          <w:sz w:val="24"/>
          <w:szCs w:val="24"/>
          <w:color w:val="auto"/>
        </w:rPr>
      </w:pPr>
    </w:p>
    <w:p>
      <w:pPr>
        <w:ind w:right="12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the "large accelerated filer," "accelerated filer," "non-accelerated filer," "smaller reporting company" and “emerging growth company” in Rule 12b-2 of the Exchange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24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6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4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66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4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6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54" w:lineRule="exact"/>
        <w:rPr>
          <w:sz w:val="24"/>
          <w:szCs w:val="24"/>
          <w:color w:val="auto"/>
        </w:rPr>
      </w:pPr>
    </w:p>
    <w:p>
      <w:pPr>
        <w:ind w:right="20" w:firstLine="518"/>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8" w:lineRule="exact"/>
        <w:rPr>
          <w:sz w:val="24"/>
          <w:szCs w:val="24"/>
          <w:color w:val="auto"/>
        </w:rPr>
      </w:pPr>
    </w:p>
    <w:p>
      <w:pPr>
        <w:ind w:left="520"/>
        <w:spacing w:after="0" w:line="184" w:lineRule="exact"/>
        <w:tabs>
          <w:tab w:leader="none" w:pos="7360" w:val="left"/>
          <w:tab w:leader="none" w:pos="7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340" w:firstLine="518"/>
        <w:spacing w:after="0" w:line="293"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the registrant’s common stock as reported on the Nasdaq Global Select Market on June 29, 2018, was $177,045,629.</w:t>
      </w:r>
    </w:p>
    <w:p>
      <w:pPr>
        <w:spacing w:after="0" w:line="2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February 28, 2019, there were 41,048,360 shares of the registrant’s common stock, par value $0.001 per share, outstanding.</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right="260" w:firstLine="518"/>
        <w:spacing w:after="0" w:line="253" w:lineRule="auto"/>
        <w:rPr>
          <w:sz w:val="20"/>
          <w:szCs w:val="20"/>
          <w:color w:val="auto"/>
        </w:rPr>
      </w:pPr>
      <w:r>
        <w:rPr>
          <w:rFonts w:ascii="Arial" w:cs="Arial" w:eastAsia="Arial" w:hAnsi="Arial"/>
          <w:sz w:val="14"/>
          <w:szCs w:val="14"/>
          <w:color w:val="auto"/>
        </w:rPr>
        <w:t>Portions of the registrant’s definitive Proxy Statement relating to its 2019 Annual Meeting of Stockholders to be filed with the Securities and Exchange Commission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546735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20" w:type="dxa"/>
            <w:vAlign w:val="bottom"/>
            <w:gridSpan w:val="8"/>
          </w:tcPr>
          <w:p>
            <w:pPr>
              <w:ind w:left="160"/>
              <w:spacing w:after="0"/>
              <w:rPr>
                <w:sz w:val="20"/>
                <w:szCs w:val="20"/>
                <w:color w:val="auto"/>
              </w:rPr>
            </w:pPr>
            <w:r>
              <w:rPr>
                <w:rFonts w:ascii="Arial" w:cs="Arial" w:eastAsia="Arial" w:hAnsi="Arial"/>
                <w:sz w:val="18"/>
                <w:szCs w:val="18"/>
                <w:b w:val="1"/>
                <w:bCs w:val="1"/>
                <w:color w:val="auto"/>
              </w:rPr>
              <w:t>TABLE OF CONTENTS</w:t>
            </w:r>
          </w:p>
        </w:tc>
      </w:tr>
      <w:tr>
        <w:trPr>
          <w:trHeight w:val="581"/>
        </w:trPr>
        <w:tc>
          <w:tcPr>
            <w:tcW w:w="64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5">
              <w:r>
                <w:rPr>
                  <w:rFonts w:ascii="Arial" w:cs="Arial" w:eastAsia="Arial" w:hAnsi="Arial"/>
                  <w:sz w:val="18"/>
                  <w:szCs w:val="18"/>
                  <w:b w:val="1"/>
                  <w:bCs w:val="1"/>
                  <w:color w:val="0000EE"/>
                  <w:w w:val="96"/>
                </w:rPr>
                <w:t>PART I.</w:t>
              </w:r>
            </w:hyperlink>
          </w:p>
        </w:tc>
        <w:tc>
          <w:tcPr>
            <w:tcW w:w="80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7440" w:type="dxa"/>
            <w:vAlign w:val="bottom"/>
            <w:gridSpan w:val="19"/>
          </w:tcPr>
          <w:p>
            <w:pPr>
              <w:spacing w:after="0"/>
              <w:rPr>
                <w:sz w:val="17"/>
                <w:szCs w:val="17"/>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808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08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Unresolved Staff Comments</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Properties</w:t>
              </w:r>
            </w:hyperlink>
          </w:p>
        </w:tc>
        <w:tc>
          <w:tcPr>
            <w:tcW w:w="6040" w:type="dxa"/>
            <w:vAlign w:val="bottom"/>
            <w:gridSpan w:val="10"/>
          </w:tcPr>
          <w:p>
            <w:pPr>
              <w:spacing w:after="0"/>
              <w:rPr>
                <w:sz w:val="18"/>
                <w:szCs w:val="18"/>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Legal Proceedings</w:t>
              </w:r>
            </w:hyperlink>
          </w:p>
        </w:tc>
        <w:tc>
          <w:tcPr>
            <w:tcW w:w="6740" w:type="dxa"/>
            <w:vAlign w:val="bottom"/>
            <w:gridSpan w:val="15"/>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4.</w:t>
            </w:r>
          </w:p>
        </w:tc>
        <w:tc>
          <w:tcPr>
            <w:tcW w:w="808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r>
      <w:tr>
        <w:trPr>
          <w:trHeight w:val="358"/>
        </w:trPr>
        <w:tc>
          <w:tcPr>
            <w:tcW w:w="1440" w:type="dxa"/>
            <w:vAlign w:val="bottom"/>
            <w:gridSpan w:val="6"/>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7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740" w:type="dxa"/>
            <w:vAlign w:val="bottom"/>
            <w:gridSpan w:val="4"/>
          </w:tcPr>
          <w:p>
            <w:pPr>
              <w:spacing w:after="0"/>
              <w:rPr>
                <w:sz w:val="18"/>
                <w:szCs w:val="18"/>
                <w:color w:val="auto"/>
              </w:rPr>
            </w:pPr>
          </w:p>
        </w:tc>
        <w:tc>
          <w:tcPr>
            <w:tcW w:w="80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Market for Registrant’s Common Equity, Related Stockholder Matters and Issuer Purchases of Equity Securities</w:t>
              </w:r>
            </w:hyperlink>
          </w:p>
        </w:tc>
      </w:tr>
      <w:tr>
        <w:trPr>
          <w:trHeight w:val="264"/>
        </w:trPr>
        <w:tc>
          <w:tcPr>
            <w:tcW w:w="1440" w:type="dxa"/>
            <w:vAlign w:val="bottom"/>
            <w:gridSpan w:val="6"/>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2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Selected Financial Data</w:t>
              </w:r>
            </w:hyperlink>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Management’s Discussion and Analysis of Financial Condition and Results of Operations</w:t>
              </w:r>
            </w:hyperlink>
          </w:p>
        </w:tc>
        <w:tc>
          <w:tcPr>
            <w:tcW w:w="1620" w:type="dxa"/>
            <w:vAlign w:val="bottom"/>
            <w:gridSpan w:val="3"/>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8080" w:type="dxa"/>
            <w:vAlign w:val="bottom"/>
            <w:gridSpan w:val="2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Quantitative and Qualitative Disclosures about Market Risk</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Financial Statements and Supplementary Data</w:t>
              </w:r>
            </w:hyperlink>
          </w:p>
        </w:tc>
        <w:tc>
          <w:tcPr>
            <w:tcW w:w="3780" w:type="dxa"/>
            <w:vAlign w:val="bottom"/>
            <w:gridSpan w:val="5"/>
          </w:tcPr>
          <w:p>
            <w:pPr>
              <w:spacing w:after="0"/>
              <w:rPr>
                <w:sz w:val="18"/>
                <w:szCs w:val="18"/>
                <w:color w:val="auto"/>
              </w:rPr>
            </w:pPr>
          </w:p>
        </w:tc>
      </w:tr>
      <w:tr>
        <w:trPr>
          <w:trHeight w:val="20"/>
        </w:trPr>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Changes in and Disagreements with Accountants on Accounting and Financial Disclosure</w:t>
              </w:r>
            </w:hyperlink>
          </w:p>
        </w:tc>
        <w:tc>
          <w:tcPr>
            <w:tcW w:w="1600" w:type="dxa"/>
            <w:vAlign w:val="bottom"/>
            <w:gridSpan w:val="2"/>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8080" w:type="dxa"/>
            <w:vAlign w:val="bottom"/>
            <w:gridSpan w:val="20"/>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Controls and Procedures</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Other Information</w:t>
              </w:r>
            </w:hyperlink>
          </w:p>
        </w:tc>
        <w:tc>
          <w:tcPr>
            <w:tcW w:w="6320" w:type="dxa"/>
            <w:vAlign w:val="bottom"/>
            <w:gridSpan w:val="12"/>
          </w:tcPr>
          <w:p>
            <w:pPr>
              <w:spacing w:after="0"/>
              <w:rPr>
                <w:sz w:val="18"/>
                <w:szCs w:val="18"/>
                <w:color w:val="auto"/>
              </w:rPr>
            </w:pPr>
          </w:p>
        </w:tc>
      </w:tr>
      <w:tr>
        <w:trPr>
          <w:trHeight w:val="358"/>
        </w:trPr>
        <w:tc>
          <w:tcPr>
            <w:tcW w:w="7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III.</w:t>
              </w:r>
            </w:hyperlink>
          </w:p>
        </w:tc>
        <w:tc>
          <w:tcPr>
            <w:tcW w:w="6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Directors, Executive Officers and Corporate Governance</w:t>
              </w:r>
            </w:hyperlink>
          </w:p>
        </w:tc>
        <w:tc>
          <w:tcPr>
            <w:tcW w:w="3980" w:type="dxa"/>
            <w:vAlign w:val="bottom"/>
            <w:gridSpan w:val="6"/>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8080" w:type="dxa"/>
            <w:vAlign w:val="bottom"/>
            <w:gridSpan w:val="2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Executive Compensation</w:t>
              </w:r>
            </w:hyperlink>
          </w:p>
        </w:tc>
      </w:tr>
      <w:tr>
        <w:trPr>
          <w:trHeight w:val="20"/>
        </w:trPr>
        <w:tc>
          <w:tcPr>
            <w:tcW w:w="7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Security Ownership of Certain Beneficial Owners and Management and Related Stockholder Matters</w:t>
              </w:r>
            </w:hyperlink>
          </w:p>
        </w:tc>
        <w:tc>
          <w:tcPr>
            <w:tcW w:w="780" w:type="dxa"/>
            <w:vAlign w:val="bottom"/>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8080" w:type="dxa"/>
            <w:vAlign w:val="bottom"/>
            <w:gridSpan w:val="2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Certain Relationships and Related Transactions and Director Independence</w:t>
              </w:r>
            </w:hyperlink>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5400" w:type="dxa"/>
            <w:vAlign w:val="bottom"/>
            <w:tcBorders>
              <w:top w:val="single" w:sz="8" w:color="0000EE"/>
            </w:tcBorders>
            <w:gridSpan w:val="16"/>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Principal Accountant Fees and Services</w:t>
              </w:r>
            </w:hyperlink>
          </w:p>
        </w:tc>
        <w:tc>
          <w:tcPr>
            <w:tcW w:w="2680" w:type="dxa"/>
            <w:vAlign w:val="bottom"/>
            <w:gridSpan w:val="4"/>
          </w:tcPr>
          <w:p>
            <w:pPr>
              <w:spacing w:after="0"/>
              <w:rPr>
                <w:sz w:val="18"/>
                <w:szCs w:val="18"/>
                <w:color w:val="auto"/>
              </w:rPr>
            </w:pPr>
          </w:p>
        </w:tc>
      </w:tr>
      <w:tr>
        <w:trPr>
          <w:trHeight w:val="358"/>
        </w:trPr>
        <w:tc>
          <w:tcPr>
            <w:tcW w:w="1440" w:type="dxa"/>
            <w:vAlign w:val="bottom"/>
            <w:gridSpan w:val="6"/>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7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700" w:type="dxa"/>
            <w:vAlign w:val="bottom"/>
            <w:gridSpan w:val="3"/>
          </w:tcPr>
          <w:p>
            <w:pPr>
              <w:spacing w:after="0"/>
              <w:rPr>
                <w:sz w:val="18"/>
                <w:szCs w:val="18"/>
                <w:color w:val="auto"/>
              </w:rPr>
            </w:pP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Exhibits and Financial Statement Schedules</w:t>
              </w:r>
            </w:hyperlink>
          </w:p>
        </w:tc>
        <w:tc>
          <w:tcPr>
            <w:tcW w:w="4920" w:type="dxa"/>
            <w:vAlign w:val="bottom"/>
            <w:gridSpan w:val="8"/>
          </w:tcPr>
          <w:p>
            <w:pPr>
              <w:spacing w:after="0"/>
              <w:rPr>
                <w:sz w:val="18"/>
                <w:szCs w:val="18"/>
                <w:color w:val="auto"/>
              </w:rPr>
            </w:pPr>
          </w:p>
        </w:tc>
      </w:tr>
      <w:tr>
        <w:trPr>
          <w:trHeight w:val="210"/>
        </w:trPr>
        <w:tc>
          <w:tcPr>
            <w:tcW w:w="144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808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Form 10-K Summary</w:t>
              </w:r>
            </w:hyperlink>
          </w:p>
        </w:tc>
      </w:tr>
      <w:tr>
        <w:trPr>
          <w:trHeight w:val="358"/>
        </w:trPr>
        <w:tc>
          <w:tcPr>
            <w:tcW w:w="1440" w:type="dxa"/>
            <w:vAlign w:val="bottom"/>
            <w:gridSpan w:val="6"/>
          </w:tcPr>
          <w:p>
            <w:pPr>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98"/>
        </w:trPr>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400" w:type="dxa"/>
            <w:vAlign w:val="bottom"/>
            <w:gridSpan w:val="16"/>
          </w:tcPr>
          <w:p>
            <w:pPr>
              <w:ind w:left="4220"/>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6350</wp:posOffset>
            </wp:positionV>
            <wp:extent cx="394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ectPr>
          <w:pgSz w:w="11900" w:h="16838" w:orient="portrait"/>
          <w:cols w:equalWidth="0" w:num="2">
            <w:col w:w="10240" w:space="720"/>
            <w:col w:w="460"/>
          </w:cols>
          <w:pgMar w:left="240" w:top="121"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231F20"/>
        </w:rPr>
        <w:t>FORWARD-LOOKING STATEMENTS</w:t>
      </w:r>
    </w:p>
    <w:p>
      <w:pPr>
        <w:spacing w:after="0" w:line="270"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statements regarding our future results of operations and financial position, business strategy, prospective products, product approvals, research and development costs, timing and likelihood of success,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described under the sections in this report titled “Risk Factors” and “Management’s Discussion and Analysis of Financial Condition and Results of Operations” and elsewhere in this report. These forward-looking statements are subject to numerous risks, including, without limitation, the following:</w:t>
      </w:r>
    </w:p>
    <w:p>
      <w:pPr>
        <w:spacing w:after="0" w:line="58"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clinical-stage company and our expectation to incur losses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timely and successfully complete those trials and receive necessary regulatory approvals;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our own manufacturing facilities and to receive or manufacture sufficient quantities of our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federal, state, and foreign regulatory requirements, including U.S. Food and Drug Administration regulation of our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52"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proprietary rights to trademarks used in this Annual Report on Form 10-K, including Ecobiotic, which are important to our business and many of which are registered under applicable intellectual property laws. Solely for convenience, the trademarks, service marks, logos and trade names referred to in this Annual Report on Form 10-K are without the ® and ™ symbols, but such references are not intended to indicate, in any way, that we will not assert, to the fullest extent under applicable law, our rights to these trademarks, service marks and trade names. This Annual Report on Form 10-K contains additional trademarks, service marks and trade names of others, which are the property of their respective owners. All trademarks, service marks and trade names appearing in this Annual Report on Form 10-K are, to our knowledge, the property of their respective owners. We do not intend our use or display</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of other companies’ trademarks, service marks, copyrights or trade names to imply a relationship with, or endorsement or sponsorship of us by, any other companies.</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240" w:top="125" w:right="61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are a microbiome therapeutics platform company developing a novel class of biological drugs, which we refer to as Ecobiotic® microbiome therapeutics. The human microbiome is an ecosystem of microorganisms, including bacteria, fungi and viruses, that, when unhealthy, or dysbiotic, can leave the body more susceptible to infections, metabolic disorders, allergies, autoimmune disease, inflammation and other serious conditions. Our drug candidates are designed to restore health by repairing the function of a dysbiotic microbiome. We are initially focused on implementing our microbiome therapeutics platform to develop Ecobiotic microbiome therapeutics that treat dysbiosis in the colonic microbiome, one of the most diverse microbial ecologies in the human body.</w:t>
      </w:r>
    </w:p>
    <w:p>
      <w:pPr>
        <w:spacing w:after="0" w:line="193"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human microbiome is one of the richest and most diverse ecosystems on earth, with a population of approximately 30 – 50 trillion microorganisms that live in our intestines, mouth, skin and elsewhere in or on the body. In a healthy, symbiotic state the colonic microbiome plays an important role in human health, helping the body digest food, resist pathogens, regulate the metabolic systems, develop and regulate the immune system and synthesize essential nutrients and vitamins. However, the colonic microbiome may change in composition for a variety of reasons, including in response to antibiotics or following gastrointestinal infection. These changes in composition may result in the loss of key commensal microbes and/or the gain of pathogenic microbes, resulting in a state of dysbiosis, and associated loss or gain of metabolic and/or immune function. While the study of the human microbiome is not new, the scientific community’s understanding of the microbiome, and the colonic microbiome in particular, has been significantly advanced through metagenomics, which has enabled the broader understanding of the human microbiome at the organismal, functional and community level. Scientific research has correlated dysbiosis in the colonic microbiome with various conditions, including: infectious diseases, metabolic diseases, and inflammatory and immune diseases and cancer.</w:t>
      </w:r>
    </w:p>
    <w:p>
      <w:pPr>
        <w:spacing w:after="0" w:line="17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are developing a new approach to treating disease by modulation of the dysbiotic colonic microbiome by using our Ecobiotic microbiome therapeutics to improve patient outcomes. Our approach is premised on the hypothesis that the proximal cause of many diseases is a dysbiosis in the natural state of the colonic microbiome. We believe that the restoration of a dysbiotic colonic microbiome using Ecobiotic microbiome therapeutics represents a paradigm shift in the approach to treating underlying disease. There are currently no therapeutics approved by the U.S. Food and Drug Administration, or the FDA, that are designed to restore the microbiome to a healthy state.</w:t>
      </w:r>
    </w:p>
    <w:p>
      <w:pPr>
        <w:spacing w:after="0" w:line="188"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Our approach to discovery and design is based on an iterative bedside-to-bench-to-bedside drug discovery strategy, i.e. reverse translation that begins with data on the human microbiome that we gather from clinical studies. From these clinical data, we identify the microbiological and functional differences between a healthy and a diseased microbiome, which we then use to design potential Ecobiotic microbiome therapeutics. After further in-lab preclinical testing, selected Ecobiotic microbiome therapeutic candidates are then studied in clinical trials. We apply a comparative genomic systems biology framework that leverages proprietary computational, microbiological and screening capabilities to design lead candidates that target the microbiological and functional deficiencies identified in the setting of human disease. We are able to apply this framework and experience to clinical data sets from published studies and those generated with our collaborators, as well as to the proprietary clinical data set we have generated through our clinical trials. We believe we can utilize our knowledge and data to design Ecobiotic microbiome therapeutics to treat various medical conditions. We also have advanced capabilities in pharmacokinetic and pharmacodynamic analytics, and the production and formulation of colonic bacteria as well as spore forms of bacteria into therapeutics. We believe that the combination of experience, proprietary data and proprietary know-how that comprise our microbiome therapeutics platform provides us with a competitive advantage in the design and development of microbiome therapeutics. Further, our approach and platform, which enable the design, testing, optimization, manufacturing and formulation of Ecobiotic microbiome therapeutic candidates, provide a framework that we believe can significantly reduce the time typically required to advance therapeutics to the clinic.</w:t>
      </w:r>
    </w:p>
    <w:p>
      <w:pPr>
        <w:spacing w:after="0" w:line="188"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 xml:space="preserve">Using our microbiome therapeutics platform, we are focusing our resources on obtaining clinical results from our highest-priority, clinical programs in ulcerative colitis, or UC, a form of inflammatory bowel disease, or IBD, with SER-287, </w:t>
      </w:r>
      <w:r>
        <w:rPr>
          <w:rFonts w:ascii="Arial" w:cs="Arial" w:eastAsia="Arial" w:hAnsi="Arial"/>
          <w:sz w:val="17"/>
          <w:szCs w:val="17"/>
          <w:i w:val="1"/>
          <w:iCs w:val="1"/>
          <w:color w:val="auto"/>
        </w:rPr>
        <w:t>Clostridium difficile</w:t>
      </w:r>
      <w:r>
        <w:rPr>
          <w:rFonts w:ascii="Arial" w:cs="Arial" w:eastAsia="Arial" w:hAnsi="Arial"/>
          <w:sz w:val="17"/>
          <w:szCs w:val="17"/>
          <w:color w:val="auto"/>
        </w:rPr>
        <w:t xml:space="preserve"> infection, or CDI, with SER-109, and our recently initiated Phase 1b study with SER-401 in patients with metastatic melanoma, as well as our preclinical SER-301 program in UC.</w:t>
      </w:r>
    </w:p>
    <w:p>
      <w:pPr>
        <w:spacing w:after="0" w:line="206"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 xml:space="preserve">The clinical development of SER-287 to treat UC, is supported by successful clinical and preclinical studies. Preclinical colitis animal models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screens provide evidence that SER-287 administration has the potential to result in reduced pathology and modulation of inflammatory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immunological functional pathways. Published clinical reports also suggest that modulation of the microbiome through repetitive fecal microbiota transplantation, or FMT may lead to meaningful clinical response in UC patients.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 w:name="page6"/>
    <w:bookmarkEnd w:id="5"/>
    <w:p>
      <w:pPr>
        <w:ind w:right="100" w:firstLine="518"/>
        <w:spacing w:after="0" w:line="297" w:lineRule="auto"/>
        <w:rPr>
          <w:sz w:val="20"/>
          <w:szCs w:val="20"/>
          <w:color w:val="auto"/>
        </w:rPr>
      </w:pPr>
      <w:r>
        <w:rPr>
          <w:rFonts w:ascii="Arial" w:cs="Arial" w:eastAsia="Arial" w:hAnsi="Arial"/>
          <w:sz w:val="16"/>
          <w:szCs w:val="16"/>
          <w:color w:val="auto"/>
        </w:rPr>
        <w:t>We completed our Phase 1b clinical study for our UC drug candidate, SER-287, in subjects with active mild to moderate UC who were failing current therapies. The results of the SER-287 Phase 1b study, a randomized, double-blinded, placebo-controlled, multiple-dose, induction study enrolled patients with active mild-to-moderate UC, with Total Modified Mayo scores of 4 to 10 were positive. The study enrolled 58 subjects who exhibited pre-study disease activity despite treatment with standard-of-care therapeutics. SER-287 safety and tolerability was a primary study endpoint. The study showed no imbalance in adverse events in SER-287-treated patients as compared to patients treated with placebo and no drug-related serious adverse events were observed.</w:t>
      </w:r>
    </w:p>
    <w:p>
      <w:pPr>
        <w:spacing w:after="0" w:line="185"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Analyses of microbiome data, a co-primary endpoint of the trial, showed that SER-287 induced regimen-dependent engraftment of SER-287 derived bacterial species into the colonic microbiome of patients treated with SER-287. Patients administered vancomycin pre-treatment followed by daily administration of SER-287 had the highest level of SER-287 engraftment, which was statistically significant. This patient cohort corresponded with the study arm where the most significant clinical benefits were observed, including clinical remission and endoscopic improvement. Differences in the composition of the microbiome post treatment were also associated with clinical remission. Bacterial engraftment signatures were durable throughout the dosing period of the trial and were also observed at four weeks post administration of the final SER-287 dose. The pharmacologic impact of the SER-287 engraftment was supported by metabolomic and transcriptomic data. Analysis of metabolites and gene expression signatures associated with inflammation and immune modulation, were observed to be correlated with remission in SER-287 treated subjects.</w:t>
      </w:r>
    </w:p>
    <w:p>
      <w:pPr>
        <w:spacing w:after="0" w:line="21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Based on these encouraging data from the Phase 1b trial, in December 2018, we initiated our Phase 2b trial, ECO-RESET, evaluating SER-287 in patients with active mild-to-moderate UC. Based on feedback obtained from the FDA on the SER-287 Phase 2b study design, we believe the study could serve as one of two required pivotal trials supporting potential future registration of SER-287. The Phase 2b study is a three-arm placebo-controlled trial of approximately 200 patients with active mild-to-moderate UC. Two groups of patients will receive different doses of SER-287, both following pretreatment with a short course of oral vancomycin. A third study arm will receive placebo. The study’s primary endpoint will evaluate clinical remission measured after 10 weeks of SER-287 administration. Endoscopic improvement will be measured as a secondary efficacy measure. We expect to complete trial enrollment by mid-2020.</w:t>
      </w:r>
    </w:p>
    <w:p>
      <w:pPr>
        <w:spacing w:after="0" w:line="189"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Our Phase 3 clinical candidate, SER-109, is designed to rapidly and durably correct dysbiosis in the colonic microbiome in the setting of recurrent CDI. CDI is most often caused by the use of broad spectrum antibiotics which create a dysbiosis of the microbiome, thus increasing susceptibility to infection by </w:t>
      </w:r>
      <w:r>
        <w:rPr>
          <w:rFonts w:ascii="Arial" w:cs="Arial" w:eastAsia="Arial" w:hAnsi="Arial"/>
          <w:sz w:val="16"/>
          <w:szCs w:val="16"/>
          <w:i w:val="1"/>
          <w:iCs w:val="1"/>
          <w:color w:val="auto"/>
        </w:rPr>
        <w:t>Clostridium difficile</w:t>
      </w:r>
      <w:r>
        <w:rPr>
          <w:rFonts w:ascii="Arial" w:cs="Arial" w:eastAsia="Arial" w:hAnsi="Arial"/>
          <w:sz w:val="16"/>
          <w:szCs w:val="16"/>
          <w:color w:val="auto"/>
        </w:rPr>
        <w:t xml:space="preserve">, or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a spore forming bacterium.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expresses toxins leading to debilitating diarrhea in affected individuals, and which can also cause more severe outcomes, such as inflammation of the colon (colitis), toxic megacolon and death. The U.S. Centers for Disease Control, or CDC, has identified CDI as one of the top three most urgent antibiotic-resistant bacterial threats in the United States. It is the most common cause of hospital acquired infection in the United States and has overtaken methicillin-resistant </w:t>
      </w:r>
      <w:r>
        <w:rPr>
          <w:rFonts w:ascii="Arial" w:cs="Arial" w:eastAsia="Arial" w:hAnsi="Arial"/>
          <w:sz w:val="16"/>
          <w:szCs w:val="16"/>
          <w:i w:val="1"/>
          <w:iCs w:val="1"/>
          <w:color w:val="auto"/>
        </w:rPr>
        <w:t>Staphylococcus aureus</w:t>
      </w:r>
      <w:r>
        <w:rPr>
          <w:rFonts w:ascii="Arial" w:cs="Arial" w:eastAsia="Arial" w:hAnsi="Arial"/>
          <w:sz w:val="16"/>
          <w:szCs w:val="16"/>
          <w:color w:val="auto"/>
        </w:rPr>
        <w:t>, or MRSA in incidence of disease. CDI is responsible for the deaths of approximately 29,000 Americans each year. Based on an epidemiological study conducted by the CDC, the incidence of CDI in the United States, was estimated to be 453,000 (95% confidence interval, 397,100 to 508,500) (</w:t>
      </w:r>
      <w:r>
        <w:rPr>
          <w:rFonts w:ascii="Arial" w:cs="Arial" w:eastAsia="Arial" w:hAnsi="Arial"/>
          <w:sz w:val="16"/>
          <w:szCs w:val="16"/>
          <w:i w:val="1"/>
          <w:iCs w:val="1"/>
          <w:color w:val="auto"/>
        </w:rPr>
        <w:t>Lessa</w:t>
      </w:r>
      <w:r>
        <w:rPr>
          <w:rFonts w:ascii="Arial" w:cs="Arial" w:eastAsia="Arial" w:hAnsi="Arial"/>
          <w:sz w:val="16"/>
          <w:szCs w:val="16"/>
          <w:color w:val="auto"/>
        </w:rPr>
        <w:t xml:space="preserve"> et. al.</w:t>
      </w:r>
      <w:r>
        <w:rPr>
          <w:rFonts w:ascii="Arial" w:cs="Arial" w:eastAsia="Arial" w:hAnsi="Arial"/>
          <w:sz w:val="16"/>
          <w:szCs w:val="16"/>
          <w:i w:val="1"/>
          <w:iCs w:val="1"/>
          <w:color w:val="auto"/>
        </w:rPr>
        <w:t>, Burden of Clostridium difficile Infection in the United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States, </w:t>
      </w:r>
      <w:r>
        <w:rPr>
          <w:rFonts w:ascii="Arial" w:cs="Arial" w:eastAsia="Arial" w:hAnsi="Arial"/>
          <w:sz w:val="16"/>
          <w:szCs w:val="16"/>
          <w:color w:val="auto"/>
        </w:rPr>
        <w:t>New England J. of Medicine, 2015). While the epidemiological data are varied outside the United States due to the widespread use of antibiotics, CDI</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a growing global disease. The standard of care for CDI is to treat with antibiotics. In many cases, antibiotic treatments may resolve the acute infection caused by </w:t>
      </w:r>
      <w:r>
        <w:rPr>
          <w:rFonts w:ascii="Arial" w:cs="Arial" w:eastAsia="Arial" w:hAnsi="Arial"/>
          <w:sz w:val="16"/>
          <w:szCs w:val="16"/>
          <w:i w:val="1"/>
          <w:iCs w:val="1"/>
          <w:color w:val="auto"/>
        </w:rPr>
        <w:t>C. difficile</w:t>
      </w:r>
      <w:r>
        <w:rPr>
          <w:rFonts w:ascii="Arial" w:cs="Arial" w:eastAsia="Arial" w:hAnsi="Arial"/>
          <w:sz w:val="16"/>
          <w:szCs w:val="16"/>
          <w:color w:val="auto"/>
        </w:rPr>
        <w:t>. However, these antibiotic treatments kill beneficial bacteria indiscriminately, inducing a dysbiosis of the microbiome and potentially making patients more susceptible to a recurrence of CDI. For those patients who experience a CDI recurrence, it is likely that dysbiosis of the microbiome is the proximal cause of disease. Published data suggests that the risk of recurrence is approximately 25% after the primary CDI, 40% after a first recurrence and as high as 60% for those experiencing two or more recurrences.</w:t>
      </w:r>
    </w:p>
    <w:p>
      <w:pPr>
        <w:spacing w:after="0" w:line="21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SER-109 is a donor-derived, purified bacterial spore-based microbiome therapeutic candidate consisting of an average of approximately 50 bacterial species purified from healthy donor stool. SER-109 is designed to prevent further recurrences of CDI in patients with recurrent CDI by restructuring the dysbiotic microbiome to a state that resists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growth and colonization. If approved by the FDA, SER-109 could be a first-in-field oral microbiome drug. We initiated a Phase 3 clinical study of SER-109 in approximately 320 patients with multiply recurrent CDI. The on-going study is designed to evaluate patients for 24 weeks with the primary endpoint of comparing the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recurrence rate in subjects who receive SER-109 verses placebo at up to eight weeks after dosing.</w:t>
      </w:r>
    </w:p>
    <w:p>
      <w:pPr>
        <w:spacing w:after="0" w:line="193"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We continue to enroll the SER-109 Phase 3 study for patients with recurrent CDI despite the widespread use of FMT to treat CDI. As interference from this uncontrolled, understudied and unapproved product has impacted the enrollment rate of our SER-109 placebo-controlled clinical trial, we are evaluating modification of the study design to expedite clinical results.</w:t>
      </w:r>
    </w:p>
    <w:p>
      <w:pPr>
        <w:spacing w:after="0" w:line="20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SER-301 program is in preclinical discovery and bioprocess development. SER-301 is being rationally designed by utilizing our reverse translational microbiome therapeutics platform to incorporate learnings from our SER-287 and SER-262 clinical studies. We have identified specific bacterial species that engraft and are associated with clinical remission, and further we have identified metabolites made by these bacteria that correlate with clinical efficacy. We also have gene expression data from patient mucosal biopsies showing which genes and pathways are favorably altered by SER-287 treatment. All of these data are being leveraged in the design of SER-301.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6" w:name="page7"/>
    <w:bookmarkEnd w:id="6"/>
    <w:p>
      <w:pPr>
        <w:jc w:val="both"/>
        <w:ind w:right="160" w:firstLine="518"/>
        <w:spacing w:after="0" w:line="288" w:lineRule="auto"/>
        <w:rPr>
          <w:sz w:val="20"/>
          <w:szCs w:val="20"/>
          <w:color w:val="auto"/>
        </w:rPr>
      </w:pPr>
      <w:r>
        <w:rPr>
          <w:rFonts w:ascii="Arial" w:cs="Arial" w:eastAsia="Arial" w:hAnsi="Arial"/>
          <w:sz w:val="16"/>
          <w:szCs w:val="16"/>
          <w:color w:val="auto"/>
        </w:rPr>
        <w:t>We are also developing SER-401, for use with checkpoint inhibitors, or CPIs, in patients with solid tumors to enhance efficacy and improve survival. SER-401 is a microbiome therapeutic candidate sourced from healthy individuals who have been identified to have a microbiome signature that is similar to that observed in cancer patient responders to CPIs. CPIs block the mechanisms by which cancers evade detection and destruction by the immune</w:t>
      </w:r>
    </w:p>
    <w:p>
      <w:pPr>
        <w:ind w:right="40"/>
        <w:spacing w:after="0" w:line="268" w:lineRule="auto"/>
        <w:rPr>
          <w:sz w:val="20"/>
          <w:szCs w:val="20"/>
          <w:color w:val="auto"/>
        </w:rPr>
      </w:pPr>
      <w:r>
        <w:rPr>
          <w:rFonts w:ascii="Arial" w:cs="Arial" w:eastAsia="Arial" w:hAnsi="Arial"/>
          <w:sz w:val="17"/>
          <w:szCs w:val="17"/>
          <w:color w:val="auto"/>
        </w:rPr>
        <w:t>system. Observational studies of humans by a group led by our collaborator, Dr. Jennifer Wargo of MD Anderson Cancer Center, or MD Anderson, suggest that microbiome composition impacts response to CPIs. This has been supported by mouse model studies conducted by us and at MD Anderson that show that colonization with human responder microbes affected tumor response to CPI treatment, versus mice colonized with CPI non-responder microbes. These effects are thought to be a result of a specific microbiome “signature” enriched in certain members of the Firmicutes phylum of bacteria. We are working in collaboration with MD Anderson and the Parker Institute for Cancer Immunotherapy, or the Parker Institute, to evaluate the potential of SER-401, based upon this signature, and to modulate the immunological tone of subjects to improve response in patients with metastatic melanoma to CPI treatment. MD Anderson granted Seres an exclusive option, with pre-defined financial terms, to license intellectual property rights from them related to the use of bacteria in combination with CPIs. In collaboration with the Parker Institute and MD Anderson, we initiated a Phase 1b study of SER-401 in patients with metastatic melanoma. Patients will be treated with either CPI alone, or in combination with SER-401, and observed for tumor regression and biomarkers of response to CPI. We expect to obtain Phase 1b study results in 2020.</w:t>
      </w:r>
    </w:p>
    <w:p>
      <w:pPr>
        <w:spacing w:after="0" w:line="180"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On February 7, 2019, we announced corporate changes to focus our resources. We will now concentrate on completing the recently-initiated SER-287 Phase 2b study in mild-to-moderate UC, obtaining results from the ongoing SER-109 Phase 3 study for recurrent CDI and advancing the SER-401 Phase 1b study, in collaboration with the Parker Institute and MD Anderson, to evaluate augmenting CPI response in patients with metastatic melanoma. We will also continue to pursue focused preclinical activity on SER-301, a rationally-designed microbiome therapeutic candidate for UC, leveraging learnings obtained from our prior clinical study results. In connection with the prioritization of these therapeutic candidates, we made changes to our management team and committed to a workforce reduction plan to reduce headcount by approximately 30 employees.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Programs</w:t>
      </w:r>
    </w:p>
    <w:p>
      <w:pPr>
        <w:spacing w:after="0" w:line="13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July 2016, we initiated a SER-262 Phase 1b dose-escalating study, the first clinical trial conducted using a rationally designed, fermented consortium of bacteria. SER-262 was rationally designed to be used following antibiotic treatment to prevent an initial recurrence of CDI. We have established various capabilities to enable the development of rationally designed microbiome therapeutics including metagenomic and metabolomic profiling, use of curated reference computational databases and proprietary in silico algorithms for drug design, an extensive proprietary bacterial library, advanced manufacturing processes, and capabilities to conduct pharmacokinetics and pharmacodynamics analyses in clinical studies. SER-262 contains a consortium of 12 bacterial strains derived from a manufacturing process using fermentation and does not require human donor material.</w:t>
      </w:r>
    </w:p>
    <w:p>
      <w:pPr>
        <w:spacing w:after="0" w:line="21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Phase 1b clinical study was a 24-week, randomized, placebo-controlled, dose-escalation trial. The primary endpoints of the study were safety and tolerability and a comparison of the CDI recurrence rate in the SER-262 and placebo groups. Key secondary endpoints included analysis of SER-262 bacterial strain engraftment. Top line clinical and microbiome results from the study are available. No drug-related serious adverse events were observed. No significant differences were observed in the recurrence rates in patients administered SER-262 as compared to placebo. However, we observed a statistically significant reduction in CDI recurrence rates in patients pretreated with vancomycin followed by SER-262, as compared to those treated with metronidazole followed by SER-262. This observation corresponded with an increase in SER-262 microbiome engraftment in patients pretreated with vancomycin. We believe the analyses of clinical data from both the SER-262 and SER-287 Phase 1b studies suggests that vancomycin pretreatment may augment engraftment of our microbiome therapeutic candidates.</w:t>
      </w:r>
    </w:p>
    <w:p>
      <w:pPr>
        <w:spacing w:after="0" w:line="20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also designing SER-155, a rationally designed, fermented microbiome therapeutic candidate designed to correct dysbiosis in patients following allogeneic hematopoietic stem cell transplants, or allo-HSCT, or solid organ transplants. This preclinical program is based on published clinical evidence from our collaborators at Memorial Sloan Kettering Cancer Center showing that allo-HSCT patients with dysbiosis are far more likely to die due to infection and/or lethal graft versus host disease, or GvHD. In November 2017, we were awarded a highly-competitive grant from Combating Antibiotic-Resistant Bacteria Accelerator, or CARB-X, to support continued preclinical research and early development work for SER-155. The CARB-X grant provides us with up to $2.5 million of research funding with potential for an additional $3.1 million for manufacture and investigational new drug application, or IND, upon completion of milestones.</w:t>
      </w:r>
    </w:p>
    <w:p>
      <w:pPr>
        <w:spacing w:after="0" w:line="23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continue to evaluate microbiome pharmacokinetic and pharmacodynamic data from the SER-262 Phase 1b study, in addition to insights gained from research efforts with our other rationally designed Ecobiotic microbiome therapeutic candidates, in order to determine next steps in the development of both SER-262 and SER-155.</w:t>
      </w:r>
    </w:p>
    <w:p>
      <w:pPr>
        <w:spacing w:after="0" w:line="222"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We have completed early stages of researching Ecobiotic microbiome therapeutics for the treatment of metabolic diseases, such as non-insulin dependent diabetes, non-alcoholic steatohepatitis, or NASH, and metabolic syndrome. Research in these indications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right="80"/>
        <w:spacing w:after="0" w:line="277" w:lineRule="auto"/>
        <w:rPr>
          <w:sz w:val="20"/>
          <w:szCs w:val="20"/>
          <w:color w:val="auto"/>
        </w:rPr>
      </w:pPr>
      <w:r>
        <w:rPr>
          <w:rFonts w:ascii="Arial" w:cs="Arial" w:eastAsia="Arial" w:hAnsi="Arial"/>
          <w:sz w:val="18"/>
          <w:szCs w:val="18"/>
          <w:color w:val="auto"/>
        </w:rPr>
        <w:t>has focused on identifying microbiome signatures associated with various disease states and early discovery efforts to identify Ecobiotic consortia that could impact specific functional defects in the microbiome.</w:t>
      </w:r>
    </w:p>
    <w:p>
      <w:pPr>
        <w:spacing w:after="0" w:line="170"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We have assembled a world class group of scientists, clinicians, directors and investors, who have established our leadership in the field of microbiome therapeutics. We were co-founded by Drs. Noubar Afeyan, David Berry and Geoffrey von Maltzahn of Flagship Pioneering. Through Flagship Pioneering’s contribution of foundational scientific concepts and intellectual property, assembly of our management team and critical early-stage support, we launched as the first company focused on the ecological nature of the microbiome. Led by Eric Shaff, our President and Chief Executive Officer, our experienced management team possesses core capabilities in microbiome therapeutics, drug development, commercialization, chemistry, manufacturing and controls, or CMC, public company management and finance. Our management team has extensive experience in microbial ecology, microbiology and live biological products, with over 25 years of experience studying the microbiome and over 60 published papers on the science of the microbiome. Additionally, our team has extensive experience in building out commercial capabilities in specialty diseases and has a track record for success in the commercialization of vaccine products, which have analogous manufacturing processes to that of Ecobiotic microbiome therapeutics.</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right="100" w:firstLine="518"/>
        <w:spacing w:after="0" w:line="302" w:lineRule="auto"/>
        <w:rPr>
          <w:sz w:val="20"/>
          <w:szCs w:val="20"/>
          <w:color w:val="auto"/>
        </w:rPr>
      </w:pPr>
      <w:r>
        <w:rPr>
          <w:rFonts w:ascii="Arial" w:cs="Arial" w:eastAsia="Arial" w:hAnsi="Arial"/>
          <w:sz w:val="16"/>
          <w:szCs w:val="16"/>
          <w:color w:val="auto"/>
        </w:rPr>
        <w:t>Our goal is to remain the leading biopharmaceutical company developing and commercializing microbiome therapeutics to address significant unmet medical needs. We intend to focus in the near term on the highest priority clinical programs which we believe will optimally advance our pipeline: SER-287 for UC; SER-109 for recurrent CDI; and the SER-401 immuno-oncology program. We also intend to continue to strengthen our next generation of rationally designed, fermented microbiome therapeutic approach with SER-301 for UC being our lead candidate. The critical components of our strategy include:</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Advancing our Programs</w:t>
      </w:r>
    </w:p>
    <w:p>
      <w:pPr>
        <w:spacing w:after="0" w:line="117" w:lineRule="exact"/>
        <w:rPr>
          <w:sz w:val="20"/>
          <w:szCs w:val="20"/>
          <w:color w:val="auto"/>
        </w:rPr>
      </w:pPr>
    </w:p>
    <w:p>
      <w:pPr>
        <w:ind w:left="1040" w:right="40" w:hanging="519"/>
        <w:spacing w:after="0" w:line="217" w:lineRule="exact"/>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Continuing clinical development of SER-287 for the treatment of UC. </w:t>
      </w:r>
      <w:r>
        <w:rPr>
          <w:rFonts w:ascii="Arial" w:cs="Arial" w:eastAsia="Arial" w:hAnsi="Arial"/>
          <w:sz w:val="17"/>
          <w:szCs w:val="17"/>
          <w:color w:val="auto"/>
        </w:rPr>
        <w:t>The clinical development of SER-287 to treat UC is supported by both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 and preclinical studies in multiple animal models of colitis that provide evidence that SER-287 administration may result in reduced inflammation. Published clinical reports suggest that modulation of the microbiome through repetitive FMT may lead to meaningful clinical response in certain UC patients. In December 2015, we initiated a Phase 1b clinical trial evaluating SER</w:t>
      </w:r>
      <w:r>
        <w:rPr>
          <w:rFonts w:ascii="MS PGothic" w:cs="MS PGothic" w:eastAsia="MS PGothic" w:hAnsi="MS PGothic"/>
          <w:sz w:val="17"/>
          <w:szCs w:val="17"/>
          <w:color w:val="auto"/>
        </w:rPr>
        <w:t>‐</w:t>
      </w:r>
      <w:r>
        <w:rPr>
          <w:rFonts w:ascii="Arial" w:cs="Arial" w:eastAsia="Arial" w:hAnsi="Arial"/>
          <w:sz w:val="17"/>
          <w:szCs w:val="17"/>
          <w:color w:val="auto"/>
        </w:rPr>
        <w:t>287 in patients with mild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moderate UC who were failing current therapies. In October 2017, we announced positive topline results from our Phase 1b clinical trial of SER-287 in patients with UC. The SER-287 Phase 1b study, a randomized, double-blinded, placebo-controlled, multiple-dose, induction study enrolled patients with active mild-to-moderate UC, with Total Modified Mayo scores of 4 to 10. The study enrolled 58 patients at 20 sites across the United States. Study subjects exhibited pre-study disease activity despite use of current therapies in a majority of subjects, which included 5-amino-salacylic acid, low dose corticosteroids, or immunomodulatory therapy. Based on the encouraging data from the Phase 1b trial, in December 2018, we initiated our Phase 2b trial, ECO-RESET, evaluating SER-287 in patients with active mild-to-moderate UC. Based on feedback obtained from the FDA on the SER-287 Phase 2b study design, the study could serve as one of two required pivotal trials supporting potential future registration of SER-287. The Phase 2b study is a three-arm placebo-controlled trial of approximately 200 patients with active mild-to-moderate UC. Two groups of patients will receive different doses of SER-287, both following pretreatment with a short course of oral vancomycin. A third study arm will receive placebo. The study’s primary endpoint will evaluate clinical remission measured after 10 weeks of SER-287 administration. Endoscopic improvement will be measured as a secondary efficacy measure. SER-287 has been awarded Orphan Drug Designation designation for pediatric UC.</w:t>
      </w:r>
    </w:p>
    <w:p>
      <w:pPr>
        <w:spacing w:after="0" w:line="98" w:lineRule="exact"/>
        <w:rPr>
          <w:rFonts w:ascii="Arial" w:cs="Arial" w:eastAsia="Arial" w:hAnsi="Arial"/>
          <w:sz w:val="17"/>
          <w:szCs w:val="17"/>
          <w:color w:val="auto"/>
        </w:rPr>
      </w:pPr>
    </w:p>
    <w:p>
      <w:pPr>
        <w:ind w:left="1040" w:right="60" w:hanging="519"/>
        <w:spacing w:after="0" w:line="289"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Advancing the development of our lead product candidate, SER-109, for the prevention of further recurrences of CDI in patients with recurrent CDI. </w:t>
      </w:r>
      <w:r>
        <w:rPr>
          <w:rFonts w:ascii="Arial" w:cs="Arial" w:eastAsia="Arial" w:hAnsi="Arial"/>
          <w:sz w:val="16"/>
          <w:szCs w:val="16"/>
          <w:color w:val="auto"/>
        </w:rPr>
        <w:t>SER-109 has been granted both Orphan Drug and Breakthrough Therapy designation by the FDA for the treatment of CDI.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Breakthrough Therapy designation provides for intensive guidance from the FDA in an effort to expedite the drug development process. In our randomized, double-blind, placebo-controlled Phase 2 clinical study, 44% of subjects (26 of 59) who received SER-109 experienced a recurrence at the 8-week endpoint compared to 53% of subjects (16 of 30) who received placebo, a result that was not statistically significant. Based on a detailed analysis of clinical, microbiome and CMC factors that may have contributed to the outcome of this study, as well as our earlier Phase 1b/2 clinical study and following discussions with the FDA, a new SER-109 clinical study in approximately 320 patients with multiply recurrent CDI was initiated in June 2017. Study participants are being randomized 1:1 between SER-109 and placebo and receiving a total dose that is approximately 10-fold higher than in the Phase 2 study, administered over three consecutive days.</w:t>
      </w:r>
    </w:p>
    <w:p>
      <w:pPr>
        <w:spacing w:after="0" w:line="58" w:lineRule="exact"/>
        <w:rPr>
          <w:rFonts w:ascii="Arial" w:cs="Arial" w:eastAsia="Arial" w:hAnsi="Arial"/>
          <w:sz w:val="16"/>
          <w:szCs w:val="16"/>
          <w:color w:val="auto"/>
        </w:rPr>
      </w:pPr>
    </w:p>
    <w:p>
      <w:pPr>
        <w:ind w:left="1040" w:hanging="519"/>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SER-401 for use with CPIs in patients with solid tumors. </w:t>
      </w:r>
      <w:r>
        <w:rPr>
          <w:rFonts w:ascii="Arial" w:cs="Arial" w:eastAsia="Arial" w:hAnsi="Arial"/>
          <w:sz w:val="18"/>
          <w:szCs w:val="18"/>
          <w:color w:val="auto"/>
        </w:rPr>
        <w:t>We are developing SER-401 for administration in combination with CPI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to increase efficacy in patients with solid tumors. The design is being driven by insights from our collaborators at MD Anderson and recent published data in a number of high-profile scientific journals from other international research groups that suggest that the microbiome may impact patients’ response to CPI treatment.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8" w:name="page9"/>
    <w:bookmarkEnd w:id="8"/>
    <w:p>
      <w:pPr>
        <w:ind w:left="1040" w:right="300"/>
        <w:spacing w:after="0" w:line="277" w:lineRule="auto"/>
        <w:rPr>
          <w:sz w:val="20"/>
          <w:szCs w:val="20"/>
          <w:color w:val="auto"/>
        </w:rPr>
      </w:pPr>
      <w:r>
        <w:rPr>
          <w:rFonts w:ascii="Arial" w:cs="Arial" w:eastAsia="Arial" w:hAnsi="Arial"/>
          <w:sz w:val="18"/>
          <w:szCs w:val="18"/>
          <w:color w:val="auto"/>
        </w:rPr>
        <w:t>Together with our collaborators, we have initiated a Phase 1b multicenter study in metastatic melanoma patients as part of our collaboration with MD Anderson and the Parker Institute.</w:t>
      </w:r>
    </w:p>
    <w:p>
      <w:pPr>
        <w:spacing w:after="0" w:line="62" w:lineRule="exact"/>
        <w:rPr>
          <w:sz w:val="20"/>
          <w:szCs w:val="20"/>
          <w:color w:val="auto"/>
        </w:rPr>
      </w:pPr>
    </w:p>
    <w:p>
      <w:pPr>
        <w:ind w:left="1040" w:right="80" w:hanging="519"/>
        <w:spacing w:after="0" w:line="286"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Developing SER-301 for the treatment of IBD. </w:t>
      </w:r>
      <w:r>
        <w:rPr>
          <w:rFonts w:ascii="Arial" w:cs="Arial" w:eastAsia="Arial" w:hAnsi="Arial"/>
          <w:sz w:val="17"/>
          <w:szCs w:val="17"/>
          <w:color w:val="auto"/>
        </w:rPr>
        <w:t>We are designing and developing SER-301, a rationally designed, fermented, Ecobiotic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microbiome therapeutic candidate for the treatment of IBD leveraging pharmacokinetic and pharmacodynamic data from our SER-287 clinical trial, our knowledge of modulation of dysbioses seen in patients with UC, as well as insights from our SER-262 clinical study.</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Advancing Our Capabilities</w:t>
      </w:r>
    </w:p>
    <w:p>
      <w:pPr>
        <w:spacing w:after="0" w:line="117" w:lineRule="exact"/>
        <w:rPr>
          <w:sz w:val="20"/>
          <w:szCs w:val="20"/>
          <w:color w:val="auto"/>
        </w:rPr>
      </w:pPr>
    </w:p>
    <w:p>
      <w:pPr>
        <w:ind w:left="1040" w:right="40" w:hanging="519"/>
        <w:spacing w:after="0" w:line="25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Leveraging our leading reverse translation microbiome therapeutics platform to develop additional innovative and novel Ecobiotic microbiome therapeutics across a range of serious medical conditions with high unmet need including infectious and inflammatory disease and disease associated with modulation of host immunity. </w:t>
      </w:r>
      <w:r>
        <w:rPr>
          <w:rFonts w:ascii="Arial" w:cs="Arial" w:eastAsia="Arial" w:hAnsi="Arial"/>
          <w:sz w:val="18"/>
          <w:szCs w:val="18"/>
          <w:color w:val="auto"/>
        </w:rPr>
        <w:t>We believe that the combination of experience, proprietary data and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know-how related to the microbiome and of the production of microbial strains provides us a competitive advantage in the design and development of microbiome therapeutics. Our platform enables us to build upon our existing and growing clinical experience to rationally design treatments for acute and complex chronic diseases. We intend to leverage this advantage to develop additional innovative Ecobiotic microbiome therapeutics.</w:t>
      </w:r>
    </w:p>
    <w:p>
      <w:pPr>
        <w:spacing w:after="0" w:line="81" w:lineRule="exact"/>
        <w:rPr>
          <w:rFonts w:ascii="Arial" w:cs="Arial" w:eastAsia="Arial" w:hAnsi="Arial"/>
          <w:sz w:val="18"/>
          <w:szCs w:val="18"/>
          <w:color w:val="auto"/>
        </w:rPr>
      </w:pPr>
    </w:p>
    <w:p>
      <w:pPr>
        <w:ind w:left="1040" w:hanging="519"/>
        <w:spacing w:after="0" w:line="25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manufacturing capabilities sufficient to support commercialization of any approved Ecobiotic microbiome therapeutic candidates. </w:t>
      </w:r>
      <w:r>
        <w:rPr>
          <w:rFonts w:ascii="Arial" w:cs="Arial" w:eastAsia="Arial" w:hAnsi="Arial"/>
          <w:sz w:val="18"/>
          <w:szCs w:val="18"/>
          <w:color w:val="auto"/>
        </w:rPr>
        <w:t>Ecobiotic microbiome therapeutic manufacturing will require capabilities that are distinct from other biologic drugs. We have made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investments in manufacturing capabilities to help ensure that we maintain control of our know-how and also because we believe these capabilities will be necessary and highly advantageous for the development of future Ecobiotic microbiome therapeutic candidates. Our bioprocess and manufacturing personnel are focused on creating a platform of manufacturing expertise that will set the stage for further advances in the emerging field of microbiome therapeutics.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the Microbiome and Its Impact on Disease</w:t>
      </w:r>
    </w:p>
    <w:p>
      <w:pPr>
        <w:spacing w:after="0" w:line="11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Among the various microbial ecosystems in the human body, the colonic microbiome is the most diverse microbial communities with about 100 billion bacterial cells per milliliter. In a healthy, symbiotic state the colonic microbiome enables the body to function normally. However, the colonic microbiome can change in composition, such as in response to long-term or high-dose exposure to antibiotics or following a gastrointestinal infection. As a result, there can be a loss of key microbes that results in a state of dysbiosis. Dysbiosis of the microbiome is associated with a wide range of disease and infections.</w:t>
      </w:r>
    </w:p>
    <w:p>
      <w:pPr>
        <w:spacing w:after="0" w:line="188" w:lineRule="exact"/>
        <w:rPr>
          <w:sz w:val="20"/>
          <w:szCs w:val="20"/>
          <w:color w:val="auto"/>
        </w:rPr>
      </w:pPr>
    </w:p>
    <w:p>
      <w:pPr>
        <w:ind w:right="380" w:firstLine="518"/>
        <w:spacing w:after="0" w:line="259" w:lineRule="auto"/>
        <w:rPr>
          <w:sz w:val="20"/>
          <w:szCs w:val="20"/>
          <w:color w:val="auto"/>
        </w:rPr>
      </w:pPr>
      <w:r>
        <w:rPr>
          <w:rFonts w:ascii="Arial" w:cs="Arial" w:eastAsia="Arial" w:hAnsi="Arial"/>
          <w:sz w:val="18"/>
          <w:szCs w:val="18"/>
          <w:color w:val="auto"/>
        </w:rPr>
        <w:t>Although bacteria are often associated with infection and disease, much of the bacteria that colonize the human body are essential for life. Until recently, few scientific studies focused on the benefits of the bacteria comprising the microbiome. In 2005, the National Institutes of Health funded the Human Microbiome Project, or HMP, which had as one of its goals the characterization of the microbiome with enough specificity to enable the study of variations in the microbiome and their influence on disease.</w:t>
      </w:r>
    </w:p>
    <w:p>
      <w:pPr>
        <w:spacing w:after="0" w:line="18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Historically, researchers studied microbes in patients by isolating pathogens and growing them in culture. This process typically identifies only a limited diversity of microbial species. The HMP used metagenomic sequencing technologies to analyze 5,000 samples, representing more than 3.5 terabases of genome sequence data, to identify specific genetic sequences found only in bacteria. The most recent studies estimate that 30-50 trillion bacterial cells comprising more than 1,000 unique bacterial species occupy the human ecosystem. Importantly, HMP researchers have discovered that different consortia of microbes may accomplish the same metabolic activity, and the presence of those metabolic activities is more important than the exact species of microbe providing the function. Results from the HMP have provided a robust baseline microbiome against which disease states can be compared.</w:t>
      </w:r>
    </w:p>
    <w:p>
      <w:pPr>
        <w:spacing w:after="0" w:line="16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 xml:space="preserve">Complementing the HMP baseline data, numerous scientific studies are emerging in both animals and humans, suggesting that many human diseases are correlated with dysbiosis of the microbiome. These include infections, such as CDI or vancomycin-resistant </w:t>
      </w:r>
      <w:r>
        <w:rPr>
          <w:rFonts w:ascii="Arial" w:cs="Arial" w:eastAsia="Arial" w:hAnsi="Arial"/>
          <w:sz w:val="18"/>
          <w:szCs w:val="18"/>
          <w:i w:val="1"/>
          <w:iCs w:val="1"/>
          <w:color w:val="auto"/>
        </w:rPr>
        <w:t>Enterococcus</w:t>
      </w:r>
      <w:r>
        <w:rPr>
          <w:rFonts w:ascii="Arial" w:cs="Arial" w:eastAsia="Arial" w:hAnsi="Arial"/>
          <w:sz w:val="18"/>
          <w:szCs w:val="18"/>
          <w:color w:val="auto"/>
        </w:rPr>
        <w:t>, or VRE; inflammatory diseases, such as UC, Crohn’s disease and pouchitis; autoimmune disease and cancer, including immune-oncology related applications; and further metabolic disorders, such as early-stage, non-insulin dependent diabetes, obesity and non-alcoholic fatty liver disease, or NAFLD/NASH. Examples of some studies include:</w:t>
      </w:r>
    </w:p>
    <w:p>
      <w:pPr>
        <w:spacing w:after="0" w:line="80" w:lineRule="exact"/>
        <w:rPr>
          <w:sz w:val="20"/>
          <w:szCs w:val="20"/>
          <w:color w:val="auto"/>
        </w:rPr>
      </w:pPr>
    </w:p>
    <w:p>
      <w:pPr>
        <w:ind w:left="1040" w:hanging="519"/>
        <w:spacing w:after="0" w:line="25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study published in PLOS Pathogens in 2012 suggested that a mixture of six different bacteria found naturally in the gastrointestinal system of mice, when isolated from stool and reintroduced into the infected mice, was effective at suppressing CDI (Lawley et al., PLOS Pathogens, 2012). Researchers in the study found that a single treatment of the bacteria was sufficient and that the suppression lasted for months. We observed that SER-262, our clinical consortium of human-derived bacterial species formulated as spores, protected mice from disease in a CDI model.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ind w:left="1040" w:right="20" w:hanging="519"/>
        <w:spacing w:after="0" w:line="269"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placebo-controlled, randomized, blinded clinical study published in Gastroenterology in 2015 showed that repetitive FMT delivered via enema weekly for 6 weeks induced clinical remissions in 24% of patients with active UC compared to 5% receiving placebo (Moayyedi et al., Gastroenterology, 2015). This study utilized endoscopy, a direct visualization of the colon, before and after treatment to assess the efficacy of FMT, thus demonstrating the role of the microbiome in treating active UC. A subsequent randomized, placebo controlled, blinded study of FMT delivered via enema 5 days per week for 8 weeks demonstrated similar clinical remission rates: 27% receiving FMT and 8% receiving placebo (Paramsothy et al., Lancet, 2017). Most recently, a study of FMT delivered by a colonoscopy followed by 2 enemas to UC patients resulted in similar outcomes: 32% receiving donor-FMT and 9% receiving autologous control (Costello et al, JAMA, 2019). We announced top-line clinical data from our Phase 1b clinical trial for SER-287 in October 2017. In this trial, patients with mild-to-moderate UC, receiving a vancomycin pre-treatment followed by a daily oral dose of SER-287 for 8 weeks achieved a 40% rate of clinical remission compared to no clinical remission for treatment with placebo. This analysis followed the intent-to-treat, or ITT, “worst case” analysis used for drug registration studies in which missing data is counted as failure.</w:t>
      </w:r>
    </w:p>
    <w:p>
      <w:pPr>
        <w:spacing w:after="0" w:line="74" w:lineRule="exact"/>
        <w:rPr>
          <w:rFonts w:ascii="Arial" w:cs="Arial" w:eastAsia="Arial" w:hAnsi="Arial"/>
          <w:sz w:val="17"/>
          <w:szCs w:val="17"/>
          <w:color w:val="auto"/>
        </w:rPr>
      </w:pPr>
    </w:p>
    <w:p>
      <w:pPr>
        <w:ind w:left="1040" w:right="140" w:hanging="519"/>
        <w:spacing w:after="0" w:line="273"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Data from cancer patients undergoing allo-HSCT show the influence of the microbiome on patient survival. An observational study of allo-HSCT patients following allo-HSCT demonstrated that 3-year survival in patients with a low diversity microbiome was 36% whereas survival in patients with a medium to high diversity microbiome was ≥60%. Excess mortality in the low diversity subset was driven by deaths due to infection and GvHD, not the underlying cancer itself (Taur et al, Blood, 2014). A follow up from the same researchers looked at allo-HSCT patients receiving transplants who are at highest risk of GvHD and showed a greater than 5-fold increase in mortality was correlated with microbiome composition. (Jenq et al., Biol of Blood and Marrow Transplant, 2015).</w:t>
      </w:r>
    </w:p>
    <w:p>
      <w:pPr>
        <w:spacing w:after="0" w:line="70" w:lineRule="exact"/>
        <w:rPr>
          <w:rFonts w:ascii="Arial" w:cs="Arial" w:eastAsia="Arial" w:hAnsi="Arial"/>
          <w:sz w:val="17"/>
          <w:szCs w:val="17"/>
          <w:color w:val="auto"/>
        </w:rPr>
      </w:pPr>
    </w:p>
    <w:p>
      <w:pPr>
        <w:ind w:left="1040" w:right="120" w:hanging="519"/>
        <w:spacing w:after="0" w:line="291"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Two studies in mouse cancer models, both published in Science in 2015, demonstrated that the anti-tumor response to immune CPIs could be enhanced by altering the microbiome (Velizou et al., Science 2015; Slvan et al., Science 2015). More recently, independent groups from MD Anderson, the Institute Gustave Roussy in Paris, France, and the University of Chicago have published data from human studies showing that cancer patients who successfully respond to immune CPIs tend to have a distinct microbiome from patients who do not respond. Moreover, when human fecal samples from responding and non-responding patients are transferred into mice, these have been shown to exhibit the same response to CPIs in tumor model experiments as their human donors (Golpalakrishnan et al, </w:t>
      </w:r>
      <w:r>
        <w:rPr>
          <w:rFonts w:ascii="Arial" w:cs="Arial" w:eastAsia="Arial" w:hAnsi="Arial"/>
          <w:sz w:val="16"/>
          <w:szCs w:val="16"/>
          <w:i w:val="1"/>
          <w:iCs w:val="1"/>
          <w:color w:val="auto"/>
        </w:rPr>
        <w:t>Science</w:t>
      </w:r>
      <w:r>
        <w:rPr>
          <w:rFonts w:ascii="Arial" w:cs="Arial" w:eastAsia="Arial" w:hAnsi="Arial"/>
          <w:sz w:val="16"/>
          <w:szCs w:val="16"/>
          <w:color w:val="auto"/>
        </w:rPr>
        <w:t xml:space="preserve">, 2017; Routy et al, </w:t>
      </w:r>
      <w:r>
        <w:rPr>
          <w:rFonts w:ascii="Arial" w:cs="Arial" w:eastAsia="Arial" w:hAnsi="Arial"/>
          <w:sz w:val="16"/>
          <w:szCs w:val="16"/>
          <w:i w:val="1"/>
          <w:iCs w:val="1"/>
          <w:color w:val="auto"/>
        </w:rPr>
        <w:t>Science</w:t>
      </w:r>
      <w:r>
        <w:rPr>
          <w:rFonts w:ascii="Arial" w:cs="Arial" w:eastAsia="Arial" w:hAnsi="Arial"/>
          <w:sz w:val="16"/>
          <w:szCs w:val="16"/>
          <w:color w:val="auto"/>
        </w:rPr>
        <w:t xml:space="preserve">, 2017; Matson et al, </w:t>
      </w:r>
      <w:r>
        <w:rPr>
          <w:rFonts w:ascii="Arial" w:cs="Arial" w:eastAsia="Arial" w:hAnsi="Arial"/>
          <w:sz w:val="16"/>
          <w:szCs w:val="16"/>
          <w:i w:val="1"/>
          <w:iCs w:val="1"/>
          <w:color w:val="auto"/>
        </w:rPr>
        <w:t>Science</w:t>
      </w:r>
      <w:r>
        <w:rPr>
          <w:rFonts w:ascii="Arial" w:cs="Arial" w:eastAsia="Arial" w:hAnsi="Arial"/>
          <w:sz w:val="16"/>
          <w:szCs w:val="16"/>
          <w:color w:val="auto"/>
        </w:rPr>
        <w:t>, 2018). Taken together, these results suggest that microbiome therapies might improve the efficacy of CPIs in treating cancer.</w:t>
      </w:r>
    </w:p>
    <w:p>
      <w:pPr>
        <w:spacing w:after="0" w:line="208" w:lineRule="exact"/>
        <w:rPr>
          <w:sz w:val="20"/>
          <w:szCs w:val="20"/>
          <w:color w:val="auto"/>
        </w:rPr>
      </w:pPr>
    </w:p>
    <w:p>
      <w:pPr>
        <w:ind w:right="540" w:firstLine="518"/>
        <w:spacing w:after="0" w:line="308" w:lineRule="auto"/>
        <w:rPr>
          <w:sz w:val="20"/>
          <w:szCs w:val="20"/>
          <w:color w:val="auto"/>
        </w:rPr>
      </w:pPr>
      <w:r>
        <w:rPr>
          <w:rFonts w:ascii="Arial" w:cs="Arial" w:eastAsia="Arial" w:hAnsi="Arial"/>
          <w:sz w:val="17"/>
          <w:szCs w:val="17"/>
          <w:color w:val="auto"/>
        </w:rPr>
        <w:t>There are currently no microbiome therapeutics approved by the FDA. We believe that the ability to develop drugs that are able to modulate the microbiome and return a dysbiotic microbiome to its healthy state presents a significant opportunity to improve human health.</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Microbiome Therapeutics Platform</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have developed the leading microbiome therapeutics platform, which we believe enables us to significantly reduce the time typically required to advance therapeutics to the clinic, and ultimately, to the market. We use reverse translation, the practice of driving discovery based on human data sets to improve the translatability of a preclinical program. Specifically, we start with data sets from both healthy subjects and patients to delineate at high-resolution the composition of the microbiome and physiological state of subjects and identify specific signatures in the microbiome that associate with disease or the onset of disease; these in-human insights are leveraged in preclinical drug design and development.</w:t>
      </w:r>
    </w:p>
    <w:p>
      <w:pPr>
        <w:spacing w:after="0" w:line="173" w:lineRule="exact"/>
        <w:rPr>
          <w:sz w:val="20"/>
          <w:szCs w:val="20"/>
          <w:color w:val="auto"/>
        </w:rPr>
      </w:pPr>
    </w:p>
    <w:p>
      <w:pPr>
        <w:ind w:right="340" w:firstLine="518"/>
        <w:spacing w:after="0" w:line="273" w:lineRule="auto"/>
        <w:rPr>
          <w:sz w:val="20"/>
          <w:szCs w:val="20"/>
          <w:color w:val="auto"/>
        </w:rPr>
      </w:pPr>
      <w:r>
        <w:rPr>
          <w:rFonts w:ascii="Arial" w:cs="Arial" w:eastAsia="Arial" w:hAnsi="Arial"/>
          <w:sz w:val="17"/>
          <w:szCs w:val="17"/>
          <w:color w:val="auto"/>
        </w:rPr>
        <w:t>Our discovery process begins with human data derived from clinical trials and cohort studies, which we use as a basis for designing our Ecobiotic microbiome therapeutic candidates. We compare healthy, normal colonic microbiomes to those in an unhealthy dysbiotic or disease state, revealing the ecological and functional differences between various states of disease and during the transition from health to disease or vice versa. We then develop our Ecobiotic microbiome therapeutic candidates to target these differences. Our clinical data from the SER-109, SER-262 and SER-287 programs, and microbiome data generated with external collaborators, serve to instruct us on how the introduction of certain keystone microbes have the potential to restructure a dysbiotic colonic microbiome and shift it to a non-disease state.</w:t>
      </w:r>
    </w:p>
    <w:p>
      <w:pPr>
        <w:spacing w:after="0" w:line="17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have developed a proprietary suite of bioinformatics and computational tools, which facilitate our insights into the human microbiome. Using whole metagenomic shotgun sequencing, and our proprietary, curated, reference database of novel bacterial genomes, our algorithms enable us to track changes in the microbiome at the level of bacterial species and individual strains. We have also developed tools integrating gene profiling and metabolomics data (the small molecules made by the microbiome) with genomic data (the collection of bacteria defined by sequencing) to understand the functions related groups of organisms contribute to the state of disease or health. Further, we have established de novo analytics for pharmacokinetic and pharmacodynamic assessments of microbiome therapeutics.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right="140" w:firstLine="518"/>
        <w:spacing w:after="0" w:line="276" w:lineRule="auto"/>
        <w:rPr>
          <w:sz w:val="20"/>
          <w:szCs w:val="20"/>
          <w:color w:val="auto"/>
        </w:rPr>
      </w:pPr>
      <w:r>
        <w:rPr>
          <w:rFonts w:ascii="Arial" w:cs="Arial" w:eastAsia="Arial" w:hAnsi="Arial"/>
          <w:sz w:val="17"/>
          <w:szCs w:val="17"/>
          <w:color w:val="auto"/>
        </w:rPr>
        <w:t>Our proprietary strain library of over 35,000 bacterial isolates from healthy donors and patients enables us to translate computational insights into defined compositions. It includes the majority of the HMP’s “most wanted” and many novel species not described in other databases or the scientific literature. Using proprietary assays and full-genome sequences, we characterize the functional capabilities of the bacteria in our strain library, based on both metabolomics and how the bacteria interact with human colonic epithelial cells and human immune cells. We also seek to understand how these microbes improve the health of barrier cells in the gut and how this may impact immune responses.</w:t>
      </w:r>
    </w:p>
    <w:p>
      <w:pPr>
        <w:spacing w:after="0" w:line="17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 xml:space="preserve">We select bacteria from our library with specific predicted properties using novel algorithms for functional design and grow the compositions in the lab to be tested both in vitro and in vivo animal models. Our animal models include conventional mice, germ-free mice, and “humanized” mice that possess only bacteria derived from humans, which we developed to minimize confounding variables presented by murine microbes. Data from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screens are analyzed and used to optimize compositional designs; introducing new bacterial strains and optimizing existing strains until we identify a</w:t>
      </w:r>
      <w:r>
        <w:rPr>
          <w:rFonts w:ascii="Arial" w:cs="Arial" w:eastAsia="Arial" w:hAnsi="Arial"/>
          <w:sz w:val="18"/>
          <w:szCs w:val="18"/>
          <w:i w:val="1"/>
          <w:iCs w:val="1"/>
          <w:color w:val="auto"/>
        </w:rPr>
        <w:t xml:space="preserve"> </w:t>
      </w:r>
      <w:r>
        <w:rPr>
          <w:rFonts w:ascii="Arial" w:cs="Arial" w:eastAsia="Arial" w:hAnsi="Arial"/>
          <w:sz w:val="18"/>
          <w:szCs w:val="18"/>
          <w:color w:val="auto"/>
        </w:rPr>
        <w:t>lead composition suitable for clinical testing.</w:t>
      </w:r>
    </w:p>
    <w:p>
      <w:pPr>
        <w:spacing w:after="0" w:line="18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Finally, we manufacture the bacterial composition under current Good Manufacturing Practices, or cGMP, which are required by FDA and European regulators. We believe our unique manufacturing capacities position us to exploit the insights of our proprietary human data and the novel biology of species and strains that have not previously been used for therapeutics. We have optimized fermentation conditions to generate spores and enhance bacterial yields in anaerobic fermentation and have in-house capabilities to formulate both spores and live non-spore bacteria. Our manufacturing facility in Cambridge, Massachusetts was designed to be fit-for-purpose and is highly differentiated compared to the offerings of commercial contract research organizations. We address quality control requirements for our Ecobiotic microbiome therapeutic candidates using proprietary microbiological and sequence-based testing schemes, including high-throughput quantitative analytics to assess the identity, potency and purity of the final product. These methods have been qualified to meet regulatory standards for live biotherapeutic products.</w:t>
      </w:r>
    </w:p>
    <w:p>
      <w:pPr>
        <w:spacing w:after="0" w:line="17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Taken together, we believe our platform, spanning drug discovery, preclinical translation, and novel manufacturing and quality control approaches, has enabled a field leading pipeline across a range of therapeutics areas.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Disease Overview and Our Product Pipeline</w:t>
      </w:r>
    </w:p>
    <w:p>
      <w:pPr>
        <w:spacing w:after="0" w:line="229"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We believe our Ecobiotic microbiome therapeutic candidates represent a novel approach with potential application across a broad range of human diseases. SER-287 is under development for the treatment of active mild-to-moderate UC and has completed a Phase 1b study in the United States. SER-287 has been designated an Orphan Drug for pediatric UC by the FDA. We are designing SER-301, a rationally-designed, fermented Ecobiotic microbiome therapeutic candidate, for the treatment of IBD. Our most advanced drug development program, SER-109, focuses on recurrent CDI. SER-109 has been designated as a Breakthrough Therapy and an Orphan Drug by the FDA. Based on feedback received from the FDA, we have initiated a Phase 3 SER-109 clinical study in approximately 320 patients with multiply recurrent CDI. We are designing SER-401 for combination therapy with immune CPIs in cancer. We have also conducted early stage research on potential Ecobiotic microbiome therapeutic candidates for the treatment of metabolic disorders, such as early-stage, non-insulin dependent diabetes, NASH, and metabolic syndrome. Research in these indications is focused on developing Ecobiotic drugs that address specific functional defects in the microbiome, including the specific metabolic products made by the microbes. We believe this approach may enable pursuit of a range of disorders including various forms of liver disease and rare genetic diseases of metabolism.</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Ulcerative Colitis, SER-287 and SER-301</w:t>
      </w:r>
    </w:p>
    <w:p>
      <w:pPr>
        <w:spacing w:after="0" w:line="117"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UC is a relapsing-remitting chronic inflammatory disorder affecting the mucosal surface of the colon, leading to episodes of bloody diarrhea, urgency and mucosal inflammation (Danese and Fiocchi, 2011), which generally begins in young adulthood and endures for life. As the disease mostly affects young and middle-aged individuals, a time of peak reproductive and economic productivity, the disease leads to decreased quality of life in those affected by the condition, high morbidity, and significant health economic burden. (Ghosh and Mitchell, 2007; Kappelman et al., 2008; Rubin et al., 2014; Theede et al., 2015) The incidence of UC is rising worldwide and the prevalence of the disease is highest in the United States, Canada, and Europe. In the United States alone, the prevalence of UC in adults is estimated to be 263 per 100,000, while in the pediatric population (age &lt;20 years), prevalence of the disease is estimated to be 33.9 per 100,000. (Kappelman et al., 2013)</w:t>
      </w:r>
    </w:p>
    <w:p>
      <w:pPr>
        <w:spacing w:after="0" w:line="17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222222"/>
        </w:rPr>
        <w:t>UC is characterized by recurring episodes of inflammation limited to the mucosal layer of the colon. The severity of symptoms, diarrhea associated with blood and abdominal pain, may range from mild disease to severe disease with more than 10 stools per day with severe cramps and continuous bleeding. The severity, extent, and duration of disease are also risk factors for developing colon cancer, which occurs at a rate as high as 0.5-1.0% per year, an important complication given the young age at which the disease strikes. Patients with UC also experience increased risk of CDI and primary sclerosing cholangitis, compared to the general population.</w:t>
      </w:r>
    </w:p>
    <w:p>
      <w:pPr>
        <w:spacing w:after="0" w:line="18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pathogenesis of UC is unclear but thought to arise from an aberrant immune response to a change in the colonic luminal environment in a genetically susceptible individual. The key features of UC include diffuse mucosal inflammation in a continuous pattern starting distally in the rectum to more proximal disease in the left colon to pancolitis.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firstLine="518"/>
        <w:spacing w:after="0" w:line="253" w:lineRule="auto"/>
        <w:rPr>
          <w:sz w:val="20"/>
          <w:szCs w:val="20"/>
          <w:color w:val="auto"/>
        </w:rPr>
      </w:pPr>
      <w:r>
        <w:rPr>
          <w:rFonts w:ascii="Arial" w:cs="Arial" w:eastAsia="Arial" w:hAnsi="Arial"/>
          <w:sz w:val="18"/>
          <w:szCs w:val="18"/>
          <w:color w:val="auto"/>
        </w:rPr>
        <w:t>Symptoms of UC include rectal bleeding, tenesmus, increased stool frequency, urgency, incontinence, fever, fatigue and malaise, which negatively impact quality of life, physical and mental health and productivity. A subset of patients has extra-intestinal manifestations ranging from iron deficiency anemia to primary sclerosing cholangitis with implications for increased morbidity. In pediatric patients, the symptoms of UC have a more damaging impact, as they affect children’s growth and lead to delayed puberty. These patients also suffer from weight loss, anemia and joint symptoms and current therapy itself adversely impacts normal growth and development. (Kelsen et al., 2008). Treatment of UC with corticosteroids and immunosuppressive agents adds further medical complications to these vulnerable patients, including corticosteroid toxicity and increased risk of invasive infections and malignancy. Both environmental and genetic factors contribute to the etiology of the disease. Environmental factors may induce an ongoing immune response and inflammation in the genetically predisposed host. Efforts to identify specific environmental factors has implicated commensal bacteria or their products as key determinants of the inflammatory response in UC patients (Xavier et al., 2007). Thus, we believe SER-287 may target an “underlying cause” of UC rather than its symptoms.</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Current and developing treatment alternatives and their limitations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Currently, patients with UC require life-long therapy. The goals of medical therapy are to induce and maintain clinical and endoscopic remission. Endoscopic remission is recognized as a key treatment goal since it better predicts short- and long-term clinical outcomes than symptomatic improvement alone. Attainment of these goals is generally associated with improved quality of life and decreased need for corticosteroids, and lower risk of hospitalization, colectomy, and colon cancer.</w:t>
      </w:r>
    </w:p>
    <w:p>
      <w:pPr>
        <w:spacing w:after="0" w:line="187"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Although the etiology of UC is not fully understood, much progress has been made in the understanding of pathogenesis. Under homeostatic conditions, there is a balance between pro-inflammatory and anti-inflammatory cytokine signals mediated by epithelial and immune cells in the gastrointestinal tract. However, UC is characterized by dysregulated mucosal immune responses and translocation of inflammatory mediators of microbiological origin across a disrupted gastrointestinal barrier that may cause or perpetuate inflammation leading to chronic inflammatory disease. Migration of innate and adaptive immune cells into gut mucosal tissues is potentiated by locally produced cytokines and chemokines, and by the expression of integrins that enhance cellular trafficking into the gut lamina propria. Inhibition of the immune response, via antibodies and proteins that sequester pro-inflammatory cytokines or block the function of integrins, has been an important target of UC drug development over the past decade.</w:t>
      </w:r>
    </w:p>
    <w:p>
      <w:pPr>
        <w:spacing w:after="0" w:line="178"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Current management of UC includes medications that decrease general inflammation (e.g., 5-aminosalicylate derivatives, or 5-ASA, corticosteroids) or dampen specific components of the host immune response (e.g., immunomodulators, inhibitors of tumor necrosis factor, anti-integrin antibodies).</w:t>
      </w:r>
    </w:p>
    <w:p>
      <w:pPr>
        <w:spacing w:after="0" w:line="124"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For mild-to-moderate disease, the 5-ASA derivatives are the standard of care for both induction and remission. 5-ASA derivatives achieve clinical remission in only 25-40% of patients during induction and approximately one-third of responders have disease flares during the first year of maintenance therapy, necessitating additional treatment interventions such as corticosteroids and immunomodulators (e.g. 6-mercaptopurine, methotrexate, azathioprine). Corticosteroids are not recommended by guideline panels for chronic therapy since these drugs are ineffective for maintaining remission and are associated with significant adverse events. Patients taking thiopurines require ongoing monitoring for hepatotoxicity, myelosuppression, and opportunistic infections, as well as counseling on the potential risk of lymphoma.</w:t>
      </w:r>
    </w:p>
    <w:p>
      <w:pPr>
        <w:spacing w:after="0" w:line="19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Current medical therapies for the treatment of UC suppress the immune system rather than reducing the triggers of immune activation. We believe there remains an unmet need for safer agents with novel non-immunosuppressive mechanisms of action. Moreover, alternative therapy is needed for patients with mild-to-moderate UC who experience frequent flares or are intolerant to the aminosalicylate class of medication or where there are safety concerns relating to the use of immunomodulator or steroid therapy.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SER-287</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Given the dysbiosis seen in UC patients, studies have explored the use of FMT to treat UC. (Angelberger et al., 2013; Colman and Rubin, 2014; Kump et al., 2013; Kunde et al., 2013; Moayyedi et al., 2015; Rossen et al., 2015; Paramsothy et al., 2017). Early reports of enhanced clinical remission and endoscopic improvement with repetitive FMT compared to placebo motivated the preclinical development and clinical testing of SER-287. SER-287 is a donor-derived, microbiome therapeutic candidate composed of the spore-forming fraction of the intestinal microbiota that is underrepresented in UC patients. We initiated our Phase 1b clinical study in December 2015 in subjects with mild-to-moderate UC to evaluate the safety and efficacy of SER-287 added to standard of care treatment. This SER-287 Phase 1b study, a randomized, double-blinded, placebo-controlled, multiple-dose, induction study enrolled patients with active mild-to-moderate UC, with Total Modified Mayo scores of 4 to 10. The study enrolled 58 patients at 20 sites across the United States. Study subjects exhibited pre-study disease activity despite use of current therapies in a majority of subjects, which included 5-ASA, low dose corticosteroids, or immunomodulatory therapy. Three SER-287 drug product lots, based on human donor material obtained from three separate individuals, were used in the Phase 1b study.</w:t>
      </w:r>
    </w:p>
    <w:p>
      <w:pPr>
        <w:spacing w:after="0" w:line="21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primary endpoints of the study were to evaluate the safety and tolerability of SER-287, compare the change in the microbiome composition versus placebo and determine engraftment of SER-287 bacteria following SER-287 treatment. The study evaluated clinical response, complete remission, and endoscopic improvement, as well as metabolomic and immunological findings.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right="40" w:firstLine="518"/>
        <w:spacing w:after="0" w:line="342" w:lineRule="auto"/>
        <w:rPr>
          <w:sz w:val="20"/>
          <w:szCs w:val="20"/>
          <w:color w:val="auto"/>
        </w:rPr>
      </w:pPr>
      <w:r>
        <w:rPr>
          <w:rFonts w:ascii="Arial" w:cs="Arial" w:eastAsia="Arial" w:hAnsi="Arial"/>
          <w:sz w:val="16"/>
          <w:szCs w:val="16"/>
          <w:color w:val="auto"/>
        </w:rPr>
        <w:t>In October 2017, we announced positive topline results from our Phase 1b clinical trial of SER-287 in patients with UC. Study results showed no imbalance in adverse events in SER-287 treated patients, as compared to patients treated with placebo. No drug related serious adverse events were observed.</w:t>
      </w:r>
    </w:p>
    <w:p>
      <w:pPr>
        <w:spacing w:after="0" w:line="151"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Analyses of study patients’ microbiome data, a primary endpoint, indicated that SER-287 induced dose-dependent engraftment of SER-287-derived bacterial species into the colonic microbiome of the patients treated with SER-287. The cohort of patients that received vancomycin pre-treatment followed by daily administration of SER-287 showed the highest level of SER-287 engraftment. We also observed the most meaningful clinical benefit in this patient cohort. Differences in the composition of the microbiome post treatment were also associated with clinical remission. Bacterial engraftment signatures were durable throughout the dosing period of the trial and were also observed at four weeks post administration of the final SER-287 dose. The pharmacologic impact of the SER-287 engraftment was supported by metabolomic and transcriptomic data. Analysis of metabolites and gene expression signatures associated with inflammation and immune modulation, were observed to be correlated with remission in SER-287 treated subjects.</w:t>
      </w:r>
    </w:p>
    <w:p>
      <w:pPr>
        <w:spacing w:after="0" w:line="208"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Microbiome results showed engraftment of SER-287-derived bacterial species in patients pre-treated with vancomycin who received SER-287, with daily dosing providing the most rapid and robust change in patients’ microbiome. Engraftment observed in these patients was maintained during the entire dosing period and was observed four weeks after the last dose of SER-287 was administered. Thus, engraftment was durable. Vancomycin pre-treatment, as compared to placebo pre-treatment, led to an immediate reduction of microbiome diversity followed by rapid and robust engraftment of SER-287-derived bacterial species. We believe these data suggest that vancomycin pre-treatment may open ecological niches for SER-287 engraftment in the human microbiome of patients with UC.</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December 2017, the FDA granted Orphan Drug Designation to SER-287 for treatment of UC in pediatric patients.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Further Details of Phase 1b clinical study design.</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Phase 1b clinical study was a multicenter, randomized, double-blind, placebo-controlled multiple dose study utilizing weekly or daily dosing with SER-287. We enrolled eligible subjects at approximately 20 sites in the United States. The Phase 1b clinical study was designed to enroll adults 18 years of age and older who had mild-to-moderate UC as defined by a Total Modified Mayo score between 4 and 10, inclusive, with a modified Mayo endoscopic subscore ≥ 1, who were failing current therapies.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Patients were randomized to one of four study arms:</w:t>
      </w:r>
    </w:p>
    <w:p>
      <w:pPr>
        <w:spacing w:after="0" w:line="117"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Pre-treatment with placebo for 6 days, followed by weekly dosing of SER-287 for 8 weeks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Pre-treatment with placebo for 6 days, followed by daily dosing with placebo for 8 weeks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Pre-treatment with vancomycin for 6 days, followed by daily dosing of SER-287 for 8 weeks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Pre-treatment with vancomycin for 6 days, followed by weekly dosing of SER-287 for 8 weeks</w:t>
      </w:r>
    </w:p>
    <w:p>
      <w:pPr>
        <w:spacing w:after="0" w:line="22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primary objectives of the study were to evaluate the safety and tolerability of SER-287 compared to placebo; to compare the baseline composition of the intestinal microbiome to the composition at 8 weeks post-initiation of SER-287 or placebo; and to determine the engraftment of SER-287 bacteria into the intestinal microbial community in each of the SER-287 arms compared to the placebo arm.</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secondary objectives of the study were to determine the proportion of subjects in each of the treatment arms who at eight weeks post-initiation of treatment achieve a clinical response, complete remission, and endoscopic improvement; to assess changes in serum and fecal biomarkers from baseline throughout treatment; to determine the complement of metabolic pathways; and to compare the changes in exploratory biomarkers from mucosal biopsies and stool in each of the treatment arms from baseline through eight weeks.</w:t>
      </w:r>
    </w:p>
    <w:p>
      <w:pPr>
        <w:spacing w:after="0" w:line="18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This study was designed to provide evidence of safety of SER-287 compared to placebo for the UC population, describe the changes in the microbiome as a result of treatment with SER-287 and provide potential predictive biomarkers for future studies. UC is characterized by a decrease in microbial diversity and richness, with a lower prevalence of spore-forming organisms within the phylum Firmicutes. Preliminary data using FMT suggest that microbial interventions can affect clinical outcomes in UC, and this study evaluated whether the ecology of bacterial spores in SER-287 could correct the dysbiosis in UC, increase microbial diversity and safely lead to a clinical response in UC patients with mild-to-moderate disease.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i w:val="1"/>
          <w:iCs w:val="1"/>
          <w:color w:val="auto"/>
        </w:rPr>
        <w:t>Phase 1b clinical study results</w:t>
      </w:r>
    </w:p>
    <w:p>
      <w:pPr>
        <w:spacing w:after="0" w:line="11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Results were analyzed using the ITT “missing equals failure” analysis and the ITT “observed case” analysis methods. The ITT “missing equals failure” analysis, included all 58 randomized subjects. For this analysis, incalculable clinical endpoints due to missing data, UC medication added due to UC flare during the treatment period and discontinuation from the trial prior to Day 48 were considered as not achieving the clinical endpoints (worst outcome). However, if the end-of-trial endoscopy at Day 48, or later, was available, and the subject did not take additional UC medication due to UC flare, then the observed data was used to define success or failure for the subject. A period of 48 days of microbiome therapy was considered sufficient treatment to estimate the outcome of clinical endpoints and was prespecified. The ITT “observed case” analysis included 53 of 58 subjects randomized, excluding those who were missing their end-of-treatment endoscopies and used the observed data to define success or failure for each subject in the analysis.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Efficacy Results</w:t>
      </w:r>
    </w:p>
    <w:p>
      <w:pPr>
        <w:spacing w:after="0" w:line="117"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In the “missing equals failure” analysis, remission showed a statistically significant improvement in the vancomycin pre-treatment / SER-287 once-daily dosing arm as compared to the placebo/placebo daily arm: 40% (6 of 15 in SER-287) vs 0% (0 of 11 in placebo); change from placebo of 40.0% (95% confidence interval: 15.2%, 64.8%), (p-value, 0.0237). (See Figure 1).</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SER-287 weekly treatment arms also showed an improvement over placebo in both remission and endoscopic improvement but the effect was less than with the daily dosing regimen, showing a dose-response to SER-287 in these efficacy endpoints. Addition of vancomycin to the SER-287 weekly dosing regimen did not clearly alter efficacy results, although we believe this may be due to the small size of the study.</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Clinical response (data not shown), showed a numeric increase in the vancomycin/SER287 daily treatment arm compared to placebo but did not reach statistical significance.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134620</wp:posOffset>
            </wp:positionV>
            <wp:extent cx="6148705" cy="1663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4870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40"/>
        <w:spacing w:after="0"/>
        <w:tabs>
          <w:tab w:leader="none" w:pos="3580" w:val="left"/>
        </w:tabs>
        <w:rPr>
          <w:sz w:val="20"/>
          <w:szCs w:val="20"/>
          <w:color w:val="auto"/>
        </w:rPr>
      </w:pPr>
      <w:r>
        <w:rPr>
          <w:rFonts w:ascii="Arial" w:cs="Arial" w:eastAsia="Arial" w:hAnsi="Arial"/>
          <w:sz w:val="18"/>
          <w:szCs w:val="18"/>
          <w:b w:val="1"/>
          <w:bCs w:val="1"/>
          <w:color w:val="auto"/>
        </w:rPr>
        <w:t>Figure 1:</w:t>
      </w:r>
      <w:r>
        <w:rPr>
          <w:sz w:val="20"/>
          <w:szCs w:val="20"/>
          <w:color w:val="auto"/>
        </w:rPr>
        <w:tab/>
      </w:r>
      <w:r>
        <w:rPr>
          <w:rFonts w:ascii="Arial" w:cs="Arial" w:eastAsia="Arial" w:hAnsi="Arial"/>
          <w:sz w:val="16"/>
          <w:szCs w:val="16"/>
          <w:b w:val="1"/>
          <w:bCs w:val="1"/>
          <w:color w:val="auto"/>
        </w:rPr>
        <w:t>SER-287 Phase 1b Clinical Study Efficacy Data – Missing Equals Failure</w:t>
      </w:r>
    </w:p>
    <w:p>
      <w:pPr>
        <w:spacing w:after="0" w:line="229" w:lineRule="exact"/>
        <w:rPr>
          <w:sz w:val="20"/>
          <w:szCs w:val="20"/>
          <w:color w:val="auto"/>
        </w:rPr>
      </w:pPr>
    </w:p>
    <w:p>
      <w:pPr>
        <w:jc w:val="center"/>
        <w:ind w:left="260" w:right="80"/>
        <w:spacing w:after="0" w:line="264" w:lineRule="auto"/>
        <w:rPr>
          <w:sz w:val="20"/>
          <w:szCs w:val="20"/>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 change from placebo; Remission was defined as a Total Modified Mayo score of less than or equal to 2, and an endoscopic sub-score of 0 or 1; Endoscopic improvement was defined as a decrease in endoscopic sub score of greater than or equal to 1. Endoscopy measures were analyzed by a Central Reader.</w:t>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Safety Results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primary safety objective (short-term safety) was to evaluate the safety and tolerability of SER-287 in adults with active mild-to-moderate UC up to 92 days after randomization as determined by clinical and laboratory safety assessments.</w:t>
      </w:r>
    </w:p>
    <w:p>
      <w:pPr>
        <w:spacing w:after="0" w:line="197"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The treatment-emergent adverse events, or TEAEs, were balanced across all the treatment arms. No drug-related serious adverse events, or SAEs, were reported. All adverse events, or AEs, were considered mild to moderate in intensity. Gastrointestinal, or GI, disorders had the greatest number of AEs compared to other system organ classes, with the most efficacious treatment arm (vancomycin/SER-287 daily) experiencing the lowest percentage of GI AEs.</w:t>
      </w:r>
    </w:p>
    <w:p>
      <w:pPr>
        <w:spacing w:after="0" w:line="18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SER-287 was observed to be well-tolerated in all treatment arms, showing a safety profile consistent with the placebo arm. The safety profile, when evaluating GI AEs, showed an improvement in the vancoymycin/SER-287 treatment arm compared to vancomycin/placebo and the vancomycin/SER-287 weekly treatment arms.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4" w:name="page15"/>
    <w:bookmarkEnd w:id="14"/>
    <w:p>
      <w:pPr>
        <w:ind w:firstLine="518"/>
        <w:spacing w:after="0" w:line="254" w:lineRule="auto"/>
        <w:rPr>
          <w:sz w:val="20"/>
          <w:szCs w:val="20"/>
          <w:color w:val="auto"/>
        </w:rPr>
      </w:pPr>
      <w:r>
        <w:rPr>
          <w:rFonts w:ascii="Arial" w:cs="Arial" w:eastAsia="Arial" w:hAnsi="Arial"/>
          <w:sz w:val="18"/>
          <w:szCs w:val="18"/>
          <w:color w:val="auto"/>
        </w:rPr>
        <w:t>Diverse analyses of microbiome data of patients in this trial, a primary endpoint, was completed after completion of the trial. Analyses of study patients’ microbiome data, a co-primary study endpoint of the trial, indicate that SER-287 induced dose-dependent engraftment of SER-287-derived bacterial species into the colonic microbiome of the patients treated with SER-287. Patients administered vancomycin pre-treatment followed by daily administration of SER-287 had the highest level of SER-287 engraftment, which was statistically significant. This patient cohort corresponded with the study arm where the most significant clinical benefits were observed, including clinical remission and endoscopic improvement. Differences in the composition of the microbiome post treatment were also associated with clinical remission. Bacterial engraftment signatures were durable throughout the dosing period of the trial and were also observed at four weeks post administration of the final SER-287 dose. The SER-287 Phase 1b study microbiome data support the previously reported clinical results.</w:t>
      </w:r>
    </w:p>
    <w:p>
      <w:pPr>
        <w:spacing w:after="0" w:line="219"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Microbiome results showed engraftment of SER-287-derived bacterial species in patients pre-treated with vancomycin who received SER-287. The degree of SER-287 engraftment, as measured by the number of detectable SER-287-derived bacterial species, increased in a dose-dependent manner, with daily dosing providing the most rapid and robust change in patients’ microbiome. Engraftment was maintained during the entire dosing period and was observed four weeks after the last dose of SER-287 was administered. Thus, engraftment was durable. Changes in the composition of the GI microbiome were associated with clinical remission and further associated with changes in metabolite and gene expression signatures associated with inflammation and immune modulation. Vancomycin pre-treatment, as compared to placebo pre-treatment, led to an immediate reduction of microbiome diversity followed by rapid and robust engraftment of SER-287-derived bacterial species. These data suggest that vancomycin pre-treatment opens ecological niches for SER-287 engraftment in the human microbiome of patients with UC.</w:t>
      </w:r>
    </w:p>
    <w:p>
      <w:pPr>
        <w:spacing w:after="0" w:line="32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2b Clinical Study Design</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Based on feedback from the FDA, we believe that the results from the SER-287 Phase 2b ECO-RESET study in conjunction with data from a second pivotal study, could enable submission of a SER-287 Biologics License Application.</w:t>
      </w:r>
    </w:p>
    <w:p>
      <w:pPr>
        <w:spacing w:after="0" w:line="21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Phase 2b study, initiated in December 2018, is a three-arm placebo-controlled trial of approximately 200 patients with active mild-to-moderate UC. Two groups of patients will receive different doses of SER-287, both following pretreatment with a short course of oral vancomycin. A third study arm will receive placebo. The study’s primary endpoint will evaluate clinical remission measured after 10 weeks of SER-287 administration. Endoscopic improvement will be measured as a secondary efficacy measure.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SER-301</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Our SER-301 program is in preclinical discovery and bioprocess development. SER-301 is being rationally designed by utilizing our reverse translational platforms to incorporate learnings from our SER-287 clinical study, as well as our SER-262 clinical study. We have identified specific bacterial species that engraft and are associated with clinical remission, and further we have identified metabolic products made by these bacteria that have correlated with clinical efficacy. We also have gene expression data from patient mucosal biopsies showing which genes and pathways are favorably altered by SER-287 treatment. All of these data are being leveraged in the design of SER-301.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CDI Overview and SER-109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Clostridium difficile Infection</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i w:val="1"/>
          <w:iCs w:val="1"/>
          <w:color w:val="auto"/>
        </w:rPr>
        <w:t xml:space="preserve">C. difficile </w:t>
      </w:r>
      <w:r>
        <w:rPr>
          <w:rFonts w:ascii="Arial" w:cs="Arial" w:eastAsia="Arial" w:hAnsi="Arial"/>
          <w:sz w:val="16"/>
          <w:szCs w:val="16"/>
          <w:color w:val="auto"/>
        </w:rPr>
        <w:t>is a Gram-positive, toxin-producing, spore forming bacterium that may cause debilitating diarrhea in infected individuals, but can also lead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more severe outcomes, such as inflammation of the colon, or colitis, toxic megacolon and death.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bacteria express toxins that disrupt the structural architecture of cells causing leakage of fluids through the GI epithelium. The cells disrupted by these toxins eventually undergo apoptosis and die, releasing their contents into the colon, resulting in inflammation of the colon, severe and persistent diarrhea and, in the most serious cases, death.</w:t>
      </w:r>
    </w:p>
    <w:p>
      <w:pPr>
        <w:spacing w:after="0" w:line="15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CDI is most often associated with the prior use of antibiotics, although age and poor immune status are important risk factors as well. Antibiotics are thought to decrease resistance to CDI by causing dysbiosis in the microbiome. Since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spores are able to survive for long periods of time outside the body, and because healthcare settings are often sites of significant antibiotic use, CDI transmission rates in hospitals, long-term acute care facilities and nursing homes have been increasing. CDI is also a cause of morbidity and mortality among hospitalized cancer patients and bone marrow transplant patients as their immune systems are suppressed by cytotoxic drugs, which are drugs that inhibit or prevent the function of cells including cells of the immune system, and they may be heavily treated with antibiotics to prevent or treat infections. More recently, the rise of community-acquired CDI has been recognized as a growing problem.</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15" w:name="page16"/>
    <w:bookmarkEnd w:id="15"/>
    <w:p>
      <w:pPr>
        <w:ind w:firstLine="518"/>
        <w:spacing w:after="0" w:line="269" w:lineRule="auto"/>
        <w:rPr>
          <w:sz w:val="20"/>
          <w:szCs w:val="20"/>
          <w:color w:val="auto"/>
        </w:rPr>
      </w:pPr>
      <w:r>
        <w:rPr>
          <w:rFonts w:ascii="Arial" w:cs="Arial" w:eastAsia="Arial" w:hAnsi="Arial"/>
          <w:sz w:val="17"/>
          <w:szCs w:val="17"/>
          <w:color w:val="auto"/>
        </w:rPr>
        <w:t xml:space="preserve">The CDC has identified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as one of the top three most urgent antibiotic-resistant bacterial threats in the United States. It is the most common cause of hospital acquired infection in the United States, having overtaken MRSA. CDI is responsible for the deaths of approximately 29,000 Americans each year. CDI is also costly to the healthcare system. According to a study published in Clinical Infectious Diseases, the economic burden of CDI in 2008 in U.S. acute care facilities alone was estimated to be as much as $4.8 billion. In addition, a summary of studies published in 2009 in </w:t>
      </w:r>
      <w:r>
        <w:rPr>
          <w:rFonts w:ascii="Arial" w:cs="Arial" w:eastAsia="Arial" w:hAnsi="Arial"/>
          <w:sz w:val="17"/>
          <w:szCs w:val="17"/>
          <w:i w:val="1"/>
          <w:iCs w:val="1"/>
          <w:color w:val="auto"/>
        </w:rPr>
        <w:t>The Journal of Hospital</w:t>
      </w:r>
      <w:r>
        <w:rPr>
          <w:rFonts w:ascii="Arial" w:cs="Arial" w:eastAsia="Arial" w:hAnsi="Arial"/>
          <w:sz w:val="17"/>
          <w:szCs w:val="17"/>
          <w:color w:val="auto"/>
        </w:rPr>
        <w:t xml:space="preserve"> </w:t>
      </w:r>
      <w:r>
        <w:rPr>
          <w:rFonts w:ascii="Arial" w:cs="Arial" w:eastAsia="Arial" w:hAnsi="Arial"/>
          <w:sz w:val="17"/>
          <w:szCs w:val="17"/>
          <w:i w:val="1"/>
          <w:iCs w:val="1"/>
          <w:color w:val="auto"/>
        </w:rPr>
        <w:t>Infection</w:t>
      </w:r>
      <w:r>
        <w:rPr>
          <w:rFonts w:ascii="Arial" w:cs="Arial" w:eastAsia="Arial" w:hAnsi="Arial"/>
          <w:sz w:val="17"/>
          <w:szCs w:val="17"/>
          <w:color w:val="auto"/>
        </w:rPr>
        <w:t>, calculated that the treatment cost per episode of primary CDI was as much as $5,000 and as much as $18,000 per recurrence of CDI (Ghantoji et 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2010). Further, according to a 2014 article in the </w:t>
      </w:r>
      <w:r>
        <w:rPr>
          <w:rFonts w:ascii="Arial" w:cs="Arial" w:eastAsia="Arial" w:hAnsi="Arial"/>
          <w:sz w:val="17"/>
          <w:szCs w:val="17"/>
          <w:i w:val="1"/>
          <w:iCs w:val="1"/>
          <w:color w:val="auto"/>
        </w:rPr>
        <w:t>American Journal of Infection Control</w:t>
      </w:r>
      <w:r>
        <w:rPr>
          <w:rFonts w:ascii="Arial" w:cs="Arial" w:eastAsia="Arial" w:hAnsi="Arial"/>
          <w:sz w:val="17"/>
          <w:szCs w:val="17"/>
          <w:color w:val="auto"/>
        </w:rPr>
        <w:t>, from 2001 to 2010, incidence of CDI per 1,000 patients discharged increased from 4.5 to 8.2 with an average hospital stay of eight days. Research suggests that the risk of recurrence is approximately 25% after primary CDI, 40% after a first recurrence and greater than 60% for those experiencing two or more recurrences (Higa &amp; Kelly</w:t>
      </w:r>
      <w:r>
        <w:rPr>
          <w:rFonts w:ascii="Arial" w:cs="Arial" w:eastAsia="Arial" w:hAnsi="Arial"/>
          <w:sz w:val="17"/>
          <w:szCs w:val="17"/>
          <w:i w:val="1"/>
          <w:iCs w:val="1"/>
          <w:color w:val="auto"/>
        </w:rPr>
        <w:t>, New Drugs and Strategies for Management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w:t>
      </w:r>
      <w:r>
        <w:rPr>
          <w:rFonts w:ascii="Arial" w:cs="Arial" w:eastAsia="Arial" w:hAnsi="Arial"/>
          <w:sz w:val="17"/>
          <w:szCs w:val="17"/>
          <w:color w:val="auto"/>
        </w:rPr>
        <w:t>Clostridium difficile</w:t>
      </w:r>
      <w:r>
        <w:rPr>
          <w:rFonts w:ascii="Arial" w:cs="Arial" w:eastAsia="Arial" w:hAnsi="Arial"/>
          <w:sz w:val="17"/>
          <w:szCs w:val="17"/>
          <w:i w:val="1"/>
          <w:iCs w:val="1"/>
          <w:color w:val="auto"/>
        </w:rPr>
        <w:t xml:space="preserve"> Colitis</w:t>
      </w:r>
      <w:r>
        <w:rPr>
          <w:rFonts w:ascii="Arial" w:cs="Arial" w:eastAsia="Arial" w:hAnsi="Arial"/>
          <w:sz w:val="17"/>
          <w:szCs w:val="17"/>
          <w:color w:val="auto"/>
        </w:rPr>
        <w:t>, J. of Intensive Care Medicine, 2013). Based on an epidemiological study conducted by the CDC, the incidence of CDI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United States, based on a positive toxin or molecular assay in patients who did not have a positive result in the previous 8 weeks, was estimated to be 453,000 (95% confidence interval, 397,100 to 508,500) (Lessa et. al., </w:t>
      </w:r>
      <w:r>
        <w:rPr>
          <w:rFonts w:ascii="Arial" w:cs="Arial" w:eastAsia="Arial" w:hAnsi="Arial"/>
          <w:sz w:val="17"/>
          <w:szCs w:val="17"/>
          <w:i w:val="1"/>
          <w:iCs w:val="1"/>
          <w:color w:val="auto"/>
        </w:rPr>
        <w:t>Burden of</w:t>
      </w:r>
      <w:r>
        <w:rPr>
          <w:rFonts w:ascii="Arial" w:cs="Arial" w:eastAsia="Arial" w:hAnsi="Arial"/>
          <w:sz w:val="17"/>
          <w:szCs w:val="17"/>
          <w:color w:val="auto"/>
        </w:rPr>
        <w:t xml:space="preserve"> Clostridium difficile </w:t>
      </w:r>
      <w:r>
        <w:rPr>
          <w:rFonts w:ascii="Arial" w:cs="Arial" w:eastAsia="Arial" w:hAnsi="Arial"/>
          <w:sz w:val="17"/>
          <w:szCs w:val="17"/>
          <w:i w:val="1"/>
          <w:iCs w:val="1"/>
          <w:color w:val="auto"/>
        </w:rPr>
        <w:t>Infection in the United States</w:t>
      </w:r>
      <w:r>
        <w:rPr>
          <w:rFonts w:ascii="Arial" w:cs="Arial" w:eastAsia="Arial" w:hAnsi="Arial"/>
          <w:sz w:val="17"/>
          <w:szCs w:val="17"/>
          <w:color w:val="auto"/>
        </w:rPr>
        <w:t>, New England J. of Medicine, 2015).</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Current and developing treatment alternatives and their limitations</w:t>
      </w:r>
    </w:p>
    <w:p>
      <w:pPr>
        <w:spacing w:after="0" w:line="11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Patients with CDI utilize antibiotics, FMT, unapproved over-the-counter probiotics, and antibodies. Several therapeutic vaccines are also being developed.</w:t>
      </w:r>
    </w:p>
    <w:p>
      <w:pPr>
        <w:spacing w:after="0" w:line="62" w:lineRule="exact"/>
        <w:rPr>
          <w:sz w:val="20"/>
          <w:szCs w:val="20"/>
          <w:color w:val="auto"/>
        </w:rPr>
      </w:pPr>
    </w:p>
    <w:p>
      <w:pPr>
        <w:ind w:left="520" w:right="200" w:firstLine="495"/>
        <w:spacing w:after="0" w:line="259" w:lineRule="auto"/>
        <w:rPr>
          <w:sz w:val="20"/>
          <w:szCs w:val="20"/>
          <w:color w:val="auto"/>
        </w:rPr>
      </w:pPr>
      <w:r>
        <w:rPr>
          <w:rFonts w:ascii="Arial" w:cs="Arial" w:eastAsia="Arial" w:hAnsi="Arial"/>
          <w:sz w:val="18"/>
          <w:szCs w:val="18"/>
          <w:i w:val="1"/>
          <w:iCs w:val="1"/>
          <w:color w:val="auto"/>
        </w:rPr>
        <w:t>Antibiotics</w:t>
      </w:r>
      <w:r>
        <w:rPr>
          <w:rFonts w:ascii="Arial" w:cs="Arial" w:eastAsia="Arial" w:hAnsi="Arial"/>
          <w:sz w:val="18"/>
          <w:szCs w:val="18"/>
          <w:color w:val="auto"/>
        </w:rPr>
        <w:t>. According to the Infectious Disease Society of America, or IDSA, guidelines, the current standard of care for primary CDI is to</w:t>
      </w:r>
      <w:r>
        <w:rPr>
          <w:rFonts w:ascii="Arial" w:cs="Arial" w:eastAsia="Arial" w:hAnsi="Arial"/>
          <w:sz w:val="18"/>
          <w:szCs w:val="18"/>
          <w:i w:val="1"/>
          <w:iCs w:val="1"/>
          <w:color w:val="auto"/>
        </w:rPr>
        <w:t xml:space="preserve"> </w:t>
      </w:r>
      <w:r>
        <w:rPr>
          <w:rFonts w:ascii="Arial" w:cs="Arial" w:eastAsia="Arial" w:hAnsi="Arial"/>
          <w:sz w:val="18"/>
          <w:szCs w:val="18"/>
          <w:color w:val="auto"/>
        </w:rPr>
        <w:t>treat with antibiotics, such as fidaxomicin or vancomycin. Metronidazole is only recommended for mild disease or where access to other drugs is limited. In addition, while fidaxomicin is recommended to treat primary CDI, it does not have a label claim to reduce or prevent CDI recurrence. No antibiotic therapeutics are currently approved for treatment of recurrent CDI.</w:t>
      </w:r>
    </w:p>
    <w:p>
      <w:pPr>
        <w:spacing w:after="0" w:line="79" w:lineRule="exact"/>
        <w:rPr>
          <w:sz w:val="20"/>
          <w:szCs w:val="20"/>
          <w:color w:val="auto"/>
        </w:rPr>
      </w:pPr>
    </w:p>
    <w:p>
      <w:pPr>
        <w:ind w:left="520" w:right="40" w:firstLine="495"/>
        <w:spacing w:after="0" w:line="257" w:lineRule="auto"/>
        <w:rPr>
          <w:sz w:val="20"/>
          <w:szCs w:val="20"/>
          <w:color w:val="auto"/>
        </w:rPr>
      </w:pPr>
      <w:r>
        <w:rPr>
          <w:rFonts w:ascii="Arial" w:cs="Arial" w:eastAsia="Arial" w:hAnsi="Arial"/>
          <w:sz w:val="18"/>
          <w:szCs w:val="18"/>
          <w:color w:val="auto"/>
        </w:rPr>
        <w:t xml:space="preserve">Recurrent CDI, defined as the presence of diarrhea and a positive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stool assay within two to eight weeks following the initial episode, is not well addressed by any of the available antibiotics. When a patient has recurred two or more times after the initial occurrence, CDI recurrence rates are greater than 60% and the probability of additional recurrences increases with successive cycles. In extreme cases, patients are treated continuously for years with vancomycin, even while they continue to experience gastrointestinal symptoms including diarrhea and abdominal discomfort.</w:t>
      </w:r>
    </w:p>
    <w:p>
      <w:pPr>
        <w:spacing w:after="0" w:line="80" w:lineRule="exact"/>
        <w:rPr>
          <w:sz w:val="20"/>
          <w:szCs w:val="20"/>
          <w:color w:val="auto"/>
        </w:rPr>
      </w:pPr>
    </w:p>
    <w:p>
      <w:pPr>
        <w:ind w:left="520" w:right="100" w:firstLine="495"/>
        <w:spacing w:after="0" w:line="255" w:lineRule="auto"/>
        <w:rPr>
          <w:sz w:val="20"/>
          <w:szCs w:val="20"/>
          <w:color w:val="auto"/>
        </w:rPr>
      </w:pPr>
      <w:r>
        <w:rPr>
          <w:rFonts w:ascii="Arial" w:cs="Arial" w:eastAsia="Arial" w:hAnsi="Arial"/>
          <w:sz w:val="18"/>
          <w:szCs w:val="18"/>
          <w:color w:val="auto"/>
        </w:rPr>
        <w:t xml:space="preserve">The primary limitation of antibiotics is that their use appears to exacerbate dysbiosis, resulting in increased risk of future CDI. Research in animal models has shown that antibiotic use not only eliminates many healthy bacteria in the GI tract, but also leads to the release of nutrients that facilitate the growth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Antibiotics have also been shown to change the ratio of primary versus secondary bile acids in the colon by killing bacteria required to metabolize bile acids. This shift to a predominance of primary bile acids further facilitates the growth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as it requires primary bile acids for germination of its spores. As a result, antibiotic use may induce a lasting dysbiosis that makes it possible for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to colonize a person and then cause, or further perpetuate, disease.</w:t>
      </w:r>
    </w:p>
    <w:p>
      <w:pPr>
        <w:spacing w:after="0" w:line="85" w:lineRule="exact"/>
        <w:rPr>
          <w:sz w:val="20"/>
          <w:szCs w:val="20"/>
          <w:color w:val="auto"/>
        </w:rPr>
      </w:pPr>
    </w:p>
    <w:p>
      <w:pPr>
        <w:ind w:left="520" w:firstLine="495"/>
        <w:spacing w:after="0" w:line="288" w:lineRule="auto"/>
        <w:rPr>
          <w:sz w:val="20"/>
          <w:szCs w:val="20"/>
          <w:color w:val="auto"/>
        </w:rPr>
      </w:pPr>
      <w:r>
        <w:rPr>
          <w:rFonts w:ascii="Arial" w:cs="Arial" w:eastAsia="Arial" w:hAnsi="Arial"/>
          <w:sz w:val="16"/>
          <w:szCs w:val="16"/>
          <w:i w:val="1"/>
          <w:iCs w:val="1"/>
          <w:color w:val="auto"/>
        </w:rPr>
        <w:t xml:space="preserve">Fecal microbiota transplantation. </w:t>
      </w:r>
      <w:r>
        <w:rPr>
          <w:rFonts w:ascii="Arial" w:cs="Arial" w:eastAsia="Arial" w:hAnsi="Arial"/>
          <w:sz w:val="16"/>
          <w:szCs w:val="16"/>
          <w:color w:val="auto"/>
        </w:rPr>
        <w:t>FMT, also known as a stool transplantation, is a procedure during which donated stool, including fecal</w:t>
      </w:r>
      <w:r>
        <w:rPr>
          <w:rFonts w:ascii="Arial" w:cs="Arial" w:eastAsia="Arial" w:hAnsi="Arial"/>
          <w:sz w:val="16"/>
          <w:szCs w:val="16"/>
          <w:i w:val="1"/>
          <w:iCs w:val="1"/>
          <w:color w:val="auto"/>
        </w:rPr>
        <w:t xml:space="preserve"> </w:t>
      </w:r>
      <w:r>
        <w:rPr>
          <w:rFonts w:ascii="Arial" w:cs="Arial" w:eastAsia="Arial" w:hAnsi="Arial"/>
          <w:sz w:val="16"/>
          <w:szCs w:val="16"/>
          <w:color w:val="auto"/>
        </w:rPr>
        <w:t>microbes, is typically instilled via colonoscopy into a patient with CDI. We believe that the efficacy of FMT, which has resulted in cure rates for recurrent CDI of 81% in a randomized controlled study reported in 2013 in the New England Journal of Medicine, supports the role of dysbiosis as a cause of CDI recurrence. However, FMT presents several challenges for effective treatment of the disease. FMT has the potential to transmit infectious or allergenic agents between hosts, involves the transmission of potentially hundreds of unknown strains of bacteria, fungi and viruses from donor to subject, and is difficult to perform on a mass scale. Additionally, FMT is inherently non-standardized so that different desired and/or undesired material may be transmitted in any given donation. FMT is not approved by the FDA and we believe that, as currently practiced by clinical centers in the United States, it may be unable to gain such approval since the product, to our knowledge, cannot be characterized according to current regulatory requirements for identity, potency, purity and safety and has not been tested in rigorous, placebo controlled, randomized and blinded clinical studies. Commercial providers of FMT must meet FDA regulatory requirements for a biologics license and must produce FMT material using cGMP.</w:t>
      </w:r>
    </w:p>
    <w:p>
      <w:pPr>
        <w:spacing w:after="0" w:line="61" w:lineRule="exact"/>
        <w:rPr>
          <w:sz w:val="20"/>
          <w:szCs w:val="20"/>
          <w:color w:val="auto"/>
        </w:rPr>
      </w:pPr>
    </w:p>
    <w:p>
      <w:pPr>
        <w:ind w:left="520" w:right="80" w:firstLine="495"/>
        <w:spacing w:after="0" w:line="272" w:lineRule="auto"/>
        <w:rPr>
          <w:sz w:val="20"/>
          <w:szCs w:val="20"/>
          <w:color w:val="auto"/>
        </w:rPr>
      </w:pPr>
      <w:r>
        <w:rPr>
          <w:rFonts w:ascii="Arial" w:cs="Arial" w:eastAsia="Arial" w:hAnsi="Arial"/>
          <w:sz w:val="17"/>
          <w:szCs w:val="17"/>
          <w:i w:val="1"/>
          <w:iCs w:val="1"/>
          <w:color w:val="auto"/>
        </w:rPr>
        <w:t xml:space="preserve">Probiotic therapies. </w:t>
      </w:r>
      <w:r>
        <w:rPr>
          <w:rFonts w:ascii="Arial" w:cs="Arial" w:eastAsia="Arial" w:hAnsi="Arial"/>
          <w:sz w:val="17"/>
          <w:szCs w:val="17"/>
          <w:color w:val="auto"/>
        </w:rPr>
        <w:t>Probiotics represent a group of products typically available over the counter in supplements and in some foods, which</w:t>
      </w:r>
      <w:r>
        <w:rPr>
          <w:rFonts w:ascii="Arial" w:cs="Arial" w:eastAsia="Arial" w:hAnsi="Arial"/>
          <w:sz w:val="17"/>
          <w:szCs w:val="17"/>
          <w:i w:val="1"/>
          <w:iCs w:val="1"/>
          <w:color w:val="auto"/>
        </w:rPr>
        <w:t xml:space="preserve"> </w:t>
      </w:r>
      <w:r>
        <w:rPr>
          <w:rFonts w:ascii="Arial" w:cs="Arial" w:eastAsia="Arial" w:hAnsi="Arial"/>
          <w:sz w:val="17"/>
          <w:szCs w:val="17"/>
          <w:color w:val="auto"/>
        </w:rPr>
        <w:t>contain a small number of species of bacteria. However, to date there have been no clinical studies that have established the ability of probiotics to repair a dysbiosis of the microbiome. Further, there is neither a legally recognized definition of, nor a standard of identity for, the term probiotic in the United States or Europe. The European Food Safety Authority has rejected many of the claims of health benefits associated with probiotics because the microbes had not been sufficiently characterized, the claimed effect was not considered beneficial and human studies in support of the claims had not been made available. As a result, after December 14, 2012, food and nutritional supplements companies were no longer allowed to communicate health benefits for their products on account of probiotic content in the EU.</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left="520" w:firstLine="495"/>
        <w:spacing w:after="0" w:line="259" w:lineRule="auto"/>
        <w:rPr>
          <w:sz w:val="20"/>
          <w:szCs w:val="20"/>
          <w:color w:val="auto"/>
        </w:rPr>
      </w:pPr>
      <w:r>
        <w:rPr>
          <w:rFonts w:ascii="Arial" w:cs="Arial" w:eastAsia="Arial" w:hAnsi="Arial"/>
          <w:sz w:val="18"/>
          <w:szCs w:val="18"/>
          <w:i w:val="1"/>
          <w:iCs w:val="1"/>
          <w:color w:val="auto"/>
        </w:rPr>
        <w:t xml:space="preserve">Antibodies. </w:t>
      </w:r>
      <w:r>
        <w:rPr>
          <w:rFonts w:ascii="Arial" w:cs="Arial" w:eastAsia="Arial" w:hAnsi="Arial"/>
          <w:sz w:val="18"/>
          <w:szCs w:val="18"/>
          <w:color w:val="auto"/>
        </w:rPr>
        <w:t>Bezlotoxumab a fully human monoclonal antibody directed against</w:t>
      </w:r>
      <w:r>
        <w:rPr>
          <w:rFonts w:ascii="Arial" w:cs="Arial" w:eastAsia="Arial" w:hAnsi="Arial"/>
          <w:sz w:val="18"/>
          <w:szCs w:val="18"/>
          <w:i w:val="1"/>
          <w:iCs w:val="1"/>
          <w:color w:val="auto"/>
        </w:rPr>
        <w:t xml:space="preserve"> C. difficile </w:t>
      </w:r>
      <w:r>
        <w:rPr>
          <w:rFonts w:ascii="Arial" w:cs="Arial" w:eastAsia="Arial" w:hAnsi="Arial"/>
          <w:sz w:val="18"/>
          <w:szCs w:val="18"/>
          <w:color w:val="auto"/>
        </w:rPr>
        <w:t>toxin B was approved in the United States in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in Europe in 2017 for the treatment of CDI. The antibody demonstrated 10% absolute risk reduction in preventing recurrence of CDI. Antibodies bind toxins to alleviate the symptoms of CDI, but they do not address the underlying dysbiosis of the microbiome, which we believe is the cause of recurrent CDI. Bezlotoxumab requires intravenous infusion.</w:t>
      </w:r>
    </w:p>
    <w:p>
      <w:pPr>
        <w:spacing w:after="0" w:line="79" w:lineRule="exact"/>
        <w:rPr>
          <w:sz w:val="20"/>
          <w:szCs w:val="20"/>
          <w:color w:val="auto"/>
        </w:rPr>
      </w:pPr>
    </w:p>
    <w:p>
      <w:pPr>
        <w:ind w:left="520" w:right="100" w:firstLine="495"/>
        <w:spacing w:after="0" w:line="264" w:lineRule="auto"/>
        <w:rPr>
          <w:sz w:val="20"/>
          <w:szCs w:val="20"/>
          <w:color w:val="auto"/>
        </w:rPr>
      </w:pPr>
      <w:r>
        <w:rPr>
          <w:rFonts w:ascii="Arial" w:cs="Arial" w:eastAsia="Arial" w:hAnsi="Arial"/>
          <w:sz w:val="18"/>
          <w:szCs w:val="18"/>
          <w:i w:val="1"/>
          <w:iCs w:val="1"/>
          <w:color w:val="auto"/>
        </w:rPr>
        <w:t xml:space="preserve">Vaccines. </w:t>
      </w:r>
      <w:r>
        <w:rPr>
          <w:rFonts w:ascii="Arial" w:cs="Arial" w:eastAsia="Arial" w:hAnsi="Arial"/>
          <w:sz w:val="18"/>
          <w:szCs w:val="18"/>
          <w:color w:val="auto"/>
        </w:rPr>
        <w:t>The efficacy of vaccines in treating CDI in humans currently remains under investigation. In addition, it is difficult to define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 target population for a CDI vaccine, given that the at-risk patient population is largely elderly individuals who typically respond less robustly to vaccination therapies.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SER-109</w:t>
      </w:r>
    </w:p>
    <w:p>
      <w:pPr>
        <w:spacing w:after="0" w:line="11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SER-109 is an investigational, donor-derived ecology of bacteria in spore form purified from fecal donations obtained from healthy screened donors. SER-109 consists of an average of approximately 50 bacterial species and is designed to reduce recurrences of CDI in patients suffering from recurrent CDI by restoring a dysbiotic microbiome to a state of health. In our open label Phase 1b/2 clinical study of SER-109, we evaluated the effect of treatment with SER-109 in patients with three or more occurrences of CDI in a 12-month period. Of the 30 patients enrolled in the trial, 87% of patients (26 of 30) met the predefined endpoint and 97% (29 of 30), achieved a clinical cure, which we defined as the absence of CDI requiring antibiotic treatment during the eight-week period after SER-109 dosing. A subsequent randomized, double-blind, placebo-controlled Phase 2 clinical study was conducted in 89 subjects to evaluate the safety, tolerability and efficacy of SER-109 in adults with recurrent CDI. In that study, 44% of subjects (26 out of 59) who received SER-109 experienced a recurrence at the 8-week endpoint compared to 53% of subjects (16 out of 30) who received placebo, a result that did not show a statistically significant difference between the two treatment arms. SER-109 was generally safe and well tolerated in both the Phase 1b/2 and Phase 2 clinical studies. In each study we also performed an analysis of the microbiome using next-generation sequencing technology and microbiological analysis. These studies demonstrated a re-establishment of keystone organisms and a rapid increase in bacterial diversity, which enable the restoration of the microbiome to a healthy state.</w:t>
      </w:r>
    </w:p>
    <w:p>
      <w:pPr>
        <w:spacing w:after="0" w:line="20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 xml:space="preserve">SER-109 is formulated as oral capsules for administration after completion of antibiotics. Four capsules of SER-109 is comprised of about 30 million SCFU that are delivered in four oral capsules. The spores in SER-109 are intended to germinate in the GI tract and compete for the same nutrients required by </w:t>
      </w:r>
      <w:r>
        <w:rPr>
          <w:rFonts w:ascii="Arial" w:cs="Arial" w:eastAsia="Arial" w:hAnsi="Arial"/>
          <w:sz w:val="18"/>
          <w:szCs w:val="18"/>
          <w:i w:val="1"/>
          <w:iCs w:val="1"/>
          <w:color w:val="auto"/>
        </w:rPr>
        <w:t>C. difficile</w:t>
      </w:r>
      <w:r>
        <w:rPr>
          <w:rFonts w:ascii="Arial" w:cs="Arial" w:eastAsia="Arial" w:hAnsi="Arial"/>
          <w:sz w:val="18"/>
          <w:szCs w:val="18"/>
          <w:color w:val="auto"/>
        </w:rPr>
        <w:t>.</w:t>
      </w:r>
    </w:p>
    <w:p>
      <w:pPr>
        <w:spacing w:after="0" w:line="289" w:lineRule="exact"/>
        <w:rPr>
          <w:sz w:val="20"/>
          <w:szCs w:val="20"/>
          <w:color w:val="auto"/>
        </w:rPr>
      </w:pPr>
    </w:p>
    <w:p>
      <w:pPr>
        <w:ind w:left="520" w:right="160" w:firstLine="495"/>
        <w:spacing w:after="0" w:line="302" w:lineRule="auto"/>
        <w:rPr>
          <w:sz w:val="20"/>
          <w:szCs w:val="20"/>
          <w:color w:val="auto"/>
        </w:rPr>
      </w:pPr>
      <w:r>
        <w:rPr>
          <w:rFonts w:ascii="Arial" w:cs="Arial" w:eastAsia="Arial" w:hAnsi="Arial"/>
          <w:sz w:val="16"/>
          <w:szCs w:val="16"/>
          <w:i w:val="1"/>
          <w:iCs w:val="1"/>
          <w:color w:val="auto"/>
        </w:rPr>
        <w:t xml:space="preserve">Phase 1b/2 clinical study design. </w:t>
      </w:r>
      <w:r>
        <w:rPr>
          <w:rFonts w:ascii="Arial" w:cs="Arial" w:eastAsia="Arial" w:hAnsi="Arial"/>
          <w:sz w:val="16"/>
          <w:szCs w:val="16"/>
          <w:color w:val="auto"/>
        </w:rPr>
        <w:t>The Phase 1b/2 clinical study was a two-part trial designed to evaluate the safety and efficacy of SER-109 in</w:t>
      </w:r>
      <w:r>
        <w:rPr>
          <w:rFonts w:ascii="Arial" w:cs="Arial" w:eastAsia="Arial" w:hAnsi="Arial"/>
          <w:sz w:val="16"/>
          <w:szCs w:val="16"/>
          <w:i w:val="1"/>
          <w:iCs w:val="1"/>
          <w:color w:val="auto"/>
        </w:rPr>
        <w:t xml:space="preserve"> </w:t>
      </w:r>
      <w:r>
        <w:rPr>
          <w:rFonts w:ascii="Arial" w:cs="Arial" w:eastAsia="Arial" w:hAnsi="Arial"/>
          <w:sz w:val="16"/>
          <w:szCs w:val="16"/>
          <w:color w:val="auto"/>
        </w:rPr>
        <w:t>30 patients with recurrent CDI. Part 1 of the study evaluated a single dose of SER-109 administered orally in 30 capsules over two days, with a dose that varied between 3 x 10</w:t>
      </w:r>
      <w:r>
        <w:rPr>
          <w:rFonts w:ascii="Arial" w:cs="Arial" w:eastAsia="Arial" w:hAnsi="Arial"/>
          <w:sz w:val="13"/>
          <w:szCs w:val="13"/>
          <w:color w:val="auto"/>
        </w:rPr>
        <w:t>7</w:t>
      </w:r>
      <w:r>
        <w:rPr>
          <w:rFonts w:ascii="Arial" w:cs="Arial" w:eastAsia="Arial" w:hAnsi="Arial"/>
          <w:sz w:val="16"/>
          <w:szCs w:val="16"/>
          <w:color w:val="auto"/>
        </w:rPr>
        <w:t xml:space="preserve"> and 2 x 10</w:t>
      </w:r>
      <w:r>
        <w:rPr>
          <w:rFonts w:ascii="Arial" w:cs="Arial" w:eastAsia="Arial" w:hAnsi="Arial"/>
          <w:sz w:val="13"/>
          <w:szCs w:val="13"/>
          <w:color w:val="auto"/>
        </w:rPr>
        <w:t>10</w:t>
      </w:r>
      <w:r>
        <w:rPr>
          <w:rFonts w:ascii="Arial" w:cs="Arial" w:eastAsia="Arial" w:hAnsi="Arial"/>
          <w:sz w:val="16"/>
          <w:szCs w:val="16"/>
          <w:color w:val="auto"/>
        </w:rPr>
        <w:t>. Part 2 of the study evaluated a single dose of SER-109 administered orally in a range of one to 7 capsules over one day. The target dose in Part 2 was 1x10</w:t>
      </w:r>
      <w:r>
        <w:rPr>
          <w:rFonts w:ascii="Arial" w:cs="Arial" w:eastAsia="Arial" w:hAnsi="Arial"/>
          <w:sz w:val="13"/>
          <w:szCs w:val="13"/>
          <w:color w:val="auto"/>
        </w:rPr>
        <w:t>8</w:t>
      </w:r>
      <w:r>
        <w:rPr>
          <w:rFonts w:ascii="Arial" w:cs="Arial" w:eastAsia="Arial" w:hAnsi="Arial"/>
          <w:sz w:val="16"/>
          <w:szCs w:val="16"/>
          <w:color w:val="auto"/>
        </w:rPr>
        <w:t xml:space="preserve"> spores per dose, which was approximately 17-fold lower than the mean dose in Part 1.</w:t>
      </w:r>
    </w:p>
    <w:p>
      <w:pPr>
        <w:spacing w:after="0" w:line="154" w:lineRule="exact"/>
        <w:rPr>
          <w:sz w:val="20"/>
          <w:szCs w:val="20"/>
          <w:color w:val="auto"/>
        </w:rPr>
      </w:pPr>
    </w:p>
    <w:p>
      <w:pPr>
        <w:ind w:left="520" w:right="40" w:firstLine="495"/>
        <w:spacing w:after="0" w:line="287" w:lineRule="auto"/>
        <w:rPr>
          <w:sz w:val="20"/>
          <w:szCs w:val="20"/>
          <w:color w:val="auto"/>
        </w:rPr>
      </w:pPr>
      <w:r>
        <w:rPr>
          <w:rFonts w:ascii="Arial" w:cs="Arial" w:eastAsia="Arial" w:hAnsi="Arial"/>
          <w:sz w:val="16"/>
          <w:szCs w:val="16"/>
          <w:i w:val="1"/>
          <w:iCs w:val="1"/>
          <w:color w:val="auto"/>
        </w:rPr>
        <w:t xml:space="preserve">Phase 1b/2 clinical study results. </w:t>
      </w:r>
      <w:r>
        <w:rPr>
          <w:rFonts w:ascii="Arial" w:cs="Arial" w:eastAsia="Arial" w:hAnsi="Arial"/>
          <w:sz w:val="16"/>
          <w:szCs w:val="16"/>
          <w:color w:val="auto"/>
        </w:rPr>
        <w:t>The primary efficacy measure was the absence of CDI (defined in this study as more than three unformed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bowel movements in a 24-hour period with laboratory confirmation of a positive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stool test) during the eight weeks after initiating therapy. Twenty-six of 30 patients, or 87% of patients, in the Phase 1b/2 clinical study achieved the primary efficacy endpoint, consisting of 13 patients in each of Part 1 and Part 2 of the study. Among the 26 patients was one patient who experienced an initial recurrence on Day 26 and was re-treated, per protocol, with a dose from the same donor. Following re-treatment, this patient also achieved the primary efficacy endpoint. Of the patients who did not meet the primary efficacy endpoint, one had a recurrence of CDI on Day 5 and did not receive a second treatment with SER-109 and the three other patients were determined by their attending investigator to be recovering from their diarrheal episode by the time they submitted their stool sample for CDI testing. The three patients were determined to be clinically CDI free at eight weeks. As a result, the clinical cure rate for the study, which we defined as the absence of CDI requiring antibiotic treatment during the eight-week period after SER-109 dosing, was 97%, or 29 of 30 patients. SER-109 was observed to be well tolerated in this study. The most common AEs were diarrhea, nausea, and abdominal pain. The majority of TEAEs were mild in severity and consistent with post-antibiotic recovery from CDI.</w:t>
      </w:r>
    </w:p>
    <w:p>
      <w:pPr>
        <w:spacing w:after="0" w:line="173" w:lineRule="exact"/>
        <w:rPr>
          <w:sz w:val="20"/>
          <w:szCs w:val="20"/>
          <w:color w:val="auto"/>
        </w:rPr>
      </w:pPr>
    </w:p>
    <w:p>
      <w:pPr>
        <w:ind w:left="520" w:right="100" w:firstLine="495"/>
        <w:spacing w:after="0" w:line="255" w:lineRule="auto"/>
        <w:rPr>
          <w:sz w:val="20"/>
          <w:szCs w:val="20"/>
          <w:color w:val="auto"/>
        </w:rPr>
      </w:pPr>
      <w:r>
        <w:rPr>
          <w:rFonts w:ascii="Arial" w:cs="Arial" w:eastAsia="Arial" w:hAnsi="Arial"/>
          <w:sz w:val="18"/>
          <w:szCs w:val="18"/>
          <w:i w:val="1"/>
          <w:iCs w:val="1"/>
          <w:color w:val="auto"/>
        </w:rPr>
        <w:t xml:space="preserve">Phase 2 clinical study design. </w:t>
      </w:r>
      <w:r>
        <w:rPr>
          <w:rFonts w:ascii="Arial" w:cs="Arial" w:eastAsia="Arial" w:hAnsi="Arial"/>
          <w:sz w:val="18"/>
          <w:szCs w:val="18"/>
          <w:color w:val="auto"/>
        </w:rPr>
        <w:t>The Phase 2 clinical study was a randomized, double-blinded, placebo-controlled, parallel-group two arm trial</w:t>
      </w:r>
      <w:r>
        <w:rPr>
          <w:rFonts w:ascii="Arial" w:cs="Arial" w:eastAsia="Arial" w:hAnsi="Arial"/>
          <w:sz w:val="18"/>
          <w:szCs w:val="18"/>
          <w:i w:val="1"/>
          <w:iCs w:val="1"/>
          <w:color w:val="auto"/>
        </w:rPr>
        <w:t xml:space="preserve"> </w:t>
      </w:r>
      <w:r>
        <w:rPr>
          <w:rFonts w:ascii="Arial" w:cs="Arial" w:eastAsia="Arial" w:hAnsi="Arial"/>
          <w:sz w:val="18"/>
          <w:szCs w:val="18"/>
          <w:color w:val="auto"/>
        </w:rPr>
        <w:t>that enrolled a total of 89 patients with a history of multiply-recurrent CDI, defined as 3 or more CDI episodes within 9 months. Subjects were randomized at a 2:1 ratio with 59 subjects receiving SER-109 and 30 subjects receiving placebo. SER-109 was administered orally as a single dose of 1x10</w:t>
      </w:r>
      <w:r>
        <w:rPr>
          <w:rFonts w:ascii="Arial" w:cs="Arial" w:eastAsia="Arial" w:hAnsi="Arial"/>
          <w:sz w:val="15"/>
          <w:szCs w:val="15"/>
          <w:color w:val="auto"/>
        </w:rPr>
        <w:t>8</w:t>
      </w:r>
      <w:r>
        <w:rPr>
          <w:rFonts w:ascii="Arial" w:cs="Arial" w:eastAsia="Arial" w:hAnsi="Arial"/>
          <w:sz w:val="18"/>
          <w:szCs w:val="18"/>
          <w:color w:val="auto"/>
        </w:rPr>
        <w:t xml:space="preserve"> bacterial spores, following the completion of antibiotic treatment for CDI. The study was conducted at 36 centers across the United States. The primary endpoint was the absence of recurrence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positive diarrhea requiring antibiotic treatment up to 8 weeks following treatment with SER-109 or placebo.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ind w:right="120" w:firstLine="495"/>
        <w:spacing w:after="0" w:line="257" w:lineRule="auto"/>
        <w:rPr>
          <w:sz w:val="20"/>
          <w:szCs w:val="20"/>
          <w:color w:val="auto"/>
        </w:rPr>
      </w:pPr>
      <w:r>
        <w:rPr>
          <w:rFonts w:ascii="Arial" w:cs="Arial" w:eastAsia="Arial" w:hAnsi="Arial"/>
          <w:sz w:val="18"/>
          <w:szCs w:val="18"/>
          <w:i w:val="1"/>
          <w:iCs w:val="1"/>
          <w:color w:val="auto"/>
        </w:rPr>
        <w:t xml:space="preserve">Phase 2 clinical study results. </w:t>
      </w:r>
      <w:r>
        <w:rPr>
          <w:rFonts w:ascii="Arial" w:cs="Arial" w:eastAsia="Arial" w:hAnsi="Arial"/>
          <w:sz w:val="18"/>
          <w:szCs w:val="18"/>
          <w:color w:val="auto"/>
        </w:rPr>
        <w:t>The predefined study primary efficacy endpoint was the relative risk of CDI recurrence up to 8 weeks after</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with SER-109 compared to treatment with placebo. CDI recurrence was defined as diarrhea for 2 or more consecutive days, a positive CDI test, and the requirement for antibiotic treatment. Based on 8-week data, CDI recurrence occurred in 44% of subjects (26 of 59) who received SER-109, compared to 53% of subjects (16 of 30) who received placebo. The relative risk of CDI recurrence for the placebo population compared to the SER-109 population was not statistically significant.</w:t>
      </w:r>
    </w:p>
    <w:p>
      <w:pPr>
        <w:spacing w:after="0" w:line="188" w:lineRule="exact"/>
        <w:rPr>
          <w:sz w:val="20"/>
          <w:szCs w:val="20"/>
          <w:color w:val="auto"/>
        </w:rPr>
      </w:pPr>
    </w:p>
    <w:p>
      <w:pPr>
        <w:ind w:right="20" w:firstLine="495"/>
        <w:spacing w:after="0" w:line="289" w:lineRule="auto"/>
        <w:rPr>
          <w:sz w:val="20"/>
          <w:szCs w:val="20"/>
          <w:color w:val="auto"/>
        </w:rPr>
      </w:pPr>
      <w:r>
        <w:rPr>
          <w:rFonts w:ascii="Arial" w:cs="Arial" w:eastAsia="Arial" w:hAnsi="Arial"/>
          <w:sz w:val="16"/>
          <w:szCs w:val="16"/>
          <w:color w:val="auto"/>
        </w:rPr>
        <w:t xml:space="preserve">The most commonly reported AEs in both the SER-109 and placebo arms were in the GI category, and were diarrhea (25% vs 14%), abdominal pain (22% vs 14%), flatulence (12% vs 3%), and nausea (10% vs 10%), for SER-109 and placebo, respectively. No drug-related SAEs were observed. The SER-109 analyses were shared with the FDA. Based on feedback received from the FDA, a new Phase 3 SER-109 clinical study in approximately 320 patients with multiply recurrent CDI was initiated. Study participants are randomized 1:1 between SER-109 and placebo and receive a total dose that is approximately 10-fold higher than in the Phase 2 study, administered over three consecutive days. Diagnosis of CDI for both study entry and for endpoint analysis is confirmed by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cytotoxin assay, compared to the first Phase 2, where most patients were diagnosed by polymerase chain reaction, or PCR. The primary endpoint will compare the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recurrence rate in subjects who receive SER-109 verses placebo at up to eight weeks after dosing. The FDA has agreed that this new trial may qualify as a pivotal study with achievement of a persuasive clinical effect and addressing FDA requirements, including clinical and statistical factors, an adequately sized safety database, and certain CMC parameters.</w:t>
      </w:r>
    </w:p>
    <w:p>
      <w:pPr>
        <w:spacing w:after="0" w:line="167" w:lineRule="exact"/>
        <w:rPr>
          <w:sz w:val="20"/>
          <w:szCs w:val="20"/>
          <w:color w:val="auto"/>
        </w:rPr>
      </w:pPr>
    </w:p>
    <w:p>
      <w:pPr>
        <w:ind w:firstLine="495"/>
        <w:spacing w:after="0" w:line="253" w:lineRule="auto"/>
        <w:rPr>
          <w:sz w:val="20"/>
          <w:szCs w:val="20"/>
          <w:color w:val="auto"/>
        </w:rPr>
      </w:pPr>
      <w:r>
        <w:rPr>
          <w:rFonts w:ascii="Arial" w:cs="Arial" w:eastAsia="Arial" w:hAnsi="Arial"/>
          <w:sz w:val="18"/>
          <w:szCs w:val="18"/>
          <w:i w:val="1"/>
          <w:iCs w:val="1"/>
          <w:color w:val="auto"/>
        </w:rPr>
        <w:t xml:space="preserve">Analysis of Phase 1b/2 and Phase 2 clinical study results. </w:t>
      </w:r>
      <w:r>
        <w:rPr>
          <w:rFonts w:ascii="Arial" w:cs="Arial" w:eastAsia="Arial" w:hAnsi="Arial"/>
          <w:sz w:val="18"/>
          <w:szCs w:val="18"/>
          <w:color w:val="auto"/>
        </w:rPr>
        <w:t>In our Phase 2 clinical study, the study’s primary endpoint of reducing the relative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risk of CDI recurrence at up to 8 weeks after treatment was not achieved. In order to understand the difference in outcome between Phase 1b/2 and Phase 2 clinical studies, we conducted an analysis of the available clinical, microbiome and CMC data. This root-cause investigation looked at the clinical trial population, study conduct, and diagnostic testing used for study inclusion and endpoint analysis, assessed clinical specimens for genomic and metabolomic biomarkers that might give insight into SER-109 efficacy and potency, reviewed manufacturing procedures and processes, performed retrospective analysis using high-resolution whole metagenomics sequencing of Phase 1b/2 clinical study stool samples, and reviewed analytical methods, that may have differed between the Phase 1b/2 and Phase 2 clinical studies. We identified key factors that potentially explain the Phase 2 clinical study results, including issues related to both the accurate diagnosis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recurrent infection, and potential suboptimal dosing of subjects in the trial.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key factors include:</w:t>
      </w:r>
    </w:p>
    <w:p>
      <w:pPr>
        <w:spacing w:after="0" w:line="117" w:lineRule="exact"/>
        <w:rPr>
          <w:sz w:val="20"/>
          <w:szCs w:val="20"/>
          <w:color w:val="auto"/>
        </w:rPr>
      </w:pPr>
    </w:p>
    <w:p>
      <w:pPr>
        <w:ind w:left="520" w:right="40" w:hanging="519"/>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diagnostic test for entry may not have differentiated subjects with active CDI disease from those with other disease but who had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carriage (e.g., irritable bowel syndrome)</w:t>
      </w:r>
    </w:p>
    <w:p>
      <w:pPr>
        <w:spacing w:after="0" w:line="62" w:lineRule="exact"/>
        <w:rPr>
          <w:rFonts w:ascii="Arial" w:cs="Arial" w:eastAsia="Arial" w:hAnsi="Arial"/>
          <w:sz w:val="18"/>
          <w:szCs w:val="18"/>
          <w:color w:val="auto"/>
        </w:rPr>
      </w:pPr>
    </w:p>
    <w:p>
      <w:pPr>
        <w:ind w:left="520" w:right="220" w:hanging="519"/>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diagnostic test for CDI recurrence during the study (the primary endpoint) overestimated recurrences, as PCR was the most common test performed.</w:t>
      </w:r>
    </w:p>
    <w:p>
      <w:pPr>
        <w:spacing w:after="0" w:line="62" w:lineRule="exact"/>
        <w:rPr>
          <w:rFonts w:ascii="Arial" w:cs="Arial" w:eastAsia="Arial" w:hAnsi="Arial"/>
          <w:sz w:val="18"/>
          <w:szCs w:val="18"/>
          <w:color w:val="auto"/>
        </w:rPr>
      </w:pPr>
    </w:p>
    <w:p>
      <w:pPr>
        <w:ind w:left="520" w:right="520" w:hanging="519"/>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difference in recurrence rates by age in the placebo arm was confounded by the small number of placebo subjects (30) and the likely inclusion of subjects with irritable bowel syndrome rather than recurrent CDI, or RCDI</w:t>
      </w:r>
    </w:p>
    <w:p>
      <w:pPr>
        <w:spacing w:after="0" w:line="62" w:lineRule="exact"/>
        <w:rPr>
          <w:rFonts w:ascii="Arial" w:cs="Arial" w:eastAsia="Arial" w:hAnsi="Arial"/>
          <w:sz w:val="18"/>
          <w:szCs w:val="18"/>
          <w:color w:val="auto"/>
        </w:rPr>
      </w:pPr>
    </w:p>
    <w:p>
      <w:pPr>
        <w:ind w:left="520" w:right="760" w:hanging="519"/>
        <w:spacing w:after="0" w:line="342"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safety profile of SER-109, which may include diarrhea in the first week following dosing, led to SER-109 subjects presenting for evaluation of recurrence at a time when they were likely to be colonized with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leading to mistaken diagnosis of RCDI</w:t>
      </w:r>
    </w:p>
    <w:p>
      <w:pPr>
        <w:spacing w:after="0" w:line="15" w:lineRule="exact"/>
        <w:rPr>
          <w:rFonts w:ascii="Arial" w:cs="Arial" w:eastAsia="Arial" w:hAnsi="Arial"/>
          <w:sz w:val="16"/>
          <w:szCs w:val="16"/>
          <w:color w:val="auto"/>
        </w:rPr>
      </w:pPr>
    </w:p>
    <w:p>
      <w:pPr>
        <w:ind w:left="520" w:right="580" w:hanging="519"/>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dose and dosing regimen used in the study may not have been optimal in the Phase 2 clinical study based upon an assessment of the microbiome response using whole metagenomics shotgun sequencing.</w:t>
      </w:r>
    </w:p>
    <w:p>
      <w:pPr>
        <w:spacing w:after="0" w:line="184" w:lineRule="exact"/>
        <w:rPr>
          <w:sz w:val="20"/>
          <w:szCs w:val="20"/>
          <w:color w:val="auto"/>
        </w:rPr>
      </w:pPr>
    </w:p>
    <w:p>
      <w:pPr>
        <w:ind w:right="40" w:firstLine="727"/>
        <w:spacing w:after="0" w:line="271" w:lineRule="auto"/>
        <w:rPr>
          <w:sz w:val="20"/>
          <w:szCs w:val="20"/>
          <w:color w:val="auto"/>
        </w:rPr>
      </w:pPr>
      <w:r>
        <w:rPr>
          <w:rFonts w:ascii="Arial" w:cs="Arial" w:eastAsia="Arial" w:hAnsi="Arial"/>
          <w:sz w:val="17"/>
          <w:szCs w:val="17"/>
          <w:color w:val="auto"/>
        </w:rPr>
        <w:t>We performed an analysis of the microbiome of our Phase 2 clinical study and a reanalysis of our Phase 1b/2 clinical study using whole metagenomics shotgun sequencing and microbiological analysis to evaluate long-term changes in the microbiome, including the restoration of bacterial diversity in the colon of patients. This demonstrated a rapid increase in bacterial diversity and a restructuring of the microbiome towards a healthy state. Upon introduction, SER-109 appears to engraft its bacterial species into the microbiome, with some of these species persisting in the patient’s GI tract for at least 24 weeks after dosing. In addition, in some patients we noted the repopulation of organisms that were not in SER-109 and had not been detected in the patient prior to treatment. We believe this phenomenon, which we refer to as augmentation, is an important element for restoration of bacterial diversity and repair of dysbiosis. We did not observe any dose-dependent effect on engraftment, augmentation, or the clinical resolution of CDI in the Phase 1b/2 clinical study.</w:t>
      </w:r>
    </w:p>
    <w:p>
      <w:pPr>
        <w:spacing w:after="0" w:line="1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341" w:right="239" w:bottom="1440" w:gutter="0" w:footer="0" w:header="0"/>
        </w:sectPr>
      </w:pPr>
    </w:p>
    <w:bookmarkStart w:id="18" w:name="page19"/>
    <w:bookmarkEnd w:id="18"/>
    <w:p>
      <w:pPr>
        <w:ind w:left="520" w:right="120" w:firstLine="495"/>
        <w:spacing w:after="0" w:line="271" w:lineRule="auto"/>
        <w:rPr>
          <w:sz w:val="20"/>
          <w:szCs w:val="20"/>
          <w:color w:val="auto"/>
        </w:rPr>
      </w:pPr>
      <w:r>
        <w:rPr>
          <w:rFonts w:ascii="Arial" w:cs="Arial" w:eastAsia="Arial" w:hAnsi="Arial"/>
          <w:sz w:val="17"/>
          <w:szCs w:val="17"/>
          <w:i w:val="1"/>
          <w:iCs w:val="1"/>
          <w:color w:val="auto"/>
        </w:rPr>
        <w:t xml:space="preserve">Phase 3 clinical study design. </w:t>
      </w:r>
      <w:r>
        <w:rPr>
          <w:rFonts w:ascii="Arial" w:cs="Arial" w:eastAsia="Arial" w:hAnsi="Arial"/>
          <w:sz w:val="17"/>
          <w:szCs w:val="17"/>
          <w:color w:val="auto"/>
        </w:rPr>
        <w:t>In June 2017 we initiated a Phase 3 clinical study of SER-109 in approximately 320 patients with multiply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recurrent CDI. Study participants are being randomized 1:1 between SER-109 and placebo. Diagnosis of CDI for both study entry and for endpoint analysis utilizes a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cytotoxin assay, compared to the Phase 2 clinical study, where most patients were diagnosed by PCR. Patients in the SER-109 arm receive a total SER-109 dose, administered over three days, approximately 10-fold higher than the dose used in the Phase 2 clinical study. The study evaluates patients for 24 weeks and the primary endpoint is to compare the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recurrence rate in subjects who receive SER-109 verses placebo at up to eight weeks after dosing. CDI recurrence is defined as diarrhea (&gt;3 unformed bowel movements/day for 2 or more consecutive days), a positive CDI toxin test, and the decision by the primary investigator that antibiotic treatment is warranted. The study is being conducted at approximately 100 sites in the United States and Canada.</w:t>
      </w:r>
    </w:p>
    <w:p>
      <w:pPr>
        <w:spacing w:after="0" w:line="179" w:lineRule="exact"/>
        <w:rPr>
          <w:sz w:val="20"/>
          <w:szCs w:val="20"/>
          <w:color w:val="auto"/>
        </w:rPr>
      </w:pPr>
    </w:p>
    <w:p>
      <w:pPr>
        <w:ind w:left="520" w:right="40" w:firstLine="495"/>
        <w:spacing w:after="0" w:line="264"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SER-109 is a purified ecology of spores produced through a process of extraction from a natural human stool source,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from qualified, highly screened donors. The donor raw material is collected in a controlled setting, under a protocol that ensures that donors meet appropriate qualification criteria.</w:t>
      </w:r>
    </w:p>
    <w:p>
      <w:pPr>
        <w:spacing w:after="0" w:line="181" w:lineRule="exact"/>
        <w:rPr>
          <w:sz w:val="20"/>
          <w:szCs w:val="20"/>
          <w:color w:val="auto"/>
        </w:rPr>
      </w:pPr>
    </w:p>
    <w:p>
      <w:pPr>
        <w:ind w:left="520" w:firstLine="495"/>
        <w:spacing w:after="0" w:line="279" w:lineRule="auto"/>
        <w:rPr>
          <w:sz w:val="20"/>
          <w:szCs w:val="20"/>
          <w:color w:val="auto"/>
        </w:rPr>
      </w:pPr>
      <w:r>
        <w:rPr>
          <w:rFonts w:ascii="Arial" w:cs="Arial" w:eastAsia="Arial" w:hAnsi="Arial"/>
          <w:sz w:val="17"/>
          <w:szCs w:val="17"/>
          <w:color w:val="auto"/>
        </w:rPr>
        <w:t>Donors are required to be in good health, and to possess a medical history that minimizes the risk of exposure to and transmission of an infectious disease. Donors are tested for infectious agents and screened for GI and other health factors. Donors are monitored for health status changes during the donation period. At the end of the donation period, the qualification assessment is repeated to help ensure the donor has maintained their health status. After successful completion of an exit screening, donations are released for use in manufacturing.</w:t>
      </w:r>
    </w:p>
    <w:p>
      <w:pPr>
        <w:spacing w:after="0" w:line="171" w:lineRule="exact"/>
        <w:rPr>
          <w:sz w:val="20"/>
          <w:szCs w:val="20"/>
          <w:color w:val="auto"/>
        </w:rPr>
      </w:pPr>
    </w:p>
    <w:p>
      <w:pPr>
        <w:ind w:left="520" w:right="20" w:firstLine="495"/>
        <w:spacing w:after="0" w:line="255" w:lineRule="auto"/>
        <w:rPr>
          <w:sz w:val="20"/>
          <w:szCs w:val="20"/>
          <w:color w:val="auto"/>
        </w:rPr>
      </w:pPr>
      <w:r>
        <w:rPr>
          <w:rFonts w:ascii="Arial" w:cs="Arial" w:eastAsia="Arial" w:hAnsi="Arial"/>
          <w:sz w:val="18"/>
          <w:szCs w:val="18"/>
          <w:color w:val="auto"/>
        </w:rPr>
        <w:t>We initially process the donor material in a Cambridge manufacturing facility, and then transfer the process intermediate to a contract manufacturing organization, or CMO, to isolate and concentrate SER-109 for finishing to the oral capsule dosage form. The purified drug substance is tested for identity, potency and purity, and subsequently formulated into drug product where it is again tested for identity, potency, purity, and pharmaceutical properties in our Cambridge facility. The final drug product dosage form is four hard capsules for oral administration. Steps are specifically built into the process to remove and kill non-spore microbes. We have conducted validation studies demonstrating the ability of the process to inactivate and clear hypothetical extraneous pathogens of concern, and we believe we have sufficient data from these studies to support ongoing and proposed clinical trials.</w:t>
      </w:r>
    </w:p>
    <w:p>
      <w:pPr>
        <w:spacing w:after="0" w:line="189" w:lineRule="exact"/>
        <w:rPr>
          <w:sz w:val="20"/>
          <w:szCs w:val="20"/>
          <w:color w:val="auto"/>
        </w:rPr>
      </w:pPr>
    </w:p>
    <w:p>
      <w:pPr>
        <w:ind w:left="520" w:right="40" w:firstLine="495"/>
        <w:spacing w:after="0" w:line="257" w:lineRule="auto"/>
        <w:rPr>
          <w:sz w:val="20"/>
          <w:szCs w:val="20"/>
          <w:color w:val="auto"/>
        </w:rPr>
      </w:pPr>
      <w:r>
        <w:rPr>
          <w:rFonts w:ascii="Arial" w:cs="Arial" w:eastAsia="Arial" w:hAnsi="Arial"/>
          <w:sz w:val="18"/>
          <w:szCs w:val="18"/>
          <w:color w:val="auto"/>
        </w:rPr>
        <w:t>Raw materials, intermediates, drug substance and drug product are tested using cGMP assays developed with our know-how to assess the key quality attributes of identity, potency and purity of the product. Identity testing has been developed to assure the presence of specific live spore forms in the product. Potency assays assure the intended dose of spores and assess stability of the spores during storage. Stability of the dosage form is also confirmed. Proprietary microbiological purity assays have been developed to enable testing for microbial contaminants in the presence of the live spore product.</w:t>
      </w:r>
    </w:p>
    <w:p>
      <w:pPr>
        <w:spacing w:after="0" w:line="188" w:lineRule="exact"/>
        <w:rPr>
          <w:sz w:val="20"/>
          <w:szCs w:val="20"/>
          <w:color w:val="auto"/>
        </w:rPr>
      </w:pPr>
    </w:p>
    <w:p>
      <w:pPr>
        <w:ind w:left="520" w:right="80" w:firstLine="495"/>
        <w:spacing w:after="0" w:line="264" w:lineRule="auto"/>
        <w:rPr>
          <w:sz w:val="20"/>
          <w:szCs w:val="20"/>
          <w:color w:val="auto"/>
        </w:rPr>
      </w:pPr>
      <w:r>
        <w:rPr>
          <w:rFonts w:ascii="Arial" w:cs="Arial" w:eastAsia="Arial" w:hAnsi="Arial"/>
          <w:sz w:val="18"/>
          <w:szCs w:val="18"/>
          <w:color w:val="auto"/>
        </w:rPr>
        <w:t>We believe we can address market demand with a relatively small-scale manufacturing process. If approved, we anticipate that we will be able to produce a sufficient commercial supply of SER-109 to meet estimated demand in the United States using donations from a modest number of donors.</w:t>
      </w:r>
    </w:p>
    <w:p>
      <w:pPr>
        <w:spacing w:after="0" w:line="330" w:lineRule="exact"/>
        <w:rPr>
          <w:sz w:val="20"/>
          <w:szCs w:val="20"/>
          <w:color w:val="auto"/>
        </w:rPr>
      </w:pPr>
    </w:p>
    <w:p>
      <w:pPr>
        <w:jc w:val="right"/>
        <w:ind w:right="10140"/>
        <w:spacing w:after="0"/>
        <w:rPr>
          <w:sz w:val="20"/>
          <w:szCs w:val="20"/>
          <w:color w:val="auto"/>
        </w:rPr>
      </w:pPr>
      <w:r>
        <w:rPr>
          <w:rFonts w:ascii="Arial" w:cs="Arial" w:eastAsia="Arial" w:hAnsi="Arial"/>
          <w:sz w:val="16"/>
          <w:szCs w:val="16"/>
          <w:b w:val="1"/>
          <w:bCs w:val="1"/>
          <w:i w:val="1"/>
          <w:iCs w:val="1"/>
          <w:color w:val="auto"/>
        </w:rPr>
        <w:t>Other Programs</w:t>
      </w:r>
    </w:p>
    <w:p>
      <w:pPr>
        <w:spacing w:after="0" w:line="154" w:lineRule="exact"/>
        <w:rPr>
          <w:sz w:val="20"/>
          <w:szCs w:val="20"/>
          <w:color w:val="auto"/>
        </w:rPr>
      </w:pPr>
    </w:p>
    <w:p>
      <w:pPr>
        <w:jc w:val="right"/>
        <w:ind w:right="10200"/>
        <w:spacing w:after="0"/>
        <w:rPr>
          <w:sz w:val="20"/>
          <w:szCs w:val="20"/>
          <w:color w:val="auto"/>
        </w:rPr>
      </w:pPr>
      <w:r>
        <w:rPr>
          <w:rFonts w:ascii="Arial" w:cs="Arial" w:eastAsia="Arial" w:hAnsi="Arial"/>
          <w:sz w:val="18"/>
          <w:szCs w:val="18"/>
          <w:i w:val="1"/>
          <w:iCs w:val="1"/>
          <w:color w:val="auto"/>
        </w:rPr>
        <w:t>SER-401</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are also developing SER-401, for use with CPIs in patients with solid tumors to enhance efficacy and improve survival. SER-401 is a microbiome therapeutic candidate sourced from healthy individuals who have been identified to have a microbiome signature that is similar to that observed in cancer patient responders to CPIs. CPIs block the mechanisms by which cancers evade detection and destruction by the immune system. Observational studies of humans by a group led by our collaborator Dr. Jennifer Wargo of MD Anderson suggest that microbiome composition impacts response to CPIs. This has been supported by mouse model studies conducted by us and at MD Anderson that show that colonization with human responder microbes affected tumor response to CPI treatment, versus mice colonized with CPI non-responder microbes. These effects are thought to be a result of a specific microbiome ‘signature’ that is enriched with certain members of the Firmicutes phylum of bacteria. We are working in collaboration with MD Anderson and the Parker Institute to evaluate the potential of SER-401, based upon this signature, to modulate the immunological tone of subjects to improve response in patients with metastatic melanoma to CPI treatment. MD Anderson granted us an exclusive option, with pre-defined financial terms, to license intellectual property rights from them related to the use of bacteria in combination with CPIs. In collaboration with the Parker Institute and MD Anderson, we have initiated a study of SER-401 in patients with metastatic melanoma. Patients will be treated with either CPI alone, or in combination with SER-401, and observed for tumor regression and immunological markers of response to CPI.</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i w:val="1"/>
          <w:iCs w:val="1"/>
          <w:color w:val="auto"/>
        </w:rPr>
        <w:t>SER-262</w:t>
      </w:r>
    </w:p>
    <w:p>
      <w:pPr>
        <w:spacing w:after="0" w:line="13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July 2016, we initiated a SER-262 Phase 1b dose-escalating study, the first clinical trial conducted using a rationally designed, fermented ecology of bacteria. SER-262 was designed to be used following CDI antibiotic treatment to prevent an initial recurrence of CDI. We have established various capabilities to enable the development of rationally designed microbiome therapeutics including metagenomic and metabolomic profiling, use of curated reference computational databases and proprietary in silico algorithms for drug design, an extensive proprietary bacterial library, advanced manufacturing processes, and capabilities to conduct pharmacokinetics and pharmacodynamics analyses in clinical studies. SER-262 contains a consortium of 12 bacterial strains derived from a manufacturing process that utilizes in vitro fermentation and does not require human donor material.</w:t>
      </w:r>
    </w:p>
    <w:p>
      <w:pPr>
        <w:spacing w:after="0" w:line="219"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Phase 1b clinical study was a 24-week, randomized, placebo-controlled, dose-escalation trial. The primary endpoints of the study were safety and tolerability and a comparison of the CDI recurrence rate in the SER-262 and placebo groups. Key secondary endpoints included analysis of SER-262 bacterial strain engraftment. Top-line clinical and microbiome results from the study are available. No drug-related SAEs were observed. No significant differences were observed in the recurrence rates in patients administered SER-262 as compared to placebo. However, we observed a statistically significant reduction in CDI recurrence rates in patients pretreated with vancomycin followed by SER-262, as compared to those treated with metronidazole followed by SER-262. This observation corresponded with an increase in SER-262 microbiome engraftment in patients pretreated with vancomycin. Clinical data from both the SER-262 and SER-287 studies suggest that vancomycin pretreatment supports robust engraftment of our microbiome therapeutic candidates.</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SER-155</w:t>
      </w:r>
    </w:p>
    <w:p>
      <w:pPr>
        <w:spacing w:after="0" w:line="117"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We are also designing SER-155, a rationally designed product candidate to prevent infections and improve GI barrier function (including the consequences of GvHD) in patients following allo-HSCT liver transplants. This preclinical program is based on published clinical evidence from our collaborators at Memorial Sloan Kettering Cancer Center showing that allo-HSCT patients with reduced microbiome diversity are far more likely to die due to infection and/or lethal GvHD (Taur et al., Blood, 2014; Jenq et al, Biology of Blood and Marrow Transplantation, 2015). The selection of the patient population will be based on preclinical data, and the assessment of our clinical development plan, regulatory path and market opportunities. We plan to conduct studies in animal models as well as conduct further in vitro characterization of individual strains, in order to define and nominate a composition for clinical development In November 2017, we announced that we were awarded a grant from CARB-X (Combating Antibiotic-Resistant Bacteria Accelerator) to support continued preclinical research and early development work for SER-155. The CARB-X grant provides us with up to $2.5 million of research funding with potential for an additional $3.1 million for manufacture and IND upon completion of milestones.</w:t>
      </w:r>
    </w:p>
    <w:p>
      <w:pPr>
        <w:spacing w:after="0" w:line="18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continue to evaluate microbiome pharmacokinetic and pharmacodynamic data from the SER-262 Phase 1b study, in addition to insights gained from research efforts with our other rationally designed Ecobiotic microbiome therapeutic candidates, in order to determine future steps in the development of both SER-262 and SER-155.</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right="380" w:firstLine="518"/>
        <w:spacing w:after="0" w:line="264" w:lineRule="auto"/>
        <w:rPr>
          <w:sz w:val="20"/>
          <w:szCs w:val="20"/>
          <w:color w:val="auto"/>
        </w:rPr>
      </w:pPr>
      <w:r>
        <w:rPr>
          <w:rFonts w:ascii="Arial" w:cs="Arial" w:eastAsia="Arial" w:hAnsi="Arial"/>
          <w:sz w:val="18"/>
          <w:szCs w:val="18"/>
          <w:color w:val="auto"/>
        </w:rPr>
        <w:t>If SER-109 is approved in the United States and Canada, we believe it can be commercialized with a focused specialty sales force of 100 or fewer sales representatives that will target gastrointestinal and infectious disease physicians, which are the two primary groups of physicians who treat multiply recurrent CDI patients.</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January 2016, we entered into an agreement with Nestec Ltd., or NHS, for the development and commercialization outside of the United States and Canada of our product candidates in development for CDI and IBD, including UC and Crohn’s disease. The agreement will support the development of our portfolio of products for CDI and IBD in markets outside of the United States and Canada and provide financial support for our ongoing research and development.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production of live bacterial products is highly specialized. Owing to their hardiness and environmental persistence, production of spore-forming organisms poses unique considerations for product, personnel, and facility protection. Manufacturing activities with spores are subject to specialized regulations. We expect that a typical commercial fermentation will yield on the order of hundreds or thousands of doses per liter depending on the product and its composition. Additionally, because a given total dose is split between several strains, the per-strain requirements for production may be even lower. As a result, we believe the high productivity relative to the dose level will enable production scales for both clinical and commercial supply to be modest.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ind w:right="520" w:firstLine="518"/>
        <w:spacing w:after="0" w:line="264" w:lineRule="auto"/>
        <w:rPr>
          <w:sz w:val="20"/>
          <w:szCs w:val="20"/>
          <w:color w:val="auto"/>
        </w:rPr>
      </w:pPr>
      <w:r>
        <w:rPr>
          <w:rFonts w:ascii="Arial" w:cs="Arial" w:eastAsia="Arial" w:hAnsi="Arial"/>
          <w:sz w:val="18"/>
          <w:szCs w:val="18"/>
          <w:color w:val="auto"/>
        </w:rPr>
        <w:t>We have developed supply chains for producing and testing materials to ensure the availability of future clinical trial supplies. Our development processes are designed to ensure that the raw materials, process technologies and analytical tests we use are scalable and transferable to a cGMP manufacturing environment. These include the following core elements:</w:t>
      </w:r>
    </w:p>
    <w:p>
      <w:pPr>
        <w:spacing w:after="0" w:line="73" w:lineRule="exact"/>
        <w:rPr>
          <w:sz w:val="20"/>
          <w:szCs w:val="20"/>
          <w:color w:val="auto"/>
        </w:rPr>
      </w:pPr>
    </w:p>
    <w:p>
      <w:pPr>
        <w:ind w:left="1040" w:right="60" w:hanging="519"/>
        <w:spacing w:after="0" w:line="29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Fermentation. </w:t>
      </w:r>
      <w:r>
        <w:rPr>
          <w:rFonts w:ascii="Arial" w:cs="Arial" w:eastAsia="Arial" w:hAnsi="Arial"/>
          <w:sz w:val="16"/>
          <w:szCs w:val="16"/>
          <w:color w:val="auto"/>
        </w:rPr>
        <w:t>We are using microscale screening to optimize culture of the bacterial strains of interest in our current and foreseeable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These screens are designed to identify the fermentation platform that is best-suited for optimization and scale-up of the strains. Small-scale fermentation systems (0.1 L to 50 L) enable the optimization of a wide variety of culture conditions and have been demonstrated to be scalable to larger fermentation processes and enable technology transfer to clinical and final manufacturing sites. We employ platform fermentation processes as starting points for cGMP production processes and develop strain specific processes as required. To develop master cell banks, working cell banks, and bulk drug substance for commercial product, we are using bacterial strains originating from a unique research cell bank precursor, so we expect the research cell banks and final drug product should be genetically and physiologically similar.</w:t>
      </w:r>
    </w:p>
    <w:p>
      <w:pPr>
        <w:spacing w:after="0" w:line="59" w:lineRule="exact"/>
        <w:rPr>
          <w:rFonts w:ascii="Arial" w:cs="Arial" w:eastAsia="Arial" w:hAnsi="Arial"/>
          <w:sz w:val="16"/>
          <w:szCs w:val="16"/>
          <w:color w:val="auto"/>
        </w:rPr>
      </w:pPr>
    </w:p>
    <w:p>
      <w:pPr>
        <w:ind w:left="1040" w:right="340" w:hanging="519"/>
        <w:spacing w:after="0" w:line="30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Purification. </w:t>
      </w:r>
      <w:r>
        <w:rPr>
          <w:rFonts w:ascii="Arial" w:cs="Arial" w:eastAsia="Arial" w:hAnsi="Arial"/>
          <w:sz w:val="16"/>
          <w:szCs w:val="16"/>
          <w:color w:val="auto"/>
        </w:rPr>
        <w:t>Similar to fermentation, we believe small-scale purification operations are available for assessing large-scale cGMP</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of live cells, and to quickly assess downstream process yield, quality and robustness. For our oral products, purification is typically less complex than for parenteral biologics such as monoclonal antibodies that must purify away very similar components from the culturing process. Separation of viable microbes from soluble fermentation broth components is typically much simpler.</w:t>
      </w:r>
    </w:p>
    <w:p>
      <w:pPr>
        <w:spacing w:after="0" w:line="46" w:lineRule="exact"/>
        <w:rPr>
          <w:rFonts w:ascii="Arial" w:cs="Arial" w:eastAsia="Arial" w:hAnsi="Arial"/>
          <w:sz w:val="16"/>
          <w:szCs w:val="16"/>
          <w:color w:val="auto"/>
        </w:rPr>
      </w:pPr>
    </w:p>
    <w:p>
      <w:pPr>
        <w:ind w:left="1040" w:right="80" w:hanging="519"/>
        <w:spacing w:after="0" w:line="276"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Formulation. </w:t>
      </w:r>
      <w:r>
        <w:rPr>
          <w:rFonts w:ascii="Arial" w:cs="Arial" w:eastAsia="Arial" w:hAnsi="Arial"/>
          <w:sz w:val="17"/>
          <w:szCs w:val="17"/>
          <w:color w:val="auto"/>
        </w:rPr>
        <w:t>Our Ecobiotic microbiome therapeutic candidates are combinations of live bacteria and can be administered by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methods and by different routes. The primary goal in developing a formulation is to deliver live bacteria to the intended location in a condition where they are able to replicate and correct dysbiosis. Formulation development generally uses approved excipients and preservatives, and will include screening of liquid, solid, and suspension formulations to maximize the opportunity for extended stability with minimal cold-chain requirements. Dosage forms for oral products may be capsules, tablets, sachets, or liquid containers.</w:t>
      </w:r>
    </w:p>
    <w:p>
      <w:pPr>
        <w:spacing w:after="0" w:line="64" w:lineRule="exact"/>
        <w:rPr>
          <w:rFonts w:ascii="Arial" w:cs="Arial" w:eastAsia="Arial" w:hAnsi="Arial"/>
          <w:sz w:val="17"/>
          <w:szCs w:val="17"/>
          <w:color w:val="auto"/>
        </w:rPr>
      </w:pPr>
    </w:p>
    <w:p>
      <w:pPr>
        <w:ind w:left="1040" w:right="160" w:hanging="519"/>
        <w:spacing w:after="0" w:line="255"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Analytical. </w:t>
      </w:r>
      <w:r>
        <w:rPr>
          <w:rFonts w:ascii="Arial" w:cs="Arial" w:eastAsia="Arial" w:hAnsi="Arial"/>
          <w:sz w:val="18"/>
          <w:szCs w:val="18"/>
          <w:color w:val="auto"/>
        </w:rPr>
        <w:t>We are addressing quality control requirements for our Ecobiotic microbiome therapeutic candidates using proprietary</w:t>
      </w:r>
      <w:r>
        <w:rPr>
          <w:rFonts w:ascii="Arial" w:cs="Arial" w:eastAsia="Arial" w:hAnsi="Arial"/>
          <w:sz w:val="18"/>
          <w:szCs w:val="18"/>
          <w:i w:val="1"/>
          <w:iCs w:val="1"/>
          <w:color w:val="auto"/>
        </w:rPr>
        <w:t xml:space="preserve"> </w:t>
      </w:r>
      <w:r>
        <w:rPr>
          <w:rFonts w:ascii="Arial" w:cs="Arial" w:eastAsia="Arial" w:hAnsi="Arial"/>
          <w:sz w:val="18"/>
          <w:szCs w:val="18"/>
          <w:color w:val="auto"/>
        </w:rPr>
        <w:t>microbiological, chemical, biochemical, and molecular sequence-based testing schemes. We have available and are further developing quality control and in-process analytical tools that can quantitatively measure the composition of spore, vegetative microbe and spore/vegetative combinations, which we believe enable a wide variety of drug products to be manufactured. Throughout the bioprocess and formulation development platform we use and will expand on high- throughput quantitative analytics to assess the identity, potency and purity of the final product.</w:t>
      </w:r>
    </w:p>
    <w:p>
      <w:pPr>
        <w:spacing w:after="0" w:line="19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currently have two internal manufacturing facilities; a small-scale 7,000 ft</w:t>
      </w:r>
      <w:r>
        <w:rPr>
          <w:rFonts w:ascii="Arial" w:cs="Arial" w:eastAsia="Arial" w:hAnsi="Arial"/>
          <w:sz w:val="14"/>
          <w:szCs w:val="14"/>
          <w:color w:val="auto"/>
        </w:rPr>
        <w:t>2</w:t>
      </w:r>
      <w:r>
        <w:rPr>
          <w:rFonts w:ascii="Arial" w:cs="Arial" w:eastAsia="Arial" w:hAnsi="Arial"/>
          <w:sz w:val="17"/>
          <w:szCs w:val="17"/>
          <w:color w:val="auto"/>
        </w:rPr>
        <w:t xml:space="preserve"> unit at our Kendall Square location in Cambridge, Massachusetts, where we conduct cGMP manufacture of Ecobiotic therapeutic candidates to support drug substance and drug product for early phase and small-scale clinical supplies, and a larger 10,000 ft</w:t>
      </w:r>
      <w:r>
        <w:rPr>
          <w:rFonts w:ascii="Arial" w:cs="Arial" w:eastAsia="Arial" w:hAnsi="Arial"/>
          <w:sz w:val="14"/>
          <w:szCs w:val="14"/>
          <w:color w:val="auto"/>
        </w:rPr>
        <w:t>2</w:t>
      </w:r>
      <w:r>
        <w:rPr>
          <w:rFonts w:ascii="Arial" w:cs="Arial" w:eastAsia="Arial" w:hAnsi="Arial"/>
          <w:sz w:val="17"/>
          <w:szCs w:val="17"/>
          <w:color w:val="auto"/>
        </w:rPr>
        <w:t xml:space="preserve"> cGMP manufacturing facility at our headquarters, with the ability to perform both drug substance and drug product manufacturing for early and late-phase clinical development and at larger scales of operation. We may establish further manufacturing facilities that will serve late-phase clinical and commercial supply for our product candidates. We may do this by expanding our current facilities, or by purchasing or building additional facilities. We also use contract manufacturing and testing organizations to supplement our internal capacity.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Agreements</w:t>
      </w:r>
    </w:p>
    <w:p>
      <w:pPr>
        <w:spacing w:after="0" w:line="22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January 2016, we entered into the Collaboration and License Agreement, or the License Agreement, with NHS, an affiliate of Nestlé Health Science US Holdings, Inc., a significant stockholder of ours, for the development and commercialization of certain product candidates in development for the treatment and management of CDI and IBD, including UC and Crohn’s disease. The License Agreement will support the development of our portfolio of products for CDI and IBD in markets outside of the United States and Canada, or the Licensed Territory. We have retained full commercial rights to our entire portfolio of product candidates with respect to the United States and Canada.</w:t>
      </w:r>
    </w:p>
    <w:p>
      <w:pPr>
        <w:spacing w:after="0" w:line="188"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or collectively, the NHS Collaboration Products. The License Agreement sets forth our and NHS’ respective obligations for development, commercialization, regulatory and manufacturing and supply activities for the NHS Collaboration Products with respect to the licensed fields and the Licensed Territory.</w:t>
      </w:r>
    </w:p>
    <w:p>
      <w:pPr>
        <w:spacing w:after="0" w:line="18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In exchange for the license, NHS made an upfront cash payment to us of $120.0 million. NHS also agreed to pay us tiered royalties, at percentages ranging from the high single digits to high teens, of net sales of NHS Collaboration Products in the Licensed Territory. Under the License Agreement we are eligible to receive up to $285.0 million in development milestone payments, $375.0 million in regulatory payments and up to an aggregate of $1,125.0 million for the achievement of certain commercial milestones related to the sales of NHS Collaboration Products.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firstLine="518"/>
        <w:spacing w:after="0" w:line="257" w:lineRule="auto"/>
        <w:rPr>
          <w:sz w:val="20"/>
          <w:szCs w:val="20"/>
          <w:color w:val="auto"/>
        </w:rPr>
      </w:pPr>
      <w:r>
        <w:rPr>
          <w:rFonts w:ascii="Arial" w:cs="Arial" w:eastAsia="Arial" w:hAnsi="Arial"/>
          <w:sz w:val="18"/>
          <w:szCs w:val="18"/>
          <w:color w:val="auto"/>
        </w:rPr>
        <w:t>In November 2018, we executed a letter agreement with NHS, or the Letter Agreement, modifying certain terms of the License Agreement. Under the Letter Agreement, NHS agreed to accelerate the payment of the $20.0 million Phase 3 commencement milestone to be payable upon the commencement of the Phase 2b study for SER-287. Further, based on the results of the Phase 2b study, the Letter Agreement modifies certain terms and conditions related to the extent and timing of expense reimbursement associated with the ongoing SER-287 clinical trials. The Phase 2b study was initiated and the $40.0 million of milestone payments were received in December 2018.</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date, we have received $70.0 million in development milestones under the License Agreement and the Letter Agreement.</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We strive to protect the proprietary technology that is important to our business, including seeking and, if granted, maintaining patents intended to cover our product candidates and compositions, their methods of use and processes for their manufacture and any other aspects of inventions that are commercially important to the development of our business. We also utilize regulatory exclusivity as well as trade secrets to protect aspects of our business.</w:t>
      </w:r>
    </w:p>
    <w:p>
      <w:pPr>
        <w:spacing w:after="0" w:line="14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plan to continue to expand our intellectual property estate by filing patent applications directed to compositions, methods of treatment, methods of manufacture and methods for patient selection created or identified from our ongoing development of our product candidates.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 We also rely on know-how and continuing technological innovation to develop and maintain our proprietary position and, in the future, may rely on or leverage in-licensing opportunities. We seek to obtain domestic and international patent protection, and endeavor to promptly file patent applications for new commercially valuable inventions.</w:t>
      </w:r>
    </w:p>
    <w:p>
      <w:pPr>
        <w:spacing w:after="0" w:line="17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w:t>
      </w:r>
    </w:p>
    <w:p>
      <w:pPr>
        <w:spacing w:after="0" w:line="19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patent portfolio includes issued U.S. patents and patent applications in various stages of prosecution, including ex-U.S. international counterparts.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issued claims will provide protection for our microbiome therapeutic candidates.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117"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w:t>
      </w:r>
    </w:p>
    <w:p>
      <w:pPr>
        <w:spacing w:after="0" w:line="14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 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In the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 w:name="page23"/>
    <w:bookmarkEnd w:id="22"/>
    <w:p>
      <w:pPr>
        <w:ind w:right="440"/>
        <w:spacing w:after="0" w:line="277" w:lineRule="auto"/>
        <w:rPr>
          <w:sz w:val="20"/>
          <w:szCs w:val="20"/>
          <w:color w:val="auto"/>
        </w:rPr>
      </w:pPr>
      <w:r>
        <w:rPr>
          <w:rFonts w:ascii="Arial" w:cs="Arial" w:eastAsia="Arial" w:hAnsi="Arial"/>
          <w:sz w:val="18"/>
          <w:szCs w:val="18"/>
          <w:color w:val="auto"/>
        </w:rPr>
        <w:t>future, if and when our product candidates receive FDA approval, we expect to apply, if appropriate, for patent term extension on patents covering those product candidates, their methods of use and/or methods of manufacture.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addition to patents, we rely on trade secrets and know-how to develop and maintain our competitive position. We typically utilize trade secrets to protect aspects of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and disease indications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w:t>
      </w:r>
    </w:p>
    <w:p>
      <w:pPr>
        <w:spacing w:after="0" w:line="17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These third parties compete with us in recruiting and retaining qualified scientific, clinical, manufacturing sales and marketing and management personnel, establishing clinical trial sites and patient registration for clinical trials, as well as in acquiring technologies complementary to, or necessary for, our programs.</w:t>
      </w:r>
    </w:p>
    <w:p>
      <w:pPr>
        <w:spacing w:after="0" w:line="181" w:lineRule="exact"/>
        <w:rPr>
          <w:sz w:val="20"/>
          <w:szCs w:val="20"/>
          <w:color w:val="auto"/>
        </w:rPr>
      </w:pPr>
    </w:p>
    <w:p>
      <w:pPr>
        <w:ind w:right="680" w:firstLine="518"/>
        <w:spacing w:after="0" w:line="308" w:lineRule="auto"/>
        <w:rPr>
          <w:sz w:val="20"/>
          <w:szCs w:val="20"/>
          <w:color w:val="auto"/>
        </w:rPr>
      </w:pPr>
      <w:r>
        <w:rPr>
          <w:rFonts w:ascii="Arial" w:cs="Arial" w:eastAsia="Arial" w:hAnsi="Arial"/>
          <w:sz w:val="17"/>
          <w:szCs w:val="17"/>
          <w:color w:val="auto"/>
        </w:rPr>
        <w:t>The key competitive factors affecting the success of the product candidates that we develop, if approved, are likely to be their efficacy, safety, convenience, price, the level of competition and the availability of reimbursement from government and other third-party payors.</w:t>
      </w:r>
    </w:p>
    <w:p>
      <w:pPr>
        <w:spacing w:after="0" w:line="14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lower cost products.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and biologics such as those we are developing. We, along with our contract manufacturers, will be required to navigate the various preclinical, clinical and commercial approval requirements of the governing regulatory agencies of the countries in which we wish to conduct studies or seek approval for our product candidates. The process of obtaining regulatory approvals and ensuring subsequent compliance with appropriate federal, state, local and foreign statutes and regulations requires the expenditure of substantial time and financial resources.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100" w:firstLine="518"/>
        <w:spacing w:after="0" w:line="290" w:lineRule="auto"/>
        <w:rPr>
          <w:sz w:val="20"/>
          <w:szCs w:val="20"/>
          <w:color w:val="auto"/>
        </w:rPr>
      </w:pPr>
      <w:r>
        <w:rPr>
          <w:rFonts w:ascii="Arial" w:cs="Arial" w:eastAsia="Arial" w:hAnsi="Arial"/>
          <w:sz w:val="16"/>
          <w:szCs w:val="16"/>
          <w:color w:val="auto"/>
        </w:rPr>
        <w:t>In the United States, the FDA regulates drug and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biologics license application, or BLA, and approval by the FDA before being marketed in the United States. None of our product candidates has been approved by the FDA for marketing in the United States, and we currently have no BLAs pending. If we fail to comply with applicable FDA or other requirements at any time during product development, clinical testing, the approval process or after approval, we may become subject to administrative or judicial sanctions. These sanctions could include the FDA’s refusal to approve pending applications, suspension or revocation of approved applications, warning letters, product recalls, product seizures, total or partial suspensions of manufacturing or distribution, injunctions, fines, civil penalties or criminal prosecution. Any FDA enforcement action could have a material adverse effect on us.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process required by the FDA before our biologic product candidates may be marketed in the United States generally involves the following:</w:t>
      </w:r>
    </w:p>
    <w:p>
      <w:pPr>
        <w:spacing w:after="0" w:line="129" w:lineRule="exact"/>
        <w:rPr>
          <w:sz w:val="20"/>
          <w:szCs w:val="20"/>
          <w:color w:val="auto"/>
        </w:rPr>
      </w:pPr>
    </w:p>
    <w:p>
      <w:pPr>
        <w:ind w:left="1040" w:right="6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good laboratory practice, or GLP, regulations;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in the United States may begin;</w:t>
      </w:r>
    </w:p>
    <w:p>
      <w:pPr>
        <w:spacing w:after="0" w:line="117"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to establish the safety and efficacy of the product candidate for each proposed indication, conducted in accordance with the FDA’s good clinical practice, or GCP, regulations;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 BLA;</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 regulations;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review and approval of the BLA prior to any commercial marketing, sale or shipment of the product.</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product candidates will be granted on a timely basis, if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Once a product candidate is identified for development, it enters the preclinical testing stage. Preclinical studies include laboratory evaluations of drug chemistry, formulation and stability, as well as studies to evaluate toxicity in animals, which must be conducted in accordance with GLP requirements. The results of the preclinical studies, together with manufacturing information and analytical data, are submitted to the FDA as part of an IND.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w:t>
      </w:r>
    </w:p>
    <w:p>
      <w:pPr>
        <w:spacing w:after="0" w:line="18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Clinical trials involve the administration of the product candidate to human subjects under the supervision of qualified investigators. Clinical trials are conducted under protocols detailing, among other things, the objectives of the clinical trial and the parameters and criteria to be used in monitoring safety and evaluating effectiveness. Each protocol must be submitted to the FDA as part of the IND. An independent institutional review board, or IRB, for each investigator site proposing to participate in a clinical trial must also review and approve the clinical trial before it can begin at that site, and the IRB must monitor the clinical trial until it is completed. The FDA, the IRB, or the sponsor may suspend or discontinue a clinical trial at any time on various grounds, including a finding that the subjects are being exposed to an unacceptable health risk. Clinical testing also must satisfy extensive GCP requirements, including requirements for informed consent.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purposes of BLA approval, clinical trials are typically conducted in three sequential phases, which may overlap or be combined.</w:t>
      </w:r>
    </w:p>
    <w:p>
      <w:pPr>
        <w:spacing w:after="0" w:line="117" w:lineRule="exact"/>
        <w:rPr>
          <w:sz w:val="20"/>
          <w:szCs w:val="20"/>
          <w:color w:val="auto"/>
        </w:rPr>
      </w:pPr>
    </w:p>
    <w:p>
      <w:pPr>
        <w:ind w:left="1040" w:right="20" w:hanging="519"/>
        <w:spacing w:after="0" w:line="31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Phase 1 </w:t>
      </w:r>
      <w:r>
        <w:rPr>
          <w:rFonts w:ascii="Arial" w:cs="Arial" w:eastAsia="Arial" w:hAnsi="Arial"/>
          <w:sz w:val="16"/>
          <w:szCs w:val="16"/>
          <w:color w:val="auto"/>
        </w:rPr>
        <w:t>— Phase 1 clinical trials involve initial introduction of the investigational product into healthy human subjects or patients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target disease or condition. These studies are typically designed to test the safety, dosage tolerance, absorption, metabolism and distribution of the investigational product in humans, the side effects associated with increasing doses, and, if possible, to gain early evidence on effectiveness.</w:t>
      </w:r>
    </w:p>
    <w:p>
      <w:pPr>
        <w:spacing w:after="0" w:line="38" w:lineRule="exact"/>
        <w:rPr>
          <w:rFonts w:ascii="Arial" w:cs="Arial" w:eastAsia="Arial" w:hAnsi="Arial"/>
          <w:sz w:val="16"/>
          <w:szCs w:val="16"/>
          <w:color w:val="auto"/>
        </w:rPr>
      </w:pPr>
    </w:p>
    <w:p>
      <w:pPr>
        <w:jc w:val="both"/>
        <w:ind w:left="1040" w:right="10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 limited patient population with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or condition to evaluate the preliminary efficacy, optimal dosages and dosing schedule and to identify possible adverse side effects and safety risks.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left="1040" w:right="300" w:hanging="519"/>
        <w:spacing w:after="0" w:line="259"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Phase 3 clinical trials typically involve administration of the investigational product to an expanded patient population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7" w:lineRule="exact"/>
        <w:rPr>
          <w:sz w:val="20"/>
          <w:szCs w:val="20"/>
          <w:color w:val="auto"/>
        </w:rPr>
      </w:pPr>
    </w:p>
    <w:p>
      <w:pPr>
        <w:ind w:right="660" w:firstLine="518"/>
        <w:spacing w:after="0" w:line="342" w:lineRule="auto"/>
        <w:rPr>
          <w:sz w:val="20"/>
          <w:szCs w:val="20"/>
          <w:color w:val="auto"/>
        </w:rPr>
      </w:pPr>
      <w:r>
        <w:rPr>
          <w:rFonts w:ascii="Arial" w:cs="Arial" w:eastAsia="Arial" w:hAnsi="Arial"/>
          <w:sz w:val="16"/>
          <w:szCs w:val="16"/>
          <w:color w:val="auto"/>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124" w:lineRule="exact"/>
        <w:rPr>
          <w:sz w:val="20"/>
          <w:szCs w:val="20"/>
          <w:color w:val="auto"/>
        </w:rPr>
      </w:pPr>
    </w:p>
    <w:p>
      <w:pPr>
        <w:ind w:right="20" w:firstLine="518"/>
        <w:spacing w:after="0" w:line="282" w:lineRule="auto"/>
        <w:rPr>
          <w:sz w:val="20"/>
          <w:szCs w:val="20"/>
          <w:color w:val="auto"/>
        </w:rPr>
      </w:pPr>
      <w:r>
        <w:rPr>
          <w:rFonts w:ascii="Arial" w:cs="Arial" w:eastAsia="Arial" w:hAnsi="Arial"/>
          <w:sz w:val="16"/>
          <w:szCs w:val="16"/>
          <w:color w:val="auto"/>
        </w:rPr>
        <w:t xml:space="preserve">Although most clinical research performed in the United States in support of a BLA must be authorized in advance by the FDA, under the IND regulations and procedures described above, there are certain circumstances under which clinical trials can be conducted without submission of an IND. For example, a sponsor who wishes to conduct a clinical trial outside the United States may, but need not, obtain FDA authorization to conduct the clinical trial under an IND. Similarly, the FDA may exercise enforcement discretion to permit sponsors to conduct certain types of clinical investigations without an IND. Pursuant to the FDA guidance document “Enforcement Policy Regarding Investigational New Drug Requirements for Use of Fecal Microbiota for Transplantation to Treat </w:t>
      </w:r>
      <w:r>
        <w:rPr>
          <w:rFonts w:ascii="Arial" w:cs="Arial" w:eastAsia="Arial" w:hAnsi="Arial"/>
          <w:sz w:val="16"/>
          <w:szCs w:val="16"/>
          <w:i w:val="1"/>
          <w:iCs w:val="1"/>
          <w:color w:val="auto"/>
        </w:rPr>
        <w:t>Clostridium difficile</w:t>
      </w:r>
      <w:r>
        <w:rPr>
          <w:rFonts w:ascii="Arial" w:cs="Arial" w:eastAsia="Arial" w:hAnsi="Arial"/>
          <w:sz w:val="16"/>
          <w:szCs w:val="16"/>
          <w:color w:val="auto"/>
        </w:rPr>
        <w:t xml:space="preserve"> Infection Not Responsive to Standard Therapies” (July 2013), the FDA announced its intention to exercise enforcement discretion and not apply the IND requirements for the use of FMT to treat CDI not responsive to standard therapies, provided that the treating physician obtains adequate informed consent from the patient or his or her legally authorized representative for the use of FMT products. In March 2014, the FDA issued a draft guidance document to clarify its Enforcement Policy in the July 2013 guidance. In the March 2014 draft guidance, the FDA noted that since the issuance of its Enforcement Policy in July 2013, it has continued to review its policies in this area and it intends to continue to exercise enforcement discretion in more narrow circumstances than previously identified. Specifically, the March 2014 draft guidance indicated the FDA’s intent to limit enforcement discretion in circumstances where the licensed health care professional treating the patient obtains adequate informed consent from the patient or his or her legally authorized representative for the use of FMT products; the FMT product is obtained from a donor known to either the patient or the licensed health care provider; and the stool donor and stool are qualified by screening and testing performed under the discretion of the licensed health care provider for the purposes of providing the FMT product. Following receipt of public comments on the March 2014 draft guidance proposing to modify the July 2013 Enforcement Policy, the FDA issued a new draft guidance in March 2016 announcing its intention to further modify its approach to enforcement discretion for INDs for the use of FMT products. In this draft guidance, the FDA indicated that it intends to continue to exercise enforcement discretion, provided that the licensed health care professional treating the patient obtains adequate informed consent for use of the FMT product; the FMT product is not obtained from a stool bank; and the stool donor and stool are qualified by screening and testing performed under the direction of the licensed health care provider for purposes of providing the FMT product to treat his or her patient. The FDA further clarified in the March 2016 that, when finalized, the policy would supersede the final Enforcement Policy espoused in the July 2013 Guidance. However, to date, the FDA has not finalized the March 2016 draft</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guidance. The FDA provided confirmation to us that it intended to exercise enforcement discretion with respect to our Phase 1b/2 clinical study of SER-109, and accordingly, we did not conduct this trial under an IND. However, we have conducted and will continue to conduct all subsequent clinical studies of SER-109 under an IND.</w:t>
      </w:r>
    </w:p>
    <w:p>
      <w:pPr>
        <w:spacing w:after="0" w:line="19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biologic and finalize a process for manufacturing the biologic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biological product. Additionally, appropriate packaging must be selected and tested, and stability studies must be conducted to demonstrate that the product candidate does not undergo unacceptable deterioration over its shelf life.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FDA Review</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results of preclinical studies and clinical trials, together with other detailed information, including extensive manufacturing information and information on the composition of the biologic, are submitted to the FDA in the form of a BLA requesting approval to market the biologic for one or more specified indications. The submission of a BLA requires payment of a substantial user fee unless a waiver is granted. However, an orphan-designated product, such as our SER-109, is not subject to an application user fee unless the human drug application includes an indication for other than a rare disease or condition. Each BLA submitted to the FDA is reviewed for administrative completeness and reviewability within 60 days of the FDA’s receipt of the application. If the BLA is found to be complete, the FDA will file the BLA, triggering a full review of the application. The FDA may refuse to file any BLA that it deems incomplete or not properly reviewable at the time of submission.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ind w:right="80" w:firstLine="518"/>
        <w:spacing w:after="0" w:line="288" w:lineRule="auto"/>
        <w:rPr>
          <w:sz w:val="20"/>
          <w:szCs w:val="20"/>
          <w:color w:val="auto"/>
        </w:rPr>
      </w:pPr>
      <w:r>
        <w:rPr>
          <w:rFonts w:ascii="Arial" w:cs="Arial" w:eastAsia="Arial" w:hAnsi="Arial"/>
          <w:sz w:val="16"/>
          <w:szCs w:val="16"/>
          <w:color w:val="auto"/>
        </w:rPr>
        <w:t>Once a BLA has been accepted for filing, by law the FDA has 180 days to review the application and respond to the applicant. However, the review process is often significantly extended by FDA requests for additional information or clarification. Under the Prescription Drug User Fee Act, the FDA has a goal of reviewing BLAs within ten months of the 60-day filing date for standard review or six months for priority review, but the overall timeframe is often extended by FDA requests for additional information or clarification. The FDA reviews a BLA to determine, among other things, whether the biological product is safe, pure and potent and whether the facility or facilities in which it is manufactured meet standards designed to assure the product’s continued safety, purity and potency. The FDA may refer the application to an advisory committee for review, evaluation and recommendation as to whether the application should be approved. The FDA is not bound by the recommendation of an advisory committee, but it generally follows such recommendations. Before approving a BLA, the FDA will inspect the facility or the facilities at which the biologic product is manufactured and will not approve the product unless cGMP compliance is satisfactory. The FDA may also inspect the sites at which the clinical trials were conducted to assess their compliance with GCP requirements and will not approve the biologic unless compliance with such requirements is satisfactory.</w:t>
      </w:r>
    </w:p>
    <w:p>
      <w:pPr>
        <w:spacing w:after="0" w:line="16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FDA may deny approval of a BLA if the applicable statutory and regulatory criteria are not satisfied, or it may require additional preclinical or clinical data. Even if such data are submitted, the FDA may ultimately decide that the BLA does not satisfy the criteria for approval. Data from clinical trials are not always conclusive and the FDA may interpret data differently than sponsors. Once the FDA approves a BLA, such approval defines the indicated uses for which the biologic may be marketed. The FDA may also require implementation of a Risk Evaluation and Mitigation Strategy, or REMS, which can include a medication guide, communication plan, or elements to assure safe use, such as restricted distribution methods, physician training, patient registries and other risk minimization tools. The FDA also may condition approval on, among other things, changes to proposed labeling claims or the development of adequate controls and specifications. Once approved, the FDA may withdraw the product approval if compliance with pre- and post-marketing regulatory standards is not maintained or if problems occur after the product reaches the market. The FDA may require one or more Phase 4 post-market studies and surveillance to further assess and monitor the product’s safety and effectiveness after commercialization and may limit further marketing based on the results of these post-marketing studies.</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biologic testing and approval processes encompasses significant risk, and requires substantial time, effort and financial resources, and each may take several years to complete. The FDA may not grant approval on a timely basis, or at all. Even if we believe a clinical trial has demonstrated safety and efficacy of one of our product candidates for the treatment of a disease or condition, the results may not be satisfactory to the FDA. Preclinical and clinical data may be interpreted by the FDA in different ways, which could delay, limit or prevent regulatory approval. We may encounter difficulties or unanticipated costs in our efforts to secure necessary governmental approvals which could delay or preclude us from marketing our product candidates. The FDA may limit the indications for use or place other conditions on any approvals that could restrict the commercial application of our products. After approval, certain changes to the approved biologic, such as adding new indications, manufacturing changes or additional labeling claims, are subject to further FDA review and approval. Depending on the nature of the change proposed, a BLA supplement must be filed and approved before the change may be implemented. For many proposed post-approval changes to a BLA, the FDA has up to 180 days to review the application. As with new BLAs, the review process is often significantly extended by the FDA requests for additional information or clarification.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and biologics to address unmet medical needs in the treatment of serious or life- threatening diseases or conditions. These programs include Fast Track designation, Breakthrough Therapy designation, Priority Review designation and Accelerated Approval, and the purpose of these programs is to provide important new drugs to patients earlier than under standard FDA review procedures.</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 new drug or biologic is eligible for fast track designation if it is intended to treat a serious or life- threatening disease or condition and demonstrates the potential to address unmet medical needs for such disease or condition. Fast Track designation provides increased opportunities for sponsor meetings with the FDA during preclinical and clinical development, in addition to the potential for rolling review once a marketing application is filed, meaning that the agency may review portions of the marketing application before the sponsor submits the complete application, as well as Priority Review, discussed below. In addition, a new drug or biologic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right="40" w:firstLine="518"/>
        <w:spacing w:after="0" w:line="269" w:lineRule="auto"/>
        <w:rPr>
          <w:sz w:val="20"/>
          <w:szCs w:val="20"/>
          <w:color w:val="auto"/>
        </w:rPr>
      </w:pPr>
      <w:r>
        <w:rPr>
          <w:rFonts w:ascii="Arial" w:cs="Arial" w:eastAsia="Arial" w:hAnsi="Arial"/>
          <w:sz w:val="17"/>
          <w:szCs w:val="17"/>
          <w:color w:val="auto"/>
        </w:rPr>
        <w:t>Any product submitted to the FDA for approval, including a product with Fast Track or Breakthrough Therapy designation, may also be eligible for additional FDA programs intended to expedite the review process, including Priority Review designation and accelerated approval. A product is eligible for Priority Review if it has the potential to provide a significant improvement in safety or effectiveness in the treatment, diagnosis or prevention of a serious disease or condition. Additionally,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additional post-approval studies to verify and describe the product’s clinical benefit.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8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Fast Track designation, Breakthrough Therapy designation, Priority Review designation and Accelerated Approval do not change the standards for approval but may expedite the development or review process. We have received Breakthrough Therapy designation for SER-109, and we may apply for one or more of the FDA’s expedited programs for our other product candidates. The FDA may find that our product candidates no longer satisfy the criteria for such programs for which we have already obtained the relevant designation or approval, such programs may fail to result in expedited development or review timelines, or the FDA may ultimately refuse to approve our product candidates despite their inclusion in any expedited programs. In addition, if the Breakthrough Therapy designation for SER-109 is no longer supported by subsequent data, FDA may rescind the designation.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Approved biologics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There also are continuing, annual user fee requirements for products marketed pursuant to approved applications.</w:t>
      </w:r>
    </w:p>
    <w:p>
      <w:pPr>
        <w:spacing w:after="0" w:line="14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Any biologics manufactured or distributed by us or our contract manufactures pursuant to FDA approvals would be subject to continuing regulation by the FDA, including recordkeeping requirements and reporting of adverse experiences associated with the product.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Failure to comply with statutory and regulatory requirements can subject a manufacturer to possible legal or regulatory action, such as warning letters, suspension of manufacturing, product seizures, injunctions, civil penalties or criminal prosecution.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a product from distribution or withdraw approval of the BLA for that product.</w:t>
      </w:r>
    </w:p>
    <w:p>
      <w:pPr>
        <w:spacing w:after="0" w:line="16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9"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refusal of the FDA to approve applications or supplements to approved applications, or suspension or revocation of product approvals;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20" w:firstLine="518"/>
        <w:spacing w:after="0" w:line="293" w:lineRule="auto"/>
        <w:rPr>
          <w:sz w:val="20"/>
          <w:szCs w:val="20"/>
          <w:color w:val="auto"/>
        </w:rPr>
      </w:pPr>
      <w:r>
        <w:rPr>
          <w:rFonts w:ascii="Arial" w:cs="Arial" w:eastAsia="Arial" w:hAnsi="Arial"/>
          <w:sz w:val="16"/>
          <w:szCs w:val="16"/>
          <w:color w:val="auto"/>
        </w:rPr>
        <w:t>The FDA closely regulates the post-approval marketing and promotion of biologics, including standards and regulations for direct-to-consumer advertising, off-label promotion, industry-sponsored scientific and educational activities, and promotional activities involving the internet and social media. A company can make only those claims relating to safety and efficacy that are approved by the FDA. Physicians may prescribe legally available biologics for uses that are not described in the product’s labeling and that differ from those tested by us and approved by the FDA. The FDA does not regulate the behavior of physicians in their choice of treatments. The FDA does, however, impose stringent restrictions on manufacturers’ communications regarding off-label use. Failure to comply with these requirements can result in adverse publicity, warning letters, corrective advertising and potential civil and criminal penalties.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Regulatory Exclusivity</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We believe that any of our product candidates approved under a BLA should qualify for a 12-year period of exclusivity against biosimilar competition currently permitted by the Biologics Price Competition and Innovation Act, or BPCIA. Specifically, as part of the Patient Protection and Affordable Care Act enacted in 2010, as amended by the Health Care and Education Affordability Reconciliation Act, collectively the ACA, the BPCIA established an abbreviated pathway for the approval of biosimilar and interchangeable biological products. The abbreviated regulatory pathway provides legal authority for the FDA to review and approve biosimilar biologics based on their similarity to an existing brand product, referred to as a reference product, including the possible designation of a biosimilar as interchangeable with a brand product. Under the BPCIA the approval of a biosimilar product may not be made effective by the FDA until 12 years from the date on which the reference product was first licensed. Moreover, the extent to which a biosimilar, once approved, will be substituted for any one of our reference products in a way that is similar to traditional generic substitution for non-biological drug products is not yet clear, and will depend on a number of marketplace and regulatory factors that are still developing. The BPCIA is complex and continues to be interpreted and implemented by the FDA. As a result, its ultimate impact, implementation and meaning is subject to uncertainty. While it is uncertain when any such processes may be fully adopted by the FDA, any such processes that operate to limit the scope or length of exclusivity afforded by the BPCIA could have a material adverse effect on the future commercial prospects for our biological products. In addition, the period of exclusivity provided by the BPCIA only operates against third parties seeking approval via the abbreviated pathway but would not prevent third parties from pursuing approval via the traditional approval pathway. In addition, foreign regulatory authorities may also provide for exclusivity periods for approved biological products. For example, biological products in the EU may be eligible for at least a ten-year period of exclusivity.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 BLA.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9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Further, if a designated orphan product receives marketing approval for an indication broader than the rare disease or condition for which it received orphan designation, it may not be entitled to orphan exclusivity.</w:t>
      </w:r>
    </w:p>
    <w:p>
      <w:pPr>
        <w:spacing w:after="0" w:line="182"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In August 2015, the FDA granted orphan drug designation to SER-109 for the treatment of recurrent CDI. In December 2017, the FDA granted Orphan Drug Designation to SER-287 for treatment of UC in pediatric patients.</w:t>
      </w:r>
    </w:p>
    <w:p>
      <w:pPr>
        <w:spacing w:after="0" w:line="170"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We may seek additional orphan designation for one or more of our product candidates, but the FDA may disagree with our analysis of the prevalence of a disease or condition or other criteria for designation and refuse to grant orphan status. We cannot guarantee that we will obtain designation or approval for any product candidate, or that we will be able to secure orphan product exclusivity if we do obtain approval.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w:t>
      </w:r>
    </w:p>
    <w:p>
      <w:pPr>
        <w:spacing w:after="0" w:line="18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For instance, in the EEA (comprised of the 28 EU Member States plus Iceland, Liechtenstein and Norway) medicinal products must be authorized for marketing by using either the centralized authorization procedure or national authorization procedures.</w:t>
      </w:r>
    </w:p>
    <w:p>
      <w:pPr>
        <w:spacing w:after="0" w:line="170"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i w:val="1"/>
          <w:iCs w:val="1"/>
          <w:color w:val="auto"/>
        </w:rPr>
        <w:t>Centralized procedure</w:t>
      </w:r>
      <w:r>
        <w:rPr>
          <w:rFonts w:ascii="Arial" w:cs="Arial" w:eastAsia="Arial" w:hAnsi="Arial"/>
          <w:sz w:val="17"/>
          <w:szCs w:val="17"/>
          <w:color w:val="auto"/>
        </w:rPr>
        <w:t>—Under the centralized procedure, following the opining of the EMA’s Committee for Medicinal Products for Human Use, or,</w:t>
      </w:r>
      <w:r>
        <w:rPr>
          <w:rFonts w:ascii="Arial" w:cs="Arial" w:eastAsia="Arial" w:hAnsi="Arial"/>
          <w:sz w:val="17"/>
          <w:szCs w:val="17"/>
          <w:i w:val="1"/>
          <w:iCs w:val="1"/>
          <w:color w:val="auto"/>
        </w:rPr>
        <w:t xml:space="preserve"> </w:t>
      </w:r>
      <w:r>
        <w:rPr>
          <w:rFonts w:ascii="Arial" w:cs="Arial" w:eastAsia="Arial" w:hAnsi="Arial"/>
          <w:sz w:val="17"/>
          <w:szCs w:val="17"/>
          <w:color w:val="auto"/>
        </w:rPr>
        <w:t>CHMP, the European Commission issues a single marketing authorization valid across the EEA. The centralized procedure is compulsory for human medicines derived from biotechnology processes, advanced therapy medicinal products (such as gene therapy, somatic cell therapy and tissue engineered products), products that contain a new active substance indicated for the treatment of certain diseases, such as HIV/AIDS, cancer, neurodegenerative disorders, diabetes, autoimmune diseases and other immune dysfunctions, viral diseases, and officially designated orphan medicines. For medicines that do not fall within these categories, an applicant has the option of submitting an application for a centralized marketing authorization to the EMA, as long as the medicine concerned contains a new active substance not yet authorized in the EEA, is a significant therapeutic, scientific or technical innovation, or if its authorization would be in the interest of public health in the EEA. Under the centralized procedure the maximum timeframe for the evaluation of an MAA by the EMA is 210 days, excluding clock stops, when additional written or oral information is to be provided by the applicant in response to questions asked by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150 days, excluding clock stops.</w:t>
      </w:r>
    </w:p>
    <w:p>
      <w:pPr>
        <w:spacing w:after="0" w:line="18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i w:val="1"/>
          <w:iCs w:val="1"/>
          <w:color w:val="auto"/>
        </w:rPr>
        <w:t>National authorization procedures</w:t>
      </w:r>
      <w:r>
        <w:rPr>
          <w:rFonts w:ascii="Arial" w:cs="Arial" w:eastAsia="Arial" w:hAnsi="Arial"/>
          <w:sz w:val="18"/>
          <w:szCs w:val="18"/>
          <w:color w:val="auto"/>
        </w:rPr>
        <w:t>—There are also two other possible routes to authorize medicinal products in several countries, which are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products that fall outside the scope of the centralized procedure:</w:t>
      </w:r>
    </w:p>
    <w:p>
      <w:pPr>
        <w:spacing w:after="0" w:line="62" w:lineRule="exact"/>
        <w:rPr>
          <w:sz w:val="20"/>
          <w:szCs w:val="20"/>
          <w:color w:val="auto"/>
        </w:rPr>
      </w:pPr>
    </w:p>
    <w:p>
      <w:pPr>
        <w:jc w:val="both"/>
        <w:ind w:left="1040" w:right="50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Decentralized procedure</w:t>
      </w:r>
      <w:r>
        <w:rPr>
          <w:rFonts w:ascii="Arial" w:cs="Arial" w:eastAsia="Arial" w:hAnsi="Arial"/>
          <w:sz w:val="18"/>
          <w:szCs w:val="18"/>
          <w:color w:val="auto"/>
        </w:rPr>
        <w:t>. Using the decentralized procedure, an applicant may apply for simultaneous authorization in more than one EU</w:t>
      </w:r>
      <w:r>
        <w:rPr>
          <w:rFonts w:ascii="Arial" w:cs="Arial" w:eastAsia="Arial" w:hAnsi="Arial"/>
          <w:sz w:val="18"/>
          <w:szCs w:val="18"/>
          <w:i w:val="1"/>
          <w:iCs w:val="1"/>
          <w:color w:val="auto"/>
        </w:rPr>
        <w:t xml:space="preserve"> </w:t>
      </w:r>
      <w:r>
        <w:rPr>
          <w:rFonts w:ascii="Arial" w:cs="Arial" w:eastAsia="Arial" w:hAnsi="Arial"/>
          <w:sz w:val="18"/>
          <w:szCs w:val="18"/>
          <w:color w:val="auto"/>
        </w:rPr>
        <w:t>country of medicinal products that have not yet been authorized in any EU country and that do not fall within the mandatory scope of the centralized procedure.</w:t>
      </w:r>
    </w:p>
    <w:p>
      <w:pPr>
        <w:spacing w:after="0" w:line="73" w:lineRule="exact"/>
        <w:rPr>
          <w:rFonts w:ascii="Arial" w:cs="Arial" w:eastAsia="Arial" w:hAnsi="Arial"/>
          <w:sz w:val="18"/>
          <w:szCs w:val="18"/>
          <w:color w:val="auto"/>
        </w:rPr>
      </w:pPr>
    </w:p>
    <w:p>
      <w:pPr>
        <w:ind w:left="1040" w:right="80" w:hanging="519"/>
        <w:spacing w:after="0" w:line="286"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Mutual recognition procedure</w:t>
      </w:r>
      <w:r>
        <w:rPr>
          <w:rFonts w:ascii="Arial" w:cs="Arial" w:eastAsia="Arial" w:hAnsi="Arial"/>
          <w:sz w:val="17"/>
          <w:szCs w:val="17"/>
          <w:color w:val="auto"/>
        </w:rPr>
        <w:t>. In the mutual recognition procedure, a medicine is first authorized in one EU Member State,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national procedures of that country. Following this, further marketing authorizations can be sought from other EU countries in a procedure whereby the countries concerned recognize the validity of the original, national marketing authorization.</w:t>
      </w:r>
    </w:p>
    <w:p>
      <w:pPr>
        <w:spacing w:after="0" w:line="16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the EEA, new products authorized for marketing (</w:t>
      </w:r>
      <w:r>
        <w:rPr>
          <w:rFonts w:ascii="Arial" w:cs="Arial" w:eastAsia="Arial" w:hAnsi="Arial"/>
          <w:sz w:val="17"/>
          <w:szCs w:val="17"/>
          <w:i w:val="1"/>
          <w:iCs w:val="1"/>
          <w:color w:val="auto"/>
        </w:rPr>
        <w:t>i.e.</w:t>
      </w:r>
      <w:r>
        <w:rPr>
          <w:rFonts w:ascii="Arial" w:cs="Arial" w:eastAsia="Arial" w:hAnsi="Arial"/>
          <w:sz w:val="17"/>
          <w:szCs w:val="17"/>
          <w:color w:val="auto"/>
        </w:rPr>
        <w:t>,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79"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The criteria for designating an “orphan medicinal product” in the EEA are similar in principle to those in the United States. In the EEA a medicinal product may be designated as orphan if (1) it is intended for the diagnosis, prevention or treatment of a life-threatening or chronically debilitating condition;</w:t>
      </w:r>
    </w:p>
    <w:p>
      <w:pPr>
        <w:ind w:right="60" w:firstLine="8"/>
        <w:spacing w:after="0" w:line="267"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An orphan product can also obtain an additional two years of market exclusivity in the EU for pediatric studies.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addition to FDA restrictions on marketing of pharmaceutical and biological products, other healthcare regulatory laws restrict business practices in the biotechnology industry, which include, but are not limited to, anti-kickback, false claims, physician payment and pricing transparency and data privacy and security laws. The federal Anti-Kickback Statute prohibits the offer, receipt, or payment of remuneration in exchange for or to induce the referral of patients or the use of products or services that would be paid for in whole or part by Medicare, Medicaid or other federal healthcare programs. Remuneration has been broadly interpreted to include anything of value, including cash, improper discounts and free or reduced-price items and services. The government has enforced the Anti-Kickback Statute to reach large settlements with healthcare companies based on sham research or consulting and other financial arrangements with physicians. Further, a person or entity does not need to have actual knowledge of the statute or specific intent to violate it to have committed a violation. In addition, the government may assert that a claim including items or services resulting from a violation of the Anti-Kickback Statute constitutes a false or fraudulent claim for purposes of the False Claims Act (discussed below). Many states have similar laws that apply to their state healthcare programs as well as private payors.</w:t>
      </w:r>
    </w:p>
    <w:p>
      <w:pPr>
        <w:spacing w:after="0" w:line="17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federal false claims and civil monetary penalties laws, including the False Claims Act, or FCA, impose liability on persons who, among other things, knowingly present or cause to be presented, a false, fictitious or fraudulent claim for payment to, or approval by, the federal government, knowingly make, use, or cause to be made or used a false record or statement material to a false or fraudulent claim to the federal government, or knowingly make a false statement to avoid, decrease or conceal an obligation to pay money to the U.S. federal government. The FCA has been used to prosecute persons submitting claims for payment that are inaccurate or fraudulent, that are for services not provided as claimed, or for services that are not medically necessary. Actions under the FCA may be brought by the Attorney General or as a qui tam action by a private individual in the name of the government. Violations of the FCA can result in significant monetary penalties and treble damages. The federal government is using the FCA, and the accompanying threat of significant liability, in its investigation and prosecution of pharmaceutical and biotechnology companies throughout the country, for example, in connection with the promotion of products for unapproved uses and other sales and marketing practices. The government has obtained multi-million and multi–billion-dollar settlements under the FCA in addition to individual criminal convictions under applicable criminal statutes. In addition, companies have been forced to implement extensive corrective action plans and have often become subject to consent decrees or corporate integrity agreements, severely restricting the manner in which they conduct their business.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7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78"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which impose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9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addition, there has been a recent trend of increased federal and state regulation of payments made to physicians and other healthcare providers. The ACA, among other things, imposed new reporting requirements through the Physician Payments Sunshine Act on certain manufacturers of drugs covered by a federal healthcare program for payments made by them to physicians and teaching hospitals, as well as ownership and investment interests held by physicians, certain other healthcare professionals and their immediate family members. Failure to submit required information may result in civil monetary penalties for all payments, transfers of value or ownership or investment interests that are not timely, accurately and completely reported in an annual submission. Manufacturers must submit reports by the 90th day of each calendar year. Certain states also mandate implementation of compliance programs, impose restrictions on drug manufacturer marketing practices and/or require the tracking and reporting of gifts, compensation and other remuneration to physicians, and pricing information and marketing expenditures.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jc w:val="both"/>
        <w:ind w:right="740" w:firstLine="518"/>
        <w:spacing w:after="0" w:line="312" w:lineRule="auto"/>
        <w:rPr>
          <w:sz w:val="20"/>
          <w:szCs w:val="20"/>
          <w:color w:val="auto"/>
        </w:rPr>
      </w:pPr>
      <w:r>
        <w:rPr>
          <w:rFonts w:ascii="Arial" w:cs="Arial" w:eastAsia="Arial" w:hAnsi="Arial"/>
          <w:sz w:val="16"/>
          <w:szCs w:val="16"/>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4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us, we may be subject to penalties, including, without limitation, civil and criminal penalties, damages, fines, the curtailment or restructuring of our operations, exclusion from participation in federal and state healthcare programs, reporting obligations and oversight if we become subject to a corporate integrity agreement or other agreement, and imprisonment, any of which could adversely affect our ability to operate our business and our financial results.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both domestic and foreign markets, sales and reimbursement of any approved products will depend, in part, on the extent to which third-party payors, such as government health programs, commercial insurance and managed healthcare organizations provide coverage, and establish adequate reimbursement levels for, such products. Third-party payors are increasingly challenging the prices charged for medical products and services and imposing controls to manage costs. Third-party payors may limit, or hinder, coverage to specific products on an approved list, also known as a formulary, which might not include all of the FDA-approved products for a particular indication. Additionally, we may need to conduct expensive pharmacoeconomic studies in order to demonstrate the cost-effectiveness of our products, as well as provide rebates and discounts which may impact the net selling price of our products. If third-party payors do not consider our products to be cost-effective compared to other therapies, the payors may not cover our products as a benefit under their plans or, if they do, the level of reimbursement may not be sufficient to allow us to sell our products on a profitable basis.</w:t>
      </w:r>
    </w:p>
    <w:p>
      <w:pPr>
        <w:spacing w:after="0" w:line="16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containment of healthcare costs also has become a priority of federal and state governments and the prices of pharmaceutical and biological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154"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Outside the United States, ensuring adequate coverage and payment for our products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Conducting such a clinical trial could be expensive and result in delays in our commercialization efforts. Third-party payors are challenging the prices charged for medical products and services, and many third-party payors limit reimbursement for newly approved healthcare products. Recent budgetary pressures in many countries are also causing governments to consider or implement various cost-containment measures, such as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In the United States, there have been a number of federal and state proposals during the last few years regarding the pricing of pharmaceutical and biological products, government control and other changes to the healthcare system. It is uncertain what legislative proposals will be adopted or what actions federal, state or private payors for medical goods and services may take in response to any healthcare reform proposals or legislation. We cannot predict the effect medical or healthcare reforms may have on our business, and no assurance can be given that any such reforms will not have a material adverse effect.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1" w:name="page32"/>
    <w:bookmarkEnd w:id="31"/>
    <w:p>
      <w:pPr>
        <w:ind w:right="460" w:firstLine="518"/>
        <w:spacing w:after="0" w:line="277" w:lineRule="auto"/>
        <w:rPr>
          <w:sz w:val="20"/>
          <w:szCs w:val="20"/>
          <w:color w:val="auto"/>
        </w:rPr>
      </w:pPr>
      <w:r>
        <w:rPr>
          <w:rFonts w:ascii="Arial" w:cs="Arial" w:eastAsia="Arial" w:hAnsi="Arial"/>
          <w:sz w:val="18"/>
          <w:szCs w:val="18"/>
          <w:color w:val="auto"/>
        </w:rPr>
        <w:t>By way of example, in March 2010, the ACA was signed into law, which, among other things, includes changes to the coverage and payment for pharmaceutical and biological products under government health care programs. Among other things, the ACA:</w:t>
      </w:r>
    </w:p>
    <w:p>
      <w:pPr>
        <w:spacing w:after="0" w:line="62" w:lineRule="exact"/>
        <w:rPr>
          <w:sz w:val="20"/>
          <w:szCs w:val="20"/>
          <w:color w:val="auto"/>
        </w:rPr>
      </w:pPr>
    </w:p>
    <w:p>
      <w:pPr>
        <w:jc w:val="both"/>
        <w:ind w:left="1040" w:right="3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73" w:lineRule="exact"/>
        <w:rPr>
          <w:rFonts w:ascii="Arial" w:cs="Arial" w:eastAsia="Arial" w:hAnsi="Arial"/>
          <w:sz w:val="18"/>
          <w:szCs w:val="18"/>
          <w:color w:val="auto"/>
        </w:rPr>
      </w:pPr>
    </w:p>
    <w:p>
      <w:pPr>
        <w:ind w:left="1040" w:right="80" w:hanging="519"/>
        <w:spacing w:after="0" w:line="34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extended Medicaid drug rebates, previously due only on fee-for-service utilization, to Medicaid managed care utilization, and created an alternate rebate formula for new formulations of certain existing products that is intended to increase the amount of rebates due on those drugs;</w:t>
      </w:r>
    </w:p>
    <w:p>
      <w:pPr>
        <w:spacing w:after="0" w:line="15" w:lineRule="exact"/>
        <w:rPr>
          <w:rFonts w:ascii="Arial" w:cs="Arial" w:eastAsia="Arial" w:hAnsi="Arial"/>
          <w:sz w:val="16"/>
          <w:szCs w:val="16"/>
          <w:color w:val="auto"/>
        </w:rPr>
      </w:pPr>
    </w:p>
    <w:p>
      <w:pPr>
        <w:ind w:left="1040" w:right="80" w:hanging="519"/>
        <w:spacing w:after="0" w:line="30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expanded the types of entities eligible for the 340B drug discount program that mandates discounts to certain hospitals, community centers and other qualifying providers. With the exception of children’s hospitals, these newly eligible entities will not be eligible to receive discounted 340B pricing on orphan drugs. In addition, because 340B pricing is determined based on AMP and Medicaid drug rebate data, the revisions to the Medicaid rebate formula and AMP definition described above could cause the required 340B discounts to increase; and</w:t>
      </w:r>
    </w:p>
    <w:p>
      <w:pPr>
        <w:spacing w:after="0" w:line="46" w:lineRule="exact"/>
        <w:rPr>
          <w:rFonts w:ascii="Arial" w:cs="Arial" w:eastAsia="Arial" w:hAnsi="Arial"/>
          <w:sz w:val="16"/>
          <w:szCs w:val="16"/>
          <w:color w:val="auto"/>
        </w:rPr>
      </w:pPr>
    </w:p>
    <w:p>
      <w:pPr>
        <w:ind w:left="1040" w:right="3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w:t>
      </w:r>
    </w:p>
    <w:p>
      <w:pPr>
        <w:spacing w:after="0" w:line="18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There have been judicial and Congressional challenges to certain aspects of the ACA, as well as efforts to repeal or replace certain aspects of the ACA. For example, the Tax Cuts and Jobs Act was enacted, which, among other things, removes the penalties for not complying with the ACA’s individual mandate to carry health insurance.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While the current Presidential administration and the Centers for Medicare &amp; Medicaid Services, or CMS, have both stated that the ruling will have no immediate effect, it is unclear how this decision, subsequent appeals, if any, and other efforts to repeal and replace the ACA will impact the ACA and our business. Similarly, we expect there will be additional challenges and amendments to the ACA in the future, particularly in light of the current Presidential administration and U.S. Congress.</w:t>
      </w:r>
    </w:p>
    <w:p>
      <w:pPr>
        <w:spacing w:after="0" w:line="179"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For example, the Budget Control Act of 2011, enacted in August 2011, among other things, included reductions of Medicare payments to providers of 2% per fiscal year, which went into effect in April 2013 and, due to subsequent legislative amendments, will remain in effect through 2027 unless additional Congressional action is taken. In January 2013, the American Taxpayer Relief Act of 2012 was signed into law, which, among other things, further reduced Medicare payments to several types of providers, including hospitals,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and biological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Adoption of other new legislation at the federal or state level could further limit reimbursement for pharmaceuticals, including our product candidates if approved.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As of December 31, 2018, we had 145 full-time permanent employees. Twenty-three employees work in administration and operations and 122 work in research and development.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right="340" w:firstLine="518"/>
        <w:spacing w:after="0" w:line="279" w:lineRule="auto"/>
        <w:rPr>
          <w:sz w:val="20"/>
          <w:szCs w:val="20"/>
          <w:color w:val="auto"/>
        </w:rPr>
      </w:pPr>
      <w:r>
        <w:rPr>
          <w:rFonts w:ascii="Arial" w:cs="Arial" w:eastAsia="Arial" w:hAnsi="Arial"/>
          <w:sz w:val="17"/>
          <w:szCs w:val="17"/>
          <w:color w:val="auto"/>
        </w:rPr>
        <w:t xml:space="preserve">We were incorporated in the State of Delaware in 2010 under the name Newco LS21, Inc. In October 2011, we changed our name to Seres Health, Inc., and in May 2015, we changed our name to Seres Therapeutics, Inc. Our principal executive offices are located at 200 Sidney Street, Cambridge, Massachusetts 02139 and our telephone number is (617) 945-9626. Our website address is </w:t>
      </w:r>
      <w:r>
        <w:rPr>
          <w:rFonts w:ascii="Arial" w:cs="Arial" w:eastAsia="Arial" w:hAnsi="Arial"/>
          <w:sz w:val="17"/>
          <w:szCs w:val="17"/>
          <w:i w:val="1"/>
          <w:iCs w:val="1"/>
          <w:color w:val="auto"/>
        </w:rPr>
        <w:t>www.serestherapeutics.com</w:t>
      </w:r>
      <w:r>
        <w:rPr>
          <w:rFonts w:ascii="Arial" w:cs="Arial" w:eastAsia="Arial" w:hAnsi="Arial"/>
          <w:sz w:val="17"/>
          <w:szCs w:val="17"/>
          <w:color w:val="auto"/>
        </w:rPr>
        <w:t>. The information contained in, or accessible through, our website does not constitute a part of this annual report on Form 10-K.</w:t>
      </w:r>
    </w:p>
    <w:p>
      <w:pPr>
        <w:spacing w:after="0" w:line="171"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or the Exchange Act, and, accordingly, file reports, proxy statements and other information with the Securities and Exchange Commission. The Securities and Exchange Commission maintains a web site (http://www.sec.gov) that contains material regarding issuers that file electronically, such as ourselves, with the Securities and Exchange Commission.</w:t>
      </w:r>
    </w:p>
    <w:p>
      <w:pPr>
        <w:spacing w:after="0" w:line="14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Securities and Exchange Commission.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i w:val="1"/>
          <w:iCs w:val="1"/>
          <w:color w:val="auto"/>
        </w:rPr>
        <w:t>Our business faces significant risks and uncertainties. Accordingly, in evaluating our business, you should carefully consider the risk factors discussed below, as well as the other information in this Annual Report on Form 10-K, including our consolidated financial statements and the related notes and “Management’s Discussion and Analysis of Results of Operations and Financial Condition.” The occurrence of any of the events or developments described below or elsewhere in this report could harm our business, financial condition, results of operations or growth prospects.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are a development-stage company and have incurred significant losses since our inception. We expect to incur losses for the foreseeable future and may never achieve or maintain profitability. As a result, there is substantial doubt about our ability to continue as a going concern.</w:t>
      </w:r>
    </w:p>
    <w:p>
      <w:pPr>
        <w:spacing w:after="0" w:line="16"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Since inception, we have incurred significant operating losses. Our net loss was $98.9 million for the year ended December 31, 2018, $89.4 million for the year ended December 31, 2017, and $91.6 million for the year ended December 31, 2016. As of December 31, 2018, we had an accumulated deficit of $389.4 million. To date, we have financed our operations through the initial public offering of our common stock, private placements of our preferred stock, milestone payments under the licensing agreement with Nestec, Ltd., or NHS, and loan financing. We have devoted substantially all of our financial resources and efforts to developing our microbiome therapeutics platform, identifying potential product candidates and conducting preclinical studies and clinical trials. We have not completed development of any of our product candidates, which we call Ecobiotic microbiome therapeutics, or other drugs or biologics. We expect to continue to incur significant expenses and operating losses for the foreseeable future. We anticipate that our expenses may increase substantially as we:</w:t>
      </w:r>
    </w:p>
    <w:p>
      <w:pPr>
        <w:spacing w:after="0" w:line="84"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the clinical development of SER-109, our lead product candidate, in the Phase 3 clinical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the clinical development of SER-287 for the treatment of UC in adults and children and potential other studies of IBD;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the clinical development of SER-401 in a Phase 1b clinical trial in patients with metastatic melanoma;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conduct research and continue preclinical development of additional Ecobiotic microbiome therapeutic candidates, including SER-301;</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scale-up manufacturing capabilities to commercialize any products for which we may obtain regulatory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 our obligations under the collaboration agreement with NHS;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3" w:name="page34"/>
    <w:bookmarkEnd w:id="33"/>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 and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in the preliminary stages of many of these activities. We may never succeed in these activities and, even if we do, may never generate revenue that is significant enough to achieve profitability.</w:t>
      </w:r>
    </w:p>
    <w:p>
      <w:pPr>
        <w:spacing w:after="0" w:line="188"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w:t>
      </w:r>
    </w:p>
    <w:p>
      <w:pPr>
        <w:spacing w:after="0" w:line="1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even continue our operations.</w:t>
      </w:r>
    </w:p>
    <w:p>
      <w:pPr>
        <w:spacing w:after="0" w:line="181" w:lineRule="exact"/>
        <w:rPr>
          <w:sz w:val="20"/>
          <w:szCs w:val="20"/>
          <w:color w:val="auto"/>
        </w:rPr>
      </w:pPr>
    </w:p>
    <w:p>
      <w:pPr>
        <w:ind w:right="140" w:firstLine="518"/>
        <w:spacing w:after="0" w:line="288" w:lineRule="auto"/>
        <w:rPr>
          <w:sz w:val="20"/>
          <w:szCs w:val="20"/>
          <w:color w:val="auto"/>
        </w:rPr>
      </w:pPr>
      <w:r>
        <w:rPr>
          <w:rFonts w:ascii="Arial" w:cs="Arial" w:eastAsia="Arial" w:hAnsi="Arial"/>
          <w:sz w:val="16"/>
          <w:szCs w:val="16"/>
          <w:color w:val="auto"/>
        </w:rPr>
        <w:t xml:space="preserve">As discussed in Note 1 of the consolidated financial statements included in this Annual Report under Accounting Standards Update, or ASU,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(Subtopic 205-40), or, ASC 205-40, we have the responsibility to evaluate whether conditions and/or events raise substantial doubt about our ability to meet our future financial obligations as they become due within one year after the date the financial statements are issued. Under ASC 205-40, this evaluation initially cannot take into consideration the potential mitigating effects of plans that have not been fully implemented as of the date the financial statements are issued. Since we currently anticipate that our existing financial resources will enable us to meet forecasted operating plans into the fourth quarter of 2019, we have determined that our cash runway of less than 12 months along with our accumulated deficit, history of losses, and future expected losses meet the ASC 205-40 standard for raising substantial doubt about our ability to continue as a going concern within one year of the issuance date of our consolidated financial statements. We may not be successful in our mitigation efforts, which primarily consist of raising additional capital through some combination of equity or debt financings, and/or potential new collaborations and reducing cash expenditures. Lack of necessary funds may require us, among other things, to delay, scale back, or eliminate some or all of our planned clinical trials.</w:t>
      </w:r>
    </w:p>
    <w:p>
      <w:pPr>
        <w:spacing w:after="0" w:line="277"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Our expenses may increase in connection with our ongoing activities, particularly as we continue the clinical development of SER-109, including conducting the Phase 3 clinical study, continue the clinical development of SER-287, including conducting the Phase 2b clinical study, initiate clinical studies of SER-401, and continue to research, develop and initiate clinical trials of SER-301 and our other product candidates. In addition, if we obtain regulatory approval for any of our product candidates, we expect to incur significant commercialization expenses related to product manufacturing, marketing, sales and distribution. Furthermore,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6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do not expect that our existing cash, cash equivalents and investments will be sufficient to fund our operating expenses and capital expenditure requirements for a one-year period from the issuance of the consolidated financial statements included in this Annual Report. This estimate excludes net cash flows from future business development activities. In addition, the specifics of existing and future clinical trial activities could impact capital requirements and cash projections. We have based this estimate on assumptions that may prove to be wrong, and we could use our capital resources sooner than we currently expect. Our future capital requirements will depend on many factors, including:</w:t>
      </w:r>
    </w:p>
    <w:p>
      <w:pPr>
        <w:spacing w:after="0" w:line="64"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and results of our Phase 3 clinical study of SER-109;</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and results of future clinical studies of SER-287;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and results of our studies in immuno-oncology;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clinical supplies for our product candidates;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 including SER-301;</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9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and may decrease our stock price.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8"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may make it difficult to evaluate the success of our business to date and to assess our future viability.</w:t>
      </w:r>
    </w:p>
    <w:p>
      <w:pPr>
        <w:spacing w:after="0" w:line="117"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Since our inception in October 2010, we have devoted substantially all of our resources to developing our clinical and preclinical program, building our intellectual property portfolio, developing our supply chain, planning our business, raising capital and providing general and administrative support for these operations. We have completed our Phase 1b and a Phase 2 clinical study of SER-109, our lead product candidate, and have reported top-line data in our Phase 1b studies of SER-287 and SER-262. We have not yet demonstrated our ability to successfully complete any Phase 3 clinical study or other pivotal clinical trials, obtain regulatory approvals,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quarter to quarter and year to year due to a variety of factors, many of which are beyond our control. Consequently, any predictions made about our future success or viability may not be as accurate as they could be if we had a longer operating history.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Other than SER-109, we are early in our development efforts and may not be successful in our efforts to use our microbiome therapeutics platform to build a pipeline of product candidates and develop marketable drugs.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using our microbiome therapeutics platform to develop Ecobiotic microbiome therapeutics. We are at an early stage of development and our platform has not yet, and may never, lead to approvable or marketable drugs. We are developing additional product candidates that we intend to be used to prevent infection and treat diseases where the microbiome is implicated. We may have problems applying our technologies to these areas, and our product candidates may not be effective in preventing infection and disease. Our product candidates may not be suitable for clinical development, including as a result of their harmful side effects, limited efficacy or other characteristics that indicate that they are unlikely to be products that will receive marketing approval and achieve market acceptance.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1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our own, commercial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entering into new collaborations throughout the development process as appropriate, from preclinical studies through to commercialization;</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coverage and adequate reimbursement by third-party payors, including government payors, for our products,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products and technology.</w:t>
      </w:r>
    </w:p>
    <w:p>
      <w:pPr>
        <w:spacing w:after="0" w:line="24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If we do not successfully develop and commercialize product candidates we will not be able to obtain product revenue in future periods, which likely would result in significant harm to our financial position and adversely affect our stock price.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are based on microbiome therapeutics, which is an unproven approach to therapeutic intervention.</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All of our product candidates are based on microbiome therapeutics, a therapeutic approach that is designed to prevent infection and treat disease by restoring the function of a dysbiotic microbiome. We have not, nor to our knowledge has any other company, received regulatory approval for, or manufactured on a commercial scale, a therapeutic based on this approach. We cannot be certain that our approach will lead to the development of approvable or marketable products or that we will be able to manufacture at commercial scale, if approved. In addition, our Ecobiotic microbiome therapeutics may have different effectiveness rates in various indications and in different geographical areas. Finally, the FDA or other regulatory agencies may lack experience in evaluating the safety and efficacy of products based on microbiome therapeutics, which could result in a longer than expected regulatory review process, increase our expected development costs and delay or prevent commercialization of our product candidates.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6" w:name="page37"/>
    <w:bookmarkEnd w:id="36"/>
    <w:p>
      <w:pPr>
        <w:ind w:right="20" w:firstLine="518"/>
        <w:spacing w:after="0" w:line="255" w:lineRule="auto"/>
        <w:rPr>
          <w:sz w:val="20"/>
          <w:szCs w:val="20"/>
          <w:color w:val="auto"/>
        </w:rPr>
      </w:pPr>
      <w:r>
        <w:rPr>
          <w:rFonts w:ascii="Arial" w:cs="Arial" w:eastAsia="Arial" w:hAnsi="Arial"/>
          <w:sz w:val="18"/>
          <w:szCs w:val="18"/>
          <w:color w:val="auto"/>
        </w:rPr>
        <w:t>Our microbiome therapeutics platform relies on third parties for biological materials, including human stool. Some biological materials have not always met our expectations or requirements, and any disruption in the supply of these biological materials could materially adversely affect our business. For example, if any supplied biological materials are contaminated with disease organisms, we would not be able to use such biological materials. Although we have control processes and screening procedures, biological materials are susceptible to damage and contamination and may contain active pathogens. Improper storage of these materials, by us or any third-party suppliers, may require us to destroy some of our materials or products, which could delay the development or commercialization of our product candidates.</w:t>
      </w:r>
    </w:p>
    <w:p>
      <w:pPr>
        <w:spacing w:after="0" w:line="30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risky, lengthy and expensive process, with an uncertain outcome. We may incur additional costs or experience delays in completing, or ultimately be unable to complete, the development and commercialization of our product candidates.</w:t>
      </w:r>
    </w:p>
    <w:p>
      <w:pPr>
        <w:spacing w:after="0" w:line="29"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It is difficult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failed clinical trial can occur at any stage of testing. The outcome of preclinical testing and early clinical trials may not be predictive of the success of later clinical trials, and interim or preliminary results of a clinical trial, that we may from time to time announce, do not necessarily predict final results. A number of companies in the pharmaceutical and biotechnology industries have suffered significant setbacks in advanced clinical trials due to lack of efficacy or adverse safety profiles, notwithstanding promising results in earlier studies, and we cannot be certain that we will not face similar setbacks. Interim data from clinical trials that we may complete are subject to the risk that one or more of the clinical outcomes may materially change as patient enrollment continues and more patient data become available. Preliminary or topline data remain subject to audit and verification procedures that may result in the final data being materially different from the preliminary or interim data we previously published. As a result, these data should be viewed with caution until the final data are available. Adverse changes between preliminary or interim data and final data could significantly harm our business prospects.</w:t>
      </w:r>
    </w:p>
    <w:p>
      <w:pPr>
        <w:spacing w:after="0" w:line="20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addition, we cannot be certain as to what type and how many clinical trials the FDA, or other regulators, will require us to conduct before we may successfully gain approval to market any of our other product candidates.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In 2014, the FDA had indicated that we may be required to conduct more than one Phase 3 clinical trial of SER-109 in order to gain approval. More recently, the FDA has indicated that a single Phase 3 study for SER-109 will be sufficient for approval provided that we show a persuasive clinical effect and certain chemistry, manufacturing and controls parameters.</w:t>
      </w:r>
    </w:p>
    <w:p>
      <w:pPr>
        <w:spacing w:after="0" w:line="17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1040" w:right="3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failures or delays in reaching agreement on acceptable clinical trial contracts or clinical trial protocols with prospective trial sites;</w:t>
      </w:r>
    </w:p>
    <w:p>
      <w:pPr>
        <w:spacing w:after="0" w:line="117" w:lineRule="exact"/>
        <w:rPr>
          <w:rFonts w:ascii="Arial" w:cs="Arial" w:eastAsia="Arial" w:hAnsi="Arial"/>
          <w:sz w:val="18"/>
          <w:szCs w:val="18"/>
          <w:color w:val="auto"/>
        </w:rPr>
      </w:pPr>
    </w:p>
    <w:p>
      <w:pPr>
        <w:ind w:left="1040" w:right="460" w:hanging="519"/>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clinical trials of our product candidates may demonstrate undesirable side effects or produce negative or inconclusive results, and we may decide, or regulators may require us, to conduct additional clinical trials or abandon product development programs;</w:t>
      </w:r>
    </w:p>
    <w:p>
      <w:pPr>
        <w:spacing w:after="0" w:line="38" w:lineRule="exact"/>
        <w:rPr>
          <w:rFonts w:ascii="Arial" w:cs="Arial" w:eastAsia="Arial" w:hAnsi="Arial"/>
          <w:sz w:val="17"/>
          <w:szCs w:val="17"/>
          <w:color w:val="auto"/>
        </w:rPr>
      </w:pPr>
    </w:p>
    <w:p>
      <w:pPr>
        <w:ind w:left="1040" w:right="180" w:hanging="519"/>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62" w:lineRule="exact"/>
        <w:rPr>
          <w:rFonts w:ascii="Arial" w:cs="Arial" w:eastAsia="Arial" w:hAnsi="Arial"/>
          <w:sz w:val="18"/>
          <w:szCs w:val="18"/>
          <w:color w:val="auto"/>
        </w:rPr>
      </w:pPr>
    </w:p>
    <w:p>
      <w:pPr>
        <w:ind w:left="1040" w:right="360" w:hanging="519"/>
        <w:spacing w:after="0" w:line="34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28" w:lineRule="exact"/>
        <w:rPr>
          <w:rFonts w:ascii="Arial" w:cs="Arial" w:eastAsia="Arial" w:hAnsi="Arial"/>
          <w:sz w:val="17"/>
          <w:szCs w:val="17"/>
          <w:color w:val="auto"/>
        </w:rPr>
      </w:pPr>
    </w:p>
    <w:p>
      <w:pPr>
        <w:ind w:left="1040" w:right="36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regarding trials managed by any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3"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lose the support of current or any future collaborators, requiring us to bear more of the burden of development of certain compounds;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we intend or desire;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In June 2017, we initiated a Phase 3 clinical study of SER-109 (ECOSPOR III) in patients with multiply recurrent CDI. Additional clinical trials or changes in our development plans could cause us to incur significant development costs, delay or prevent the commercialization of SER-109 or otherwise adversely affect our business.</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2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are developing our lead product candidate, SER-109, to reduce recurrence of CDI in patients suffering from recurrent CDI. There is a limited number of patients from which to draw for clinical studies.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 including the use of unapproved fecal microbiota transplant, or FMT, for CDI;</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8" w:name="page39"/>
    <w:bookmarkEnd w:id="38"/>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burden, or perceived burden, of the clinical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inability to enroll a sufficient number of patients for our clinical trials or a delayed rate of enrollment would result in significant delays and could require us to abandon one or more clinical trials altogether. We continue to enroll the SER-109 Phase 3 study for patients with recurrent CDI despite the widespread use of unapproved, FMT to treat CDI. As interference from this uncontrolled procedure has impacted the enrollment rate of our placebo-controlled clinical trial, we are evaluating modification of the study design to expedite clinical results. Enrollment delays in our clinical trials would result in increased development costs for our product candidates, which would cause the value of our company to decline and limit our ability to obtain additional financing.</w:t>
      </w: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product candidates or will not be able to do so as soon as anticipated, and our ability to generate revenue will be materially impaired.</w:t>
      </w:r>
    </w:p>
    <w:p>
      <w:pPr>
        <w:spacing w:after="0" w:line="6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in any jurisdiction will prevent us from commercializing the product candidate in that jurisdiction and may affect our plans for commercialization in other jurisdictions as well.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process of obtaining marketing approvals, both in the United States and abroad, is expensive, risky and may take many years. The scope and amount of clinical data required to obtain marketing approvals can vary substantially from jurisdiction to jurisdiction, and it may be difficult to predict whether a particular regulatory body will require additional or different studies than those conducted by a sponsor, especially for novel product candidates such as our Ecobiotic microbiome therapeutics. The FDA or foreign regulatory authorities may delay, limit, or deny approval to market our product candidates for many reasons, including: our inability to demonstrate that the clinical benefits of our product candidates outweigh any safety or other perceived risks; the regulatory authority’s disagreement with the interpretation of data from nonclinical or clinical studies; the regulatory agency’s requirement that we conduct additional preclinical studies and clinical trials; changes in marketing approval policies during the development period; changes in or the enactment of additional statutes or regulations, or changes in regulatory review process for each submitted product application; or the regulatory authority’s failure to approve the manufacturing processes or third-party manufacturers with which we contract. Regulatory authorities have substantial discretion in the approval process and may refuse to accept a marketing application if deficient.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Of the large number of drugs in development, only a small percentage successfully complete the FDA or other regulatory approval processes and are commercialized.</w:t>
      </w:r>
    </w:p>
    <w:p>
      <w:pPr>
        <w:spacing w:after="0" w:line="175"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Furthermore, our product candidates may not receive marketing approval even if they achieve their specified endpoints in clinical trials. Clinical data is often susceptible to varying interpretations and many companies that have believed that their products performed satisfactorily in clinical trials have nonetheless failed to obtain regulatory agency approval for their products. The FDA or foreign regulatory authorities may disagree with our trial design and our interpretation of data from nonclinical and clinical studies. Upon the FDA’s review of data from any pivotal trial, it may request that the sponsor conduct additional analyses of the data and, if it believes the data are not satisfactory, could advise the sponsor to delay filing a marketing application.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ind w:right="20" w:firstLine="518"/>
        <w:spacing w:after="0" w:line="255" w:lineRule="auto"/>
        <w:rPr>
          <w:sz w:val="20"/>
          <w:szCs w:val="20"/>
          <w:color w:val="auto"/>
        </w:rPr>
      </w:pPr>
      <w:r>
        <w:rPr>
          <w:rFonts w:ascii="Arial" w:cs="Arial" w:eastAsia="Arial" w:hAnsi="Arial"/>
          <w:sz w:val="18"/>
          <w:szCs w:val="18"/>
          <w:color w:val="auto"/>
        </w:rPr>
        <w:t>Even if we eventually complete clinical testing and receive approval of a biologics license application, or BLA, or foreign marketing authorization for one of our product candidates, the FDA or the applicable foreign regulatory agency may grant approval contingent on the performance of costly additional clinical trials, which may be required after approval. The FDA or the applicable foreign regulatory agency may also approve our product candidates for a more limited indication and/or a narrower patient population than we originally request, and the FDA, or applicable foreign regulatory agency, may not approve the labeling that we believe is necessary or desirable for the successful commercialization of our product candidates. Any delay in obtaining, or inability to obtain, applicable regulatory approval would delay or prevent commercialization of our product candidates and would materially adversely impact our business and prospects.</w:t>
      </w:r>
    </w:p>
    <w:p>
      <w:pPr>
        <w:spacing w:after="0" w:line="189"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development of therapeutic products targeting the underlying biology of the human microbiome is an emerging field, and it is possible that the FDA and other regulatory authorities could issue regulations or new policies in the future affecting our Ecobiotic microbiome therapeutics that could adversely affect our product candidates.</w:t>
      </w:r>
    </w:p>
    <w:p>
      <w:pPr>
        <w:spacing w:after="0" w:line="18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may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FDA Fast Track designation. Fast Track designation provides increased opportunities for sponsor meetings with the FDA during preclinical and clinical development, in addition to the potential for rolling review once a marketing application is filed. The FDA has broad discretion whether or not to grant this designation, and even if we believe a particular product candidate is eligible for this designation, we cannot be certain that the FDA would decide to grant it. Even if we do receive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clinical development program.</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regulatory review or approval process, and it does not increase the likelihood that our product candidates will receive marketing approval.</w:t>
      </w:r>
    </w:p>
    <w:p>
      <w:pPr>
        <w:spacing w:after="0" w:line="62"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We have received Breakthrough Therapy designation for SER-109, and we may seek a Breakthrough Therapy designation for our other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in early clinical development. For drugs that have been designated as breakthrough therapies, interaction and communication between the FDA and the sponsor can help to identify the most efficient path for clinical development. Drugs designated as breakthrough therapies by the FDA are also eligible for rolling review of the associated marketing application, meaning that the agency may review portions of the marketing application before the sponsor submits the complete application, as well as priority review, where the agency aims to act on the application within eight months.</w:t>
      </w:r>
    </w:p>
    <w:p>
      <w:pPr>
        <w:spacing w:after="0" w:line="192"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receipt of a Breakthrough Therapy designation for a product candidate may not result in a faster development process, review or approval compared to conventional FDA procedures and does not assure ultimate approval by the FDA. In addition, not all products designated as breakthrough therapies ultimately will be shown to have the substantial improvement over available therapies suggested by the preliminary clinical evidence at the time of designation. As a result, if the Breakthrough Therapy designation for SER-109 or any future designation we receive is no longer supported by subsequent data, the FDA may rescind the designation.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orphan drug designation for some of our product candidates but may not be able to obtain it.</w:t>
      </w:r>
    </w:p>
    <w:p>
      <w:pPr>
        <w:spacing w:after="0" w:line="11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We have obtained orphan drug designation from the FDA for SER-109 for recurrent CDI and SER-287 for pediatric ulcerative colitis and may seek orphan drug designation and exclusivity for some of our future product candidates. Regulatory authorities in some jurisdictions, including the United States and Europe,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in the United States.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right="20" w:firstLine="518"/>
        <w:spacing w:after="0" w:line="293"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or biologic for that time period.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a sufficient quantity of the drug or biologic to meet the needs of patients with the rare disease or condition.</w:t>
      </w:r>
    </w:p>
    <w:p>
      <w:pPr>
        <w:spacing w:after="0" w:line="165"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Orphan drug exclusivity for a product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274"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Disruptions at the FDA and other agencies may also slow the time necessary for new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7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229" w:lineRule="exact"/>
        <w:rPr>
          <w:sz w:val="20"/>
          <w:szCs w:val="20"/>
          <w:color w:val="auto"/>
        </w:rPr>
      </w:pPr>
    </w:p>
    <w:p>
      <w:pPr>
        <w:jc w:val="both"/>
        <w:ind w:right="240"/>
        <w:spacing w:after="0" w:line="340" w:lineRule="auto"/>
        <w:rPr>
          <w:sz w:val="20"/>
          <w:szCs w:val="20"/>
          <w:color w:val="auto"/>
        </w:rPr>
      </w:pPr>
      <w:r>
        <w:rPr>
          <w:rFonts w:ascii="Arial" w:cs="Arial" w:eastAsia="Arial" w:hAnsi="Arial"/>
          <w:sz w:val="15"/>
          <w:szCs w:val="15"/>
          <w:b w:val="1"/>
          <w:bCs w:val="1"/>
          <w:i w:val="1"/>
          <w:iCs w:val="1"/>
          <w:color w:val="auto"/>
        </w:rPr>
        <w:t>The Collaboration and License Agreement, or the License Agreement, with NHS is important to our business. If we or NHS fail to adequately perform under the License Agreement, or if we or NHS terminate the License Agreement, the development and commercialization of our CDI and IBD product candidates, including SER-109, SER-262, SER-287, and SER-301, would be delayed or terminated and our business would be adversely affected.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License Agreement may be terminated:</w:t>
      </w:r>
    </w:p>
    <w:p>
      <w:pPr>
        <w:spacing w:after="0" w:line="117" w:lineRule="exact"/>
        <w:rPr>
          <w:sz w:val="20"/>
          <w:szCs w:val="20"/>
          <w:color w:val="auto"/>
        </w:rPr>
      </w:pPr>
    </w:p>
    <w:p>
      <w:pPr>
        <w:ind w:left="1040" w:right="4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NHS in the event of serious safety issues related to SER-109, SER-262, SER-287, SER-301 or other specific products added under the License Agreement, or, collectively, the NHS Collaboration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us if NHS challenges the validity or enforceability of any of our licensed patents;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either NHS or us in the event of the other party’s uncured material breach or insolvency.</w:t>
      </w:r>
    </w:p>
    <w:p>
      <w:pPr>
        <w:spacing w:after="0" w:line="225"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Upon termination of the License Agreement, all licenses granted to NHS by us will terminate, and all rights in and to the NHS Collaboration Products held by NHS will revert to us. If we commit a material breach of the License Agreement, NHS may elect not to terminate the License Agreement but instead apply specified adjustments to its payment obligations and other terms and conditions of the License Agreement. If NHS were to make such adjustments, the funding from and benefits of the License Agreement could be diminished, which could adversely affect our financial condition. Unless the License Agreement is terminated by us for NHS’ uncured material breach, upon termination of the License Agreement, NHS will be eligible to receive post-termination royalties from us until NHS has recouped certain development costs related to the NHS Collaboration Products and specified percentages of any milestone payments paid to us under the License Agreement prior to termination, which could have a material adverse effect on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ind w:right="80" w:firstLine="518"/>
        <w:spacing w:after="0" w:line="255" w:lineRule="auto"/>
        <w:rPr>
          <w:sz w:val="20"/>
          <w:szCs w:val="20"/>
          <w:color w:val="auto"/>
        </w:rPr>
      </w:pPr>
      <w:r>
        <w:rPr>
          <w:rFonts w:ascii="Arial" w:cs="Arial" w:eastAsia="Arial" w:hAnsi="Arial"/>
          <w:sz w:val="18"/>
          <w:szCs w:val="18"/>
          <w:color w:val="auto"/>
        </w:rPr>
        <w:t>Termination of the License Agreement could cause significant delays in our product development and commercialization efforts that could prevent us from commercializing our CDI and IBD product candidates, outside of the United States and Canada, without first expanding our internal capabilities or entering into another agreement with a third party. Any alternative collaboration or license could also be on less favorable terms to us. In addition, under the License Agreement, NHS agreed to provide funding for certain clinical development activities. If the License Agreement were terminated, we may need to refund those payments and seek additional financing to support the research and development of any terminated products or discontinue any terminated products, which could have a material adverse effect on our business.</w:t>
      </w:r>
    </w:p>
    <w:p>
      <w:pPr>
        <w:spacing w:after="0" w:line="19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Under the License Agreement, we are dependent upon NHS to successfully commercialize any NHS Collaboration Products outside of the United States and Canada. We cannot directly control NHS’ commercialization activities or the resources it allocates to our product candidates. Our interests and NHS’ interests may differ or conflict from time to time, or we may disagree with NHS’ level of effort or resource allocation. NHS may internally prioritize our product candidates differently than we do or it may not allocate sufficient resources to effectively or optimally commercialize them. If these events were to occur, our business would be adversely affected.</w:t>
      </w:r>
    </w:p>
    <w:p>
      <w:pPr>
        <w:spacing w:after="0" w:line="2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62"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expect to continue to rely on third parties, such as contract research organizations, or CROs, clinical data management organizations, medical institutions and clinical investigators, to conduct and manage our clinical trials.</w:t>
      </w:r>
    </w:p>
    <w:p>
      <w:pPr>
        <w:spacing w:after="0" w:line="17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with which we must comply. We also are required to register ongoing clinical trials and post the results of completed clinical trials on a government-sponsored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16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and may not be able to, or may be delayed in our efforts to, successfully commercialize our product candidates.</w:t>
      </w:r>
    </w:p>
    <w:p>
      <w:pPr>
        <w:spacing w:after="0" w:line="178"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9" w:lineRule="exact"/>
        <w:rPr>
          <w:sz w:val="20"/>
          <w:szCs w:val="20"/>
          <w:color w:val="auto"/>
        </w:rPr>
      </w:pPr>
    </w:p>
    <w:p>
      <w:pPr>
        <w:jc w:val="both"/>
        <w:ind w:right="120"/>
        <w:spacing w:after="0" w:line="340" w:lineRule="auto"/>
        <w:rPr>
          <w:sz w:val="20"/>
          <w:szCs w:val="20"/>
          <w:color w:val="auto"/>
        </w:rPr>
      </w:pPr>
      <w:r>
        <w:rPr>
          <w:rFonts w:ascii="Arial" w:cs="Arial" w:eastAsia="Arial" w:hAnsi="Arial"/>
          <w:sz w:val="15"/>
          <w:szCs w:val="15"/>
          <w:b w:val="1"/>
          <w:bCs w:val="1"/>
          <w:i w:val="1"/>
          <w:iCs w:val="1"/>
          <w:color w:val="auto"/>
        </w:rPr>
        <w:t>We rely on third parties for certain aspects of the manufacture of our product candidates for preclinical and clinical testing and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2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rely, and expect to continue to rely, on third parties for certain aspects of materials supply for our product candidates in preclinical and clinical testing, as well as for commercial manufacture if any of our product candidates receive marketing approval. This reliance on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2" w:name="page43"/>
    <w:bookmarkEnd w:id="42"/>
    <w:p>
      <w:pPr>
        <w:ind w:firstLine="518"/>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on acceptable terms or at all. Even if we are able to establish agreements with third-party manufacturers, reliance on third-party manufacturers entails additional risks, including:</w:t>
      </w:r>
    </w:p>
    <w:p>
      <w:pPr>
        <w:spacing w:after="0" w:line="62"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breach of supply agreements by the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supply components, intermediates, services, or product according to our specifications;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supply components, intermediates, services, or product according to our schedule or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know-how;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or nonrenewal of agreements by third-party manufacturers at times that are costly or inconvenient for us.</w:t>
      </w:r>
    </w:p>
    <w:p>
      <w:pPr>
        <w:spacing w:after="0" w:line="225" w:lineRule="exact"/>
        <w:rPr>
          <w:sz w:val="20"/>
          <w:szCs w:val="20"/>
          <w:color w:val="auto"/>
        </w:rPr>
      </w:pPr>
    </w:p>
    <w:p>
      <w:pPr>
        <w:ind w:right="220" w:firstLine="518"/>
        <w:spacing w:after="0" w:line="288" w:lineRule="auto"/>
        <w:rPr>
          <w:sz w:val="20"/>
          <w:szCs w:val="20"/>
          <w:color w:val="auto"/>
        </w:rPr>
      </w:pPr>
      <w:r>
        <w:rPr>
          <w:rFonts w:ascii="Arial" w:cs="Arial" w:eastAsia="Arial" w:hAnsi="Arial"/>
          <w:sz w:val="16"/>
          <w:szCs w:val="16"/>
          <w:color w:val="auto"/>
        </w:rPr>
        <w:t>Third-party manufacturers may not be able to comply with current good manufacturing processes, or cGMP, regulations or similar regulatory requirements inside or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The contract manufacturers we rely on to produce our product candidates have never produced an FDA-approved therapeutic. If our manufacturers are unable to comply with cGMP regulation or if the FDA or other regulators do not approve their facility upon a pre-approval inspection, our therapeutic candidates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169"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Except for our clinical production facility in Massachusetts, we do not currently have arrangements in place for redundant supply of product. We do not currently have a second source for required materials used for the manufacture of finished product. If our current manufacturers cannot perform as agreed, we may be required to replace such manufacturers and we may be unable to replace them on a timely basis or at all. Our current and anticipated future dependence upon others for the manufacture of our product candidates or products could delay, prevent or impair our development and commercialization efforts.</w:t>
      </w:r>
    </w:p>
    <w:p>
      <w:pPr>
        <w:spacing w:after="0" w:line="266"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73"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We have manufacturing facilities at our Cambridge, Massachusetts locations where we conduct process development, scale-up activities and a portion of the manufacture of Ecobiotic microbiome therapeutics. The FDA and other comparable foreign regulatory agencies must, pursuant to inspections that are conducted after submitting a BLA or relevant foreign marketing submission, confirm that the manufacturing processes for the product meet cGMP. We have not yet had any of our manufacturing facilities inspected.</w:t>
      </w:r>
    </w:p>
    <w:p>
      <w:pPr>
        <w:spacing w:after="0" w:line="187"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We may establish a manufacturing facility for our product candidates for production at a commercial scale. We have no experience in commercial-scale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commercial-scale manufacturing facilities that are adequate to produce materials for additional later-stage clinical trials or commercial use.</w:t>
      </w:r>
    </w:p>
    <w:p>
      <w:pPr>
        <w:spacing w:after="0" w:line="188" w:lineRule="exact"/>
        <w:rPr>
          <w:sz w:val="20"/>
          <w:szCs w:val="20"/>
          <w:color w:val="auto"/>
        </w:rPr>
      </w:pPr>
    </w:p>
    <w:p>
      <w:pPr>
        <w:ind w:right="560" w:firstLine="518"/>
        <w:spacing w:after="0" w:line="264"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facility, equipment, systems, processes and analytics. We may be subject to lengthy delays and expense in conducting validation studies, if we can meet the requirements at all.</w:t>
      </w:r>
    </w:p>
    <w:p>
      <w:pPr>
        <w:spacing w:after="0" w:line="18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In addition, some of our product candidates require donor material, of which we may not be able to collect sufficient quantities for commercial-scale or other manufacturing.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Risks Related to Commercialization of Our Product Candidates and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Legal Matters</w:t>
      </w:r>
    </w:p>
    <w:p>
      <w:pPr>
        <w:spacing w:after="0" w:line="2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hospitals, third-party payors and others in the medical community necessary for commercial success.</w:t>
      </w:r>
    </w:p>
    <w:p>
      <w:pPr>
        <w:spacing w:after="0" w:line="62"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For example, current CDI treatment involves the use of antibiotics that are well established in the medical community or the use of FMT and physicians may continue to rely on these treatments and our competitors and physicians may continue to seek to standardize and implement this procedure. If our product candidates receive approval but do not achieve an adequate level of acceptance, we may not generate significant product revenue and we may not become profitable. The degree of market acceptance of our approved product candidates, if any, will depend on a number of factors, including:</w:t>
      </w:r>
    </w:p>
    <w:p>
      <w:pPr>
        <w:spacing w:after="0" w:line="85"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our products are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interactions of our products with other medicines patients are taking;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patients to take our products.</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6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have employees with experience in sales and marketing, but we have limited sales or marketing infrastructure and, as a company,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sales and marketing functions and we may not be successful in doing so.</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the future,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educate physicians on the benefits of our products;</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4" w:name="page45"/>
    <w:bookmarkEnd w:id="44"/>
    <w:p>
      <w:pPr>
        <w:ind w:right="60" w:firstLine="518"/>
        <w:spacing w:after="0" w:line="273" w:lineRule="auto"/>
        <w:rPr>
          <w:sz w:val="20"/>
          <w:szCs w:val="20"/>
          <w:color w:val="auto"/>
        </w:rPr>
      </w:pPr>
      <w:r>
        <w:rPr>
          <w:rFonts w:ascii="Arial" w:cs="Arial" w:eastAsia="Arial" w:hAnsi="Arial"/>
          <w:sz w:val="17"/>
          <w:szCs w:val="17"/>
          <w:color w:val="auto"/>
        </w:rPr>
        <w:t>Outside the United States, we rely and may increasingly rely on third parties, including NHS,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for reducing CDI and other disease indications we are targeting. Some of these competitive products and therapies are based on scientific approaches that are the same as or similar to our approach, and others may be based on entirely different approaches. For example, FMT is a procedure that has resulted in reports of high cure rates for recurrent CDI and our competitors and physicians may continue to seek to standardize and implement this procedure. Potential competitors also include academic institutions, government agencies, not-for-profits,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and marketing approved products than we do. Mergers and acquisitions in the pharmaceutical and biotechnology industries may result in even more resources being concentrated among a smaller number of our competitors.</w:t>
      </w:r>
    </w:p>
    <w:p>
      <w:pPr>
        <w:spacing w:after="0" w:line="171"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24"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3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would harm our business.</w:t>
      </w:r>
    </w:p>
    <w:p>
      <w:pPr>
        <w:spacing w:after="0" w:line="6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Obtaining and maintaining adequate reimbursement for our products may be difficult.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20" w:firstLine="518"/>
        <w:spacing w:after="0" w:line="270"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treatment approaches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140"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currently hold $5.0 million in product liability insurance coverage in the aggregate, with a per occurrence limit of $5.0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auto"/>
        </w:rPr>
        <w:t>We may face competition from biosimilars, which may have a material adverse impact on the future commercial prospects of our product candidates.</w:t>
      </w:r>
    </w:p>
    <w:p>
      <w:pPr>
        <w:spacing w:after="0" w:line="140"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Even if we are successful in achieving regulatory approval to commercialize a product candidate faster than our competitors, we may face competition from biosimilars. In the United States, the Biologics Price Competition and Innovation Act, or BPCIA, enacted in 2010 as part of the ACA,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This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w:t>
      </w:r>
    </w:p>
    <w:p>
      <w:pPr>
        <w:spacing w:after="0" w:line="17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It is possible that Congress or the FDA may take these or other measures to reduce or eliminate periods of exclusivity. The BPCIA is complex and continues to be interpreted and implemented by the FDA. As a result, its ultimate impact is subject to uncertainty. The FDA has issued several guidance documents to date discussing the biosimilar pathway, and the FDA approved the first biosimilar under the BPCIA in March 2015. However, the FDA continues to implement the BPCIA, and such FDA implementation could have a material adverse effect on the future commercial prospects for our product candidates.</w:t>
      </w:r>
    </w:p>
    <w:p>
      <w:pPr>
        <w:spacing w:after="0" w:line="167"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 If competitors are able to obtain marketing approval for biosimilars referencing our products, our products may become subject to competition from such biosimilars, with the attendant competitive pressure and consequences.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29"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order to market and sell our products in the European Union, or EU, and many other jurisdictions, we or our collaborators must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products in any market.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47" w:name="page48"/>
    <w:bookmarkEnd w:id="47"/>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 marketing restrictions or withdrawal from the market, and we may be subject to penalties if we fail to comply with regulatory requirements or if we experience unanticipated problems with our products, when and if any of them are approved.</w:t>
      </w:r>
    </w:p>
    <w:p>
      <w:pPr>
        <w:spacing w:after="0" w:line="73"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7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may be marketed or to specific conditions of approval, including a requirement to implement a risk evaluation and mitigation strategy, which could include requirements for a medication guide, communication plan, or restricted distribution system. If any of our product candidates receives marketing approval, the accompanying label may limit the approved use of our drug, which could limit sales of the product.</w:t>
      </w:r>
    </w:p>
    <w:p>
      <w:pPr>
        <w:spacing w:after="0" w:line="171"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our approved products.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off-label use, and if we market our products outside of their approved indications, we may be subject to enforcement action for off-label marketing or promotion. Violations of the FDA’s restrictions relating to the promotion of prescription drugs may also lead to investigations alleging violations of federal and state health care fraud and abuse laws, as well as state consumer protection laws.</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if a regulatory agency or we later discover previously unknown problems with our products, such as adverse events of unanticipated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79"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damage to relationships with potential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right="40" w:firstLine="518"/>
        <w:spacing w:after="0" w:line="264" w:lineRule="auto"/>
        <w:rPr>
          <w:sz w:val="20"/>
          <w:szCs w:val="20"/>
          <w:color w:val="auto"/>
        </w:rPr>
      </w:pPr>
      <w:r>
        <w:rPr>
          <w:rFonts w:ascii="Arial" w:cs="Arial" w:eastAsia="Arial" w:hAnsi="Arial"/>
          <w:sz w:val="18"/>
          <w:szCs w:val="18"/>
          <w:color w:val="auto"/>
        </w:rPr>
        <w:t>Noncompliance with similar EU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8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For example, in December 2016, the 21</w:t>
      </w:r>
      <w:r>
        <w:rPr>
          <w:rFonts w:ascii="Arial" w:cs="Arial" w:eastAsia="Arial" w:hAnsi="Arial"/>
          <w:sz w:val="14"/>
          <w:szCs w:val="14"/>
          <w:color w:val="auto"/>
        </w:rPr>
        <w:t>st</w:t>
      </w:r>
      <w:r>
        <w:rPr>
          <w:rFonts w:ascii="Arial" w:cs="Arial" w:eastAsia="Arial" w:hAnsi="Arial"/>
          <w:sz w:val="17"/>
          <w:szCs w:val="17"/>
          <w:color w:val="auto"/>
        </w:rPr>
        <w:t xml:space="preserve"> Century Cures Act was signed into law, which is intended, among other things, to modernize the regulation of biologics and to spur innovation, though its ultimate implementation remains unclear.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78"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also cannot predict the likelihood, nature, or extent of adverse government regulation that may arise from pending or future legislation or administrative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or marketing applications.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and will be subject to applicable anti-kickback, fraud and abuse and other healthcare laws and regulations, which could expose us to criminal sanctions, civil penalties, exclusion from governmental healthcare programs, contractual damages, reputational harm and diminished profits and future earnings.</w:t>
      </w:r>
    </w:p>
    <w:p>
      <w:pPr>
        <w:spacing w:after="0" w:line="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obtain marketing approval. Our current and future arrangements with third-party payors, physicians and customers expose us to broadly applicable fraud and abuse and other healthcare laws and regulations that may restrict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80" w:lineRule="exact"/>
        <w:rPr>
          <w:sz w:val="20"/>
          <w:szCs w:val="20"/>
          <w:color w:val="auto"/>
        </w:rPr>
      </w:pPr>
    </w:p>
    <w:p>
      <w:pPr>
        <w:ind w:left="1040" w:right="100" w:hanging="519"/>
        <w:spacing w:after="0" w:line="293"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(described below);</w:t>
      </w:r>
    </w:p>
    <w:p>
      <w:pPr>
        <w:spacing w:after="0" w:line="56" w:lineRule="exact"/>
        <w:rPr>
          <w:rFonts w:ascii="Arial" w:cs="Arial" w:eastAsia="Arial" w:hAnsi="Arial"/>
          <w:sz w:val="16"/>
          <w:szCs w:val="16"/>
          <w:color w:val="auto"/>
        </w:rPr>
      </w:pPr>
    </w:p>
    <w:p>
      <w:pPr>
        <w:ind w:left="1040" w:hanging="519"/>
        <w:spacing w:after="0" w:line="25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false claims and civil monetary penalties laws, including the federal False Claims Act, which, among other things, impose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w:t>
      </w:r>
    </w:p>
    <w:p>
      <w:pPr>
        <w:spacing w:after="0" w:line="80" w:lineRule="exact"/>
        <w:rPr>
          <w:rFonts w:ascii="Arial" w:cs="Arial" w:eastAsia="Arial" w:hAnsi="Arial"/>
          <w:sz w:val="18"/>
          <w:szCs w:val="18"/>
          <w:color w:val="auto"/>
        </w:rPr>
      </w:pPr>
    </w:p>
    <w:p>
      <w:pPr>
        <w:ind w:left="1040" w:right="80" w:hanging="519"/>
        <w:spacing w:after="0" w:line="25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 similar to the federal Anti-Kickback Statute, a person or entity does not need to have actual knowledge of these statutes or specific intent to violate them to have committed a violation;</w:t>
      </w:r>
    </w:p>
    <w:p>
      <w:pPr>
        <w:spacing w:after="0" w:line="78"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1040" w:right="20" w:hanging="519"/>
        <w:spacing w:after="0" w:line="312"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Physician Payment Sunshine Act requires applicable manufacturers of covered drugs to report payments and other transfers of value to physicians, certain other healthcare professionals, and teaching hospitals, and ownership and investment interests held by physicians and their immediate family members; manufacturers are required to submit reports to the government by the 90th day of each calendar year;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ind w:left="1040" w:right="60" w:hanging="519"/>
        <w:spacing w:after="0" w:line="273"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our business practices, including but not limited to, research, distribution,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pricing information or marketing expenditures; and</w:t>
      </w:r>
    </w:p>
    <w:p>
      <w:pPr>
        <w:spacing w:after="0" w:line="70" w:lineRule="exact"/>
        <w:rPr>
          <w:rFonts w:ascii="Arial" w:cs="Arial" w:eastAsia="Arial" w:hAnsi="Arial"/>
          <w:sz w:val="17"/>
          <w:szCs w:val="17"/>
          <w:color w:val="auto"/>
        </w:rPr>
      </w:pPr>
    </w:p>
    <w:p>
      <w:pPr>
        <w:ind w:left="1040" w:right="8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we may violate one or more of the requirements.</w:t>
      </w:r>
    </w:p>
    <w:p>
      <w:pPr>
        <w:spacing w:after="0" w:line="1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from government funded healthcare programs, such as Medicare and Medicaid, reporting obligations and oversight if we become subject to a corporate integrity agreement or other agreement, and the curtailment or restructuring of our operations.</w:t>
      </w:r>
    </w:p>
    <w:p>
      <w:pPr>
        <w:spacing w:after="0" w:line="2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the United States, the Patient Protection and Affordable Care Act, as amended by the Health Care and Education Affordability Reconciliation Act, or collectively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establishment of a new pathway for approval of lower-cost biosimilars to compete with biologic products, such as those we are developing;</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annual, nondeductible fee payable by any entity that manufactures or imports specified branded prescription drugs and biologic agents;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point-of-sale discounts off negotiated prices;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0" w:name="page51"/>
    <w:bookmarkEnd w:id="50"/>
    <w:p>
      <w:pPr>
        <w:ind w:right="80" w:firstLine="518"/>
        <w:spacing w:after="0" w:line="267" w:lineRule="auto"/>
        <w:rPr>
          <w:sz w:val="20"/>
          <w:szCs w:val="20"/>
          <w:color w:val="auto"/>
        </w:rPr>
      </w:pPr>
      <w:r>
        <w:rPr>
          <w:rFonts w:ascii="Arial" w:cs="Arial" w:eastAsia="Arial" w:hAnsi="Arial"/>
          <w:sz w:val="17"/>
          <w:szCs w:val="17"/>
          <w:color w:val="auto"/>
        </w:rPr>
        <w:t>There have been judicial and Congressional challenges to certain aspects of the ACA, and we expect there will be additional challenges and amendments to the ACA in the future, particularly in light of the current Presidential administration and Congress. Some of the provisions of the ACA have yet to be implemented, and there have been judicial and Congressional challenges to certain aspects of the ACA as well as recent efforts by the current Presidential administration to repeal or replace certain aspects of the ACA. For example, President Trump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bills affecting the implementation of certain taxes under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ACA, and therefore, because it was repealed as part of the Tax Cuts and Jobs Act of 2017, the remaining provisions of the ACA are invalid as well. While the current Presidential administration and CMS have both stated that the ruling will have no immediate effect, and on December 30, 2018 the Texas District Court Judge issued an order staying the judgment pending appeal, it is unclear how this decision, subsequent appeals and other efforts to repeal and replace the ACA will impact the ACA and our business. In addition, other legislative changes have been proposed and adopted since the ACA was enacted. For example, the Budget Control Act of 2011, enacted in August 2011, included aggregate reductions of Medicare payments to providers of 2% per fiscal year, which went into effect on April 1, 2013 and, due to subsequent legislative amendments, will remain in effect through 2027 unless additional Congressional action is taken. On January 2, 2013, the American Taxpayer Relief Act of 2012 was signed into law, which, among other things, reduced Medicare payments to several providers, including hospitals, and an increase in the statute of limitations period for the government to recover overpayments to providers from three to five years. These laws may result in additional reductions in Medicare and other healthcare funding and otherwise affect the prices we may obtain.</w:t>
      </w:r>
    </w:p>
    <w:p>
      <w:pPr>
        <w:spacing w:after="0" w:line="188"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7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Individual states in the United States have become increasingly active in implementing regulations designed to contain pharmaceutical and biological product pricing, including price or patient reimbursement constraints, discounts, restrictions on certain product access and marketing cost disclosure and transparency measures.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79"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EU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If coverage and reimbursement of our products are unavailable or limited in scope or amount, or if pricing is set at unsatisfactory levels, our business could be harmed, possibly materially.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For some patent applications in our portfolio, we have filed national stage applications based on our Patent Cooperation Treaty, or PCT, applications, thereby limiting the jurisdictions in which we can pursue patent protection for the various inventions claimed in those applications.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financial condition and operating results.</w:t>
      </w:r>
    </w:p>
    <w:p>
      <w:pPr>
        <w:spacing w:after="0" w:line="19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have obtained licenses and options to obtain licenses from third parties and may obtain additional licenses and options in the future.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6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patent portfolio is in the early stages of prosecution. Although we have numerous patent applications pending, substantive prosecution has begun in only a small number of those applications. We cannot provide any assurances that any of our pending patent applications will mature into issued patents and, if they do, that such patents or our current patents will include claims with a scope sufficient to protect our product candidates or otherwise provide any competitive advantage. For example, we are pursuing claims to therapeutic, binary compositions of certain bacterial populations. Any claims that may issue may provide coverage for such binary compositions and/or their use. However, such claims would not prevent a third party from commercializing alternative compositions that do not include both of the bacterial populations claimed in pending applications, potential applications or patents that have or may issue. There can be no assurance that any such alternative composition will not be equally effective. Further, given that our SER-109 product candidate is a complex composition with some variation from lot-to-lot and that, likewise, third-party compositions may have similar complexity and variability, it is possible that a patent claim may provide coverage for some but not all lots of a product candidate or third-party product. These and other factors may provide opportunities for our competitors to design around our patents, should they issue.</w:t>
      </w:r>
    </w:p>
    <w:p>
      <w:pPr>
        <w:spacing w:after="0" w:line="17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Moreover, other parties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or cover one or more of our products. In addition, given the early stage of prosecution of our portfolio, it may be some time before we understand how patent offices react to our patent claims and whether they identify prior art of relevance that we have not already considered.</w:t>
      </w:r>
    </w:p>
    <w:p>
      <w:pPr>
        <w:spacing w:after="0" w:line="188"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2" w:name="page53"/>
    <w:bookmarkEnd w:id="52"/>
    <w:p>
      <w:pPr>
        <w:ind w:right="120" w:firstLine="518"/>
        <w:spacing w:after="0" w:line="269" w:lineRule="auto"/>
        <w:rPr>
          <w:sz w:val="20"/>
          <w:szCs w:val="20"/>
          <w:color w:val="auto"/>
        </w:rPr>
      </w:pPr>
      <w:r>
        <w:rPr>
          <w:rFonts w:ascii="Arial" w:cs="Arial" w:eastAsia="Arial" w:hAnsi="Arial"/>
          <w:sz w:val="17"/>
          <w:szCs w:val="17"/>
          <w:color w:val="auto"/>
        </w:rPr>
        <w:t>We may be subject to third-party preissuance submissions of prior art to the United States Patent and Trademark Office, or USPTO, or in a foreign jurisdiction in which our applications are filed, or become involved in opposition, derivation, reexamination, inter partes review, post-grant review or interference proceedings challenging our patent rights or the patent rights of others. For example, on April 25, 2017, we filed a notice of opposition in the European Patent Office challenging the validity of a patent issued to The University of Tokyo. See “—</w:t>
      </w:r>
      <w:r>
        <w:rPr>
          <w:rFonts w:ascii="Arial" w:cs="Arial" w:eastAsia="Arial" w:hAnsi="Arial"/>
          <w:sz w:val="17"/>
          <w:szCs w:val="17"/>
          <w:i w:val="1"/>
          <w:iCs w:val="1"/>
          <w:color w:val="auto"/>
        </w:rPr>
        <w:t>Third parties may initiate legal proceedings alleging</w:t>
      </w:r>
      <w:r>
        <w:rPr>
          <w:rFonts w:ascii="Arial" w:cs="Arial" w:eastAsia="Arial" w:hAnsi="Arial"/>
          <w:sz w:val="17"/>
          <w:szCs w:val="17"/>
          <w:color w:val="auto"/>
        </w:rPr>
        <w:t xml:space="preserve"> </w:t>
      </w:r>
      <w:r>
        <w:rPr>
          <w:rFonts w:ascii="Arial" w:cs="Arial" w:eastAsia="Arial" w:hAnsi="Arial"/>
          <w:sz w:val="17"/>
          <w:szCs w:val="17"/>
          <w:i w:val="1"/>
          <w:iCs w:val="1"/>
          <w:color w:val="auto"/>
        </w:rPr>
        <w:t>that we are infringing their intellectual property rights, the outcome of which would be uncertain and could have a material adverse effect on the success of our business</w:t>
      </w:r>
      <w:r>
        <w:rPr>
          <w:rFonts w:ascii="Arial" w:cs="Arial" w:eastAsia="Arial" w:hAnsi="Arial"/>
          <w:sz w:val="17"/>
          <w:szCs w:val="17"/>
          <w:color w:val="auto"/>
        </w:rPr>
        <w:t>.” An adverse determination in any such submission, proceeding or litigation could reduce the scope of, or invalidate, our patent rights, allow</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2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040" w:right="2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of our pending patent applications, if issued, will include claims having a scope sufficient to protect our product candidates or any other products or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any existing patent and pending patent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or design around our patents;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third parties will not compete with us in jurisdictions where we do not pursue and obtain patent protection;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be able to obtain and/or maintain necessary or useful licenses on reasonable terms or at all;</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25"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know-how, our business and competitive position may be harmed.</w:t>
      </w:r>
    </w:p>
    <w:p>
      <w:pPr>
        <w:spacing w:after="0" w:line="129" w:lineRule="exact"/>
        <w:rPr>
          <w:sz w:val="20"/>
          <w:szCs w:val="20"/>
          <w:color w:val="auto"/>
        </w:rPr>
      </w:pPr>
    </w:p>
    <w:p>
      <w:pPr>
        <w:ind w:right="120" w:firstLine="518"/>
        <w:spacing w:after="0" w:line="287" w:lineRule="auto"/>
        <w:rPr>
          <w:sz w:val="20"/>
          <w:szCs w:val="20"/>
          <w:color w:val="auto"/>
        </w:rPr>
      </w:pPr>
      <w:r>
        <w:rPr>
          <w:rFonts w:ascii="Arial" w:cs="Arial" w:eastAsia="Arial" w:hAnsi="Arial"/>
          <w:sz w:val="16"/>
          <w:szCs w:val="16"/>
          <w:color w:val="auto"/>
        </w:rPr>
        <w:t>In addition to seeking patents for some of our technology and product candidates, we also utilize our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in particular the first to file provisions, only became effective on March 16, 2013.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 Smith Act law and regulations, while other patent applications in our portfolio will be subject to examination under the law and regulations, as amended by the Leahy-Smith Act. This introduces additional complexities into the prosecution and management of our portfolio.</w:t>
      </w:r>
    </w:p>
    <w:p>
      <w:pPr>
        <w:spacing w:after="0" w:line="17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2"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In addition, Supreme Court rulings have narrowed the scope of patent protection available in certain circumstances and weakened the rights of patent owners in certain situations. From time to time, the Supreme Court, other federal courts, Congress, or the USPTO, may change the standards of patentability and any such changes could have a negative impact on our business.</w:t>
      </w:r>
    </w:p>
    <w:p>
      <w:pPr>
        <w:spacing w:after="0" w:line="18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 xml:space="preserve">A number of cases decided by the Supreme Court have involved questions of when claims reciting abstract ideas, laws of nature, natural phenomena and/or natural products are eligible for a patent, regardless of whether the claimed subject matter is otherwise novel and inventive. These cases include </w:t>
      </w:r>
      <w:r>
        <w:rPr>
          <w:rFonts w:ascii="Arial" w:cs="Arial" w:eastAsia="Arial" w:hAnsi="Arial"/>
          <w:sz w:val="18"/>
          <w:szCs w:val="18"/>
          <w:i w:val="1"/>
          <w:iCs w:val="1"/>
          <w:color w:val="auto"/>
        </w:rPr>
        <w:t>Association for Molecular Pathology v. Myriad Genetics, Inc.</w:t>
      </w:r>
      <w:r>
        <w:rPr>
          <w:rFonts w:ascii="Arial" w:cs="Arial" w:eastAsia="Arial" w:hAnsi="Arial"/>
          <w:sz w:val="18"/>
          <w:szCs w:val="18"/>
          <w:color w:val="auto"/>
        </w:rPr>
        <w:t>, 569 U.S. 12-398 (2013);</w:t>
      </w:r>
      <w:r>
        <w:rPr>
          <w:rFonts w:ascii="Arial" w:cs="Arial" w:eastAsia="Arial" w:hAnsi="Arial"/>
          <w:sz w:val="18"/>
          <w:szCs w:val="18"/>
          <w:i w:val="1"/>
          <w:iCs w:val="1"/>
          <w:color w:val="auto"/>
        </w:rPr>
        <w:t xml:space="preserve"> Alice Corp. v. CLS Bank International</w:t>
      </w:r>
      <w:r>
        <w:rPr>
          <w:rFonts w:ascii="Arial" w:cs="Arial" w:eastAsia="Arial" w:hAnsi="Arial"/>
          <w:sz w:val="18"/>
          <w:szCs w:val="18"/>
          <w:color w:val="auto"/>
        </w:rPr>
        <w:t>, 573 U.S. 13-298 (2014); and</w:t>
      </w:r>
      <w:r>
        <w:rPr>
          <w:rFonts w:ascii="Arial" w:cs="Arial" w:eastAsia="Arial" w:hAnsi="Arial"/>
          <w:sz w:val="18"/>
          <w:szCs w:val="18"/>
          <w:i w:val="1"/>
          <w:iCs w:val="1"/>
          <w:color w:val="auto"/>
        </w:rPr>
        <w:t xml:space="preserve"> Mayo Collaborative Services v. Prometheus Laboratories, Inc.</w:t>
      </w:r>
      <w:r>
        <w:rPr>
          <w:rFonts w:ascii="Arial" w:cs="Arial" w:eastAsia="Arial" w:hAnsi="Arial"/>
          <w:sz w:val="18"/>
          <w:szCs w:val="18"/>
          <w:color w:val="auto"/>
        </w:rPr>
        <w:t>, 566 U.S. 10-1150 (2012). In response to these cases, the USPTO has issued guidance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examining corps.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4" w:name="page55"/>
    <w:bookmarkEnd w:id="54"/>
    <w:p>
      <w:pPr>
        <w:ind w:right="100" w:firstLine="518"/>
        <w:spacing w:after="0" w:line="254" w:lineRule="auto"/>
        <w:rPr>
          <w:sz w:val="20"/>
          <w:szCs w:val="20"/>
          <w:color w:val="auto"/>
        </w:rPr>
      </w:pPr>
      <w:r>
        <w:rPr>
          <w:rFonts w:ascii="Arial" w:cs="Arial" w:eastAsia="Arial" w:hAnsi="Arial"/>
          <w:sz w:val="18"/>
          <w:szCs w:val="18"/>
          <w:color w:val="auto"/>
        </w:rPr>
        <w:t>The full impact of these decisions is not yet known. For example, in view of these and subsequent court decisions, the USPTO has issued various materials to patent examiners providing guidance for determining the patent eligibility of claims reciting laws of nature, natural phenomena or natural products. Our current product candidates include natural products, therefore, this decision and its interpretation by the courts and the USPTO may impact prosecution, defense and enforcement of our patent portfolio. On March 4, 2014, the USPTO issued a memorandum reflecting the USPTO’s interpretation of the cases related to patent eligibility of natural products. The March 4, 2014 memorandum was superseded by interim guidance published on December 15, 2014. Additional guidance was published in July 2015 (July 2015 Update: Subject Matter Eligibility) and May 2016 (May 2016 Subject Matter Eligibility Update). The USPTO’s interpretation of the case law and new guidelines for examination may influence, possibly adversely, prosecution and defense of certain types of claims in our portfolio.</w:t>
      </w:r>
    </w:p>
    <w:p>
      <w:pPr>
        <w:spacing w:after="0" w:line="19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products or use of our products do not infringe third-party patents.</w:t>
      </w:r>
    </w:p>
    <w:p>
      <w:pPr>
        <w:spacing w:after="0" w:line="154"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We are aware of numerous patents and pending applications owned by third parties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products or the use of our products. We are aware of several pending patent applications containing one or more claims that could be construed to cover some of our product candidates or technology, should those claims issue in their original form or in the form presently being pursued. In addition, we are aware of third-party patent families that include issued and allowed patents, including claims that, if valid and enforceable, could be construed to cover some of our product candidates or their methods of use. On April 25, 2017, we filed a notice of opposition in the European Patent Office challenging the validity of a patent issued to The University of Tokyo and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We expect The University of Tokyo to appeal.</w:t>
      </w:r>
    </w:p>
    <w:p>
      <w:pPr>
        <w:spacing w:after="0" w:line="178"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right="20" w:firstLine="518"/>
        <w:spacing w:after="0" w:line="253" w:lineRule="auto"/>
        <w:rPr>
          <w:sz w:val="20"/>
          <w:szCs w:val="20"/>
          <w:color w:val="auto"/>
        </w:rPr>
      </w:pPr>
      <w:r>
        <w:rPr>
          <w:rFonts w:ascii="Arial" w:cs="Arial" w:eastAsia="Arial" w:hAnsi="Arial"/>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80"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128" w:lineRule="exact"/>
        <w:rPr>
          <w:rFonts w:ascii="Arial" w:cs="Arial" w:eastAsia="Arial" w:hAnsi="Arial"/>
          <w:sz w:val="17"/>
          <w:szCs w:val="17"/>
          <w:color w:val="auto"/>
        </w:rPr>
      </w:pPr>
    </w:p>
    <w:p>
      <w:pPr>
        <w:ind w:left="1040" w:right="22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or could be interpreted narrowly if challenged in court.</w:t>
      </w:r>
    </w:p>
    <w:p>
      <w:pPr>
        <w:spacing w:after="0" w:line="140"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 eligible subject matter.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jc w:val="both"/>
        <w:ind w:right="7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8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179"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ind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The statutory deadlines for pursuing patent protection in individual foreign jurisdictions are based on the priority date of each of our patent applications. For each of the patent families that we believe provide coverage for our product candidates, we decide whether and where to pursue protection outside the United States. In addition, the laws of some foreign countries do not protect intellectual property rights to the same extent as federal and state laws in the United States. Consequently, even if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9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97"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If our ability to obtain and, if obtained, enforce our patents to stop infringing activities is inadequate, third parties may compete with our products,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8" w:name="page59"/>
    <w:bookmarkEnd w:id="58"/>
    <w:p>
      <w:pPr>
        <w:ind w:left="4460"/>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new corporate strategy and restructuring may not be successful.</w:t>
      </w:r>
    </w:p>
    <w:p>
      <w:pPr>
        <w:spacing w:after="0" w:line="225" w:lineRule="exact"/>
        <w:rPr>
          <w:sz w:val="20"/>
          <w:szCs w:val="20"/>
          <w:color w:val="auto"/>
        </w:rPr>
      </w:pPr>
    </w:p>
    <w:p>
      <w:pPr>
        <w:ind w:right="40" w:firstLine="761"/>
        <w:spacing w:after="0" w:line="254" w:lineRule="auto"/>
        <w:rPr>
          <w:sz w:val="20"/>
          <w:szCs w:val="20"/>
          <w:color w:val="auto"/>
        </w:rPr>
      </w:pPr>
      <w:r>
        <w:rPr>
          <w:rFonts w:ascii="Arial" w:cs="Arial" w:eastAsia="Arial" w:hAnsi="Arial"/>
          <w:sz w:val="18"/>
          <w:szCs w:val="18"/>
          <w:color w:val="auto"/>
        </w:rPr>
        <w:t>On February 7, 2019, following a strategic business review, we announced our new strategy to focus our resources on advancing our highest-priority, clinical-stage microbiome therapeutic candidates. As a result, we plan to concentrate on completing the SER-287 Phase 2b study in mild-to-moderate UC, obtaining results from the ongoing SER-109 Phase 3 study for recurrent CDI and advancing the SER-401 Phase 1b study, in collaboration with the Parker Institute for Cancer Immunotherapy and MD Anderson Cancer Center, to evaluate augmenting checkpoint inhibitor response in patients with metastatic melanoma. The success of this strategic shift will depend on our ability to successfully advance our therapeutics candidates, complete our ongoing studies, retain senior management or other highly qualified personnel, prioritize competing projects and efforts and obtain sufficient resources, including additional capital. Accordingly, there are no assurances our change in strategic focus will be successful, which may have an adverse effect on our results of operations and financial condition.</w:t>
      </w:r>
    </w:p>
    <w:p>
      <w:pPr>
        <w:spacing w:after="0" w:line="192" w:lineRule="exact"/>
        <w:rPr>
          <w:sz w:val="20"/>
          <w:szCs w:val="20"/>
          <w:color w:val="auto"/>
        </w:rPr>
      </w:pPr>
    </w:p>
    <w:p>
      <w:pPr>
        <w:ind w:right="40" w:firstLine="761"/>
        <w:spacing w:after="0" w:line="290" w:lineRule="auto"/>
        <w:rPr>
          <w:sz w:val="20"/>
          <w:szCs w:val="20"/>
          <w:color w:val="auto"/>
        </w:rPr>
      </w:pPr>
      <w:r>
        <w:rPr>
          <w:rFonts w:ascii="Arial" w:cs="Arial" w:eastAsia="Arial" w:hAnsi="Arial"/>
          <w:sz w:val="16"/>
          <w:szCs w:val="16"/>
          <w:color w:val="auto"/>
        </w:rPr>
        <w:t>Also, on February 7, 2019, we announced the restructuring of our executive team and a reduction in our workforce by approximately 30 employees and contractors, which in total represented approximately 30% of our workforce. The positions eliminated are primarily related to research, manufacturing, and general and administrative services. Following the reduction in workforce, we expect to have approximately 100 full-time employees, and we believe we will be appropriately resourced to continue executing on our current strategy. However, our workforce may not be sufficient to fully execute our strategic shift, and we may not be able to effectively retain the management or personnel needed to fully implement our strategy. We estimate that we will incur one-time costs related primarily to employee termination benefits between $1.5 million and $2.0 million. Our restructuring and reduction in workforce activities may also result in unexpected risks or costs, such as employee claims and contractual disputes, and the risk that the actual financial and other impacts of the reductions could vary materially from the outcomes anticipated, which may have a material adverse effect on our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640" w:firstLine="518"/>
        <w:spacing w:after="0" w:line="286" w:lineRule="auto"/>
        <w:rPr>
          <w:sz w:val="20"/>
          <w:szCs w:val="20"/>
          <w:color w:val="auto"/>
        </w:rPr>
      </w:pPr>
      <w:r>
        <w:rPr>
          <w:rFonts w:ascii="Arial" w:cs="Arial" w:eastAsia="Arial" w:hAnsi="Arial"/>
          <w:sz w:val="17"/>
          <w:szCs w:val="17"/>
          <w:color w:val="auto"/>
        </w:rPr>
        <w:t>We are highly dependent on Eric Shaff, our President and Chief Executive Officer,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w:t>
      </w:r>
    </w:p>
    <w:p>
      <w:pPr>
        <w:spacing w:after="0" w:line="5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i w:val="1"/>
          <w:iCs w:val="1"/>
          <w:color w:val="auto"/>
        </w:rPr>
        <w:t>We may expand our operational capabilities, and as a result, we may encounter difficulties in managing our growth, which could disrupt our operations.</w:t>
      </w:r>
    </w:p>
    <w:p>
      <w:pPr>
        <w:spacing w:after="0" w:line="15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may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potential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7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being a public company, and our management will continue to devote substantial time to compliance initiatives and corporate governance practices.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particularly after we are no longer an emerging growth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may make it more difficult and more expensive for us to maintain director and officer liability insurance, which in turn could make it more difficult for us to attract and retain qualified members of our board of directors.</w:t>
      </w:r>
    </w:p>
    <w:p>
      <w:pPr>
        <w:spacing w:after="0" w:line="179"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Securities and Exchange Commission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internationally could materially adversely affect our business.</w:t>
      </w:r>
    </w:p>
    <w:p>
      <w:pPr>
        <w:spacing w:after="0" w:line="11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We currently have limited international operations, but our business strategy incorporates potentially expanding internationally if any of our product candidates receive regulatory approval. We currently plan to rely on collaborators, including NHS, to commercialize any approved products outside of the United States. Doing business internationally involves a number of risks, including but not limited to:</w:t>
      </w:r>
    </w:p>
    <w:p>
      <w:pPr>
        <w:spacing w:after="0" w:line="73" w:lineRule="exact"/>
        <w:rPr>
          <w:sz w:val="20"/>
          <w:szCs w:val="20"/>
          <w:color w:val="auto"/>
        </w:rPr>
      </w:pPr>
    </w:p>
    <w:p>
      <w:pPr>
        <w:ind w:left="1040" w:right="2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0" w:name="page61"/>
    <w:bookmarkEnd w:id="60"/>
    <w:p>
      <w:pPr>
        <w:ind w:left="1040" w:right="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17" w:lineRule="exact"/>
        <w:rPr>
          <w:rFonts w:ascii="Arial" w:cs="Arial" w:eastAsia="Arial" w:hAnsi="Arial"/>
          <w:sz w:val="18"/>
          <w:szCs w:val="18"/>
          <w:color w:val="auto"/>
        </w:rPr>
      </w:pPr>
    </w:p>
    <w:p>
      <w:pPr>
        <w:ind w:left="1040" w:right="300" w:hanging="519"/>
        <w:spacing w:after="0" w:line="308"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factors could significantly harm our future international expansion and operations and, consequently, our results of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information technology and other system failures.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Despite the implementation of security measures, our internal computer systems and data and those of our current and future contractors and consultants are vulnerable to damage or compromise from computer viruses, unauthorized access, human error, loss of data privacy,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product candidates could be delayed.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11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We may acquire other businesses, products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73"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disruption in our relationships with future customers or with current or future distributors or suppliers as a result of such a transaction;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exposure to cybersecurity risks and vulnerabilities from any newly acquired information technology infrastructure;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1" w:name="page62"/>
    <w:bookmarkEnd w:id="61"/>
    <w:p>
      <w:pPr>
        <w:ind w:right="280" w:firstLine="518"/>
        <w:spacing w:after="0" w:line="308"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in the past been subject to securities class action litigation and may be subject to similar or other litigation in the future, which may harm our business.</w:t>
      </w:r>
    </w:p>
    <w:p>
      <w:pPr>
        <w:spacing w:after="0" w:line="6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Securities class action litigation has often been brought against a company following a decline in the market price of its securities. This risk is especially relevant for us because biopharmaceutical companies have experienced significant stock price volatility in recent years. On September 28, 2016, a purported stockholder filed a putative class action lawsuit in the U.S. District Court for the District of Massachusetts against us entitled Mariusz Mazurek v. Seres Therapeutics, Inc., et.al. alleging false and misleading statements and omissions about our clinical trials for our product candidate SER-109 in our public disclosures between June 25, 2015 and July 29, 2016. Although this lawsuit has been dismissed by the court, should we face similar or other litigation again, it could result in substantial costs and a diversion of management’s attention and resources, which could harm our business. In addition, the uncertainty of a pending lawsuit or potential filing of additional lawsuits could lead to more volatility and a reduction in our stock price.</w:t>
      </w:r>
    </w:p>
    <w:p>
      <w:pPr>
        <w:spacing w:after="0" w:line="2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such as human stool.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5"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U.S. government recently enacted comprehensive federal income tax legislation that includes significant changes to the taxation of business entities. These changes include, among others, (i) a permanent reduction to the corporate income tax rate,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 Notwithstanding the reduction in the corporate income tax rate, the overall impact of this tax reform is uncertain, and our business and financial condition could be adversely affected. We urge our stockholders to consult with their legal and tax advisors with respect to any such legislation and the potential tax consequences of investing in our common stock.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price of our common stock may be volatile and fluctuate substantially, which could result in substantial losses for purchasers of our common stock.</w:t>
      </w:r>
    </w:p>
    <w:p>
      <w:pPr>
        <w:spacing w:after="0" w:line="15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Our stock price is likely to be volatile. Furthermore, the stock market in general and the market for smaller biopharmaceutical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79"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related to any future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may make our product candidates less attractive;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Our executive officers, directors and stockholders who owned more than 5% of our outstanding common stock and their respective affiliates, in the aggregate, hold shares representing approximately 65% of our outstanding voting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ownership control may:</w:t>
      </w:r>
    </w:p>
    <w:p>
      <w:pPr>
        <w:spacing w:after="0" w:line="64"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entrench our management and the board of directors;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3" w:name="page64"/>
    <w:bookmarkEnd w:id="63"/>
    <w:p>
      <w:pPr>
        <w:ind w:right="2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Moreover, holders of an aggregate of approximately 18.3 million shares of our common stock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promulgated under the Securities Act of 1933, as amended, or the Securities Act,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57" w:lineRule="exact"/>
        <w:rPr>
          <w:sz w:val="20"/>
          <w:szCs w:val="20"/>
          <w:color w:val="auto"/>
        </w:rPr>
      </w:pPr>
    </w:p>
    <w:p>
      <w:pPr>
        <w:ind w:left="1040" w:right="8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being required to include audited financial statements in our selected financial data and in any future registration statements under the Securities Act for any period prior to the earliest audited financial statements presented in our registration statement on Form S-1 for the initial public offering of our common stock;</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1040" w:right="60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 and from having to disclose the ratio of compensation of our chief executive officer to the median compensation of our employees.</w:t>
      </w:r>
    </w:p>
    <w:p>
      <w:pPr>
        <w:spacing w:after="0" w:line="181"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or misleading opinion regarding our business, our common stock price and trading volume could decline.</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4" w:name="page65"/>
    <w:bookmarkEnd w:id="64"/>
    <w:p>
      <w:pPr>
        <w:ind w:right="380"/>
        <w:spacing w:after="0" w:line="264"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73"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57" w:lineRule="exact"/>
        <w:rPr>
          <w:sz w:val="20"/>
          <w:szCs w:val="20"/>
          <w:color w:val="auto"/>
        </w:rPr>
      </w:pPr>
    </w:p>
    <w:p>
      <w:pPr>
        <w:ind w:left="1040" w:right="42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040" w:right="660" w:hanging="519"/>
        <w:spacing w:after="0" w:line="308"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38" w:lineRule="exact"/>
        <w:rPr>
          <w:rFonts w:ascii="Arial" w:cs="Arial" w:eastAsia="Arial" w:hAnsi="Arial"/>
          <w:sz w:val="17"/>
          <w:szCs w:val="17"/>
          <w:color w:val="auto"/>
        </w:rPr>
      </w:pPr>
    </w:p>
    <w:p>
      <w:pPr>
        <w:ind w:left="1040" w:right="160" w:hanging="519"/>
        <w:spacing w:after="0" w:line="342"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38" w:lineRule="exact"/>
        <w:rPr>
          <w:rFonts w:ascii="Arial" w:cs="Arial" w:eastAsia="Arial" w:hAnsi="Arial"/>
          <w:sz w:val="17"/>
          <w:szCs w:val="17"/>
          <w:color w:val="auto"/>
        </w:rPr>
      </w:pPr>
    </w:p>
    <w:p>
      <w:pPr>
        <w:ind w:left="1040" w:right="50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1040" w:right="160" w:hanging="519"/>
        <w:spacing w:after="0" w:line="264"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Furthermore, our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5" w:name="page66"/>
    <w:bookmarkEnd w:id="65"/>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62"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and Offices</w:t>
      </w:r>
    </w:p>
    <w:p>
      <w:pPr>
        <w:spacing w:after="0" w:line="229"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Our corporate headquarters is located in Cambridge, Massachusetts, where we lease approximately 83,396 square feet of office, laboratory, and pilot manufacturing space under a lease that expires in November 2023. We also maintain a research and development facility in Cambridge, Massachusetts, where we lease approximately 7,484 square feet of office and laboratory facilities under a lease that expires in April 2020.</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Manufacturing</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currently conduct part of our manufacturing operations in our leased facilities in Cambridge, Massachusetts, which contain manufacturing facilities for clinical products. We believe our current laboratory facilities and contract relationships are sufficient to meet our current bioprocess development and manufacturing needs. Product candidates may be brought into the facilities for economies of operation, or may remain external with contract manufacturing organizations, depending on business dynamics and development needs.</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plan to control the production of all products under current good manufacturing practices by making strategic investments in manufacturing, which may include collaborations with third parties, the design and renovation of existing facilities and the construction of additional new facilities for commercial supply.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Opposition Proceeding</w:t>
      </w:r>
    </w:p>
    <w:p>
      <w:pPr>
        <w:spacing w:after="0" w:line="117"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On October 19, 2016, the European Patent Office granted European Patent No. 2 575 835 B1 to The University of Tokyo. On April 25, 2017, we filed a notice of opposition to this patent in the European Patent Office,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We expect The University of Tokyo to appeal.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of the Registrant</w:t>
      </w:r>
    </w:p>
    <w:p>
      <w:pPr>
        <w:spacing w:after="0" w:line="131"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i w:val="1"/>
          <w:iCs w:val="1"/>
          <w:color w:val="auto"/>
        </w:rPr>
        <w:t xml:space="preserve">Noubar B. Afeyan, Ph.D., </w:t>
      </w:r>
      <w:r>
        <w:rPr>
          <w:rFonts w:ascii="Arial" w:cs="Arial" w:eastAsia="Arial" w:hAnsi="Arial"/>
          <w:sz w:val="18"/>
          <w:szCs w:val="18"/>
          <w:color w:val="auto"/>
        </w:rPr>
        <w:t>has served as a member of our board of directors since October 2010. Since 1999, Dr. Afeyan has served as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Managing Partner and Chief Executive Officer of Flagship Pioneering, formerly known as Flagship Ventures, an early-stage venture capital firm that he co-founded, which conceives, creates, resources and develops first-in-category life sciences companies. </w:t>
      </w:r>
      <w:r>
        <w:rPr>
          <w:rFonts w:ascii="Arial" w:cs="Arial" w:eastAsia="Arial" w:hAnsi="Arial"/>
          <w:sz w:val="18"/>
          <w:szCs w:val="18"/>
          <w:color w:val="222222"/>
        </w:rPr>
        <w:t>Dr. Afeyan serves on the boards of numerous privately</w:t>
      </w:r>
      <w:r>
        <w:rPr>
          <w:rFonts w:ascii="Arial" w:cs="Arial" w:eastAsia="Arial" w:hAnsi="Arial"/>
          <w:sz w:val="18"/>
          <w:szCs w:val="18"/>
          <w:color w:val="auto"/>
        </w:rPr>
        <w:t xml:space="preserve"> </w:t>
      </w:r>
      <w:r>
        <w:rPr>
          <w:rFonts w:ascii="Arial" w:cs="Arial" w:eastAsia="Arial" w:hAnsi="Arial"/>
          <w:sz w:val="18"/>
          <w:szCs w:val="18"/>
          <w:color w:val="222222"/>
        </w:rPr>
        <w:t xml:space="preserve">and publicly held companies, including Moderna, Inc., Rubius Therapeutics, Inc. Kaleido Biosciences, Inc. and Evelo Biosciences, Inc. and has previously served on the board of directors of several public companies including, BG Medicine, Inc., BIND Therapeutics, Inc., and Sensen Bio (formerly Eleven Biotherapeutics, Inc.). </w:t>
      </w:r>
      <w:r>
        <w:rPr>
          <w:rFonts w:ascii="Arial" w:cs="Arial" w:eastAsia="Arial" w:hAnsi="Arial"/>
          <w:sz w:val="18"/>
          <w:szCs w:val="18"/>
          <w:color w:val="000000"/>
        </w:rPr>
        <w:t>Dr. Afeyan received a B.S. in chemical engineering from McGill University and a Ph.D. in Biochemical Engineering from the</w:t>
      </w:r>
      <w:r>
        <w:rPr>
          <w:rFonts w:ascii="Arial" w:cs="Arial" w:eastAsia="Arial" w:hAnsi="Arial"/>
          <w:sz w:val="18"/>
          <w:szCs w:val="18"/>
          <w:color w:val="222222"/>
        </w:rPr>
        <w:t xml:space="preserve"> </w:t>
      </w:r>
      <w:r>
        <w:rPr>
          <w:rFonts w:ascii="Arial" w:cs="Arial" w:eastAsia="Arial" w:hAnsi="Arial"/>
          <w:sz w:val="18"/>
          <w:szCs w:val="18"/>
          <w:color w:val="000000"/>
        </w:rPr>
        <w:t>Massachusetts Institute of Technology. He is currently a visiting lecturer of business administration at Harvard Business School and was previously a senior lecturer at the Massachusetts Institute of Technology’s Sloan School of Management where he taught courses on technology-entrepreneurship, innovation and leadership.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ind w:right="120" w:firstLine="518"/>
        <w:spacing w:after="0" w:line="293" w:lineRule="auto"/>
        <w:rPr>
          <w:sz w:val="20"/>
          <w:szCs w:val="20"/>
          <w:color w:val="auto"/>
        </w:rPr>
      </w:pPr>
      <w:r>
        <w:rPr>
          <w:rFonts w:ascii="Arial" w:cs="Arial" w:eastAsia="Arial" w:hAnsi="Arial"/>
          <w:sz w:val="16"/>
          <w:szCs w:val="16"/>
          <w:i w:val="1"/>
          <w:iCs w:val="1"/>
          <w:color w:val="231F20"/>
        </w:rPr>
        <w:t>Dennis A. Ausiello, M.D.</w:t>
      </w:r>
      <w:r>
        <w:rPr>
          <w:rFonts w:ascii="Arial" w:cs="Arial" w:eastAsia="Arial" w:hAnsi="Arial"/>
          <w:sz w:val="16"/>
          <w:szCs w:val="16"/>
          <w:color w:val="231F20"/>
        </w:rPr>
        <w:t>, has served as a member of our board of directors since April 2015. Dr. Ausiello serves as the Director of the Center for</w:t>
      </w:r>
      <w:r>
        <w:rPr>
          <w:rFonts w:ascii="Arial" w:cs="Arial" w:eastAsia="Arial" w:hAnsi="Arial"/>
          <w:sz w:val="16"/>
          <w:szCs w:val="16"/>
          <w:i w:val="1"/>
          <w:iCs w:val="1"/>
          <w:color w:val="231F20"/>
        </w:rPr>
        <w:t xml:space="preserve"> </w:t>
      </w:r>
      <w:r>
        <w:rPr>
          <w:rFonts w:ascii="Arial" w:cs="Arial" w:eastAsia="Arial" w:hAnsi="Arial"/>
          <w:sz w:val="16"/>
          <w:szCs w:val="16"/>
          <w:color w:val="231F20"/>
        </w:rPr>
        <w:t>Assessment Technology and Continuous Health (CATCH),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also served on the board of directors of Pfizer Inc. since December 2006 and Alnylam Pharmaceuticals since April 2012. Dr. Ausiello received his undergraduate degree from Harvard College and an M.D. from the University of Pennsylvania.</w:t>
      </w:r>
    </w:p>
    <w:p>
      <w:pPr>
        <w:spacing w:after="0" w:line="165"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i w:val="1"/>
          <w:iCs w:val="1"/>
          <w:color w:val="231F20"/>
        </w:rPr>
        <w:t xml:space="preserve">Grégory Behar </w:t>
      </w:r>
      <w:r>
        <w:rPr>
          <w:rFonts w:ascii="Arial" w:cs="Arial" w:eastAsia="Arial" w:hAnsi="Arial"/>
          <w:sz w:val="16"/>
          <w:szCs w:val="16"/>
          <w:color w:val="231F20"/>
        </w:rPr>
        <w:t>has served as a member of our board of directors since December 2014. Mr. Behar has served as Chief Executive Officer of Nestlé</w:t>
      </w:r>
      <w:r>
        <w:rPr>
          <w:rFonts w:ascii="Arial" w:cs="Arial" w:eastAsia="Arial" w:hAnsi="Arial"/>
          <w:sz w:val="16"/>
          <w:szCs w:val="16"/>
          <w:i w:val="1"/>
          <w:iCs w:val="1"/>
          <w:color w:val="231F20"/>
        </w:rPr>
        <w:t xml:space="preserve"> </w:t>
      </w:r>
      <w:r>
        <w:rPr>
          <w:rFonts w:ascii="Arial" w:cs="Arial" w:eastAsia="Arial" w:hAnsi="Arial"/>
          <w:sz w:val="16"/>
          <w:szCs w:val="16"/>
          <w:color w:val="231F20"/>
        </w:rPr>
        <w:t>Health Science S.A., a health sciences company, since October 2014. From July 2011 to July 2014, Mr. Behar was President and Chief Executive Officer of Boehringer Ingelheim Pharmaceuticals Inc. (USA), a pharmaceutical company. From 2010 to July 2011, Mr. Behar was Corporate Vice President Region NECAR (North European Union, Canada and Australasia) for Boehringer-Ingelheim GmbH, a pharmaceutical company. Mr. Behar has also served on the board of directors of Aimmune Therapeutics, Inc. since November 2016. Mr. Behar received his B.S. from the University of California, Los Angeles, an M.S. in Mechanical Engineering and Manufacturing from EPFL in Switzerland and an MBA from INSEAD in France.</w:t>
      </w:r>
    </w:p>
    <w:p>
      <w:pPr>
        <w:spacing w:after="0" w:line="165"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i w:val="1"/>
          <w:iCs w:val="1"/>
          <w:color w:val="auto"/>
        </w:rPr>
        <w:t xml:space="preserve">Willard Dere, M.D., </w:t>
      </w:r>
      <w:r>
        <w:rPr>
          <w:rFonts w:ascii="Arial" w:cs="Arial" w:eastAsia="Arial" w:hAnsi="Arial"/>
          <w:sz w:val="16"/>
          <w:szCs w:val="16"/>
          <w:color w:val="auto"/>
        </w:rPr>
        <w:t>has served on our board of directors since July 2017. Since November 2014, Dr. Dere has been Professor of Internal Medicine, B.</w:t>
      </w:r>
      <w:r>
        <w:rPr>
          <w:rFonts w:ascii="Arial" w:cs="Arial" w:eastAsia="Arial" w:hAnsi="Arial"/>
          <w:sz w:val="16"/>
          <w:szCs w:val="16"/>
          <w:i w:val="1"/>
          <w:iCs w:val="1"/>
          <w:color w:val="auto"/>
        </w:rPr>
        <w:t xml:space="preserve"> </w:t>
      </w:r>
      <w:r>
        <w:rPr>
          <w:rFonts w:ascii="Arial" w:cs="Arial" w:eastAsia="Arial" w:hAnsi="Arial"/>
          <w:sz w:val="16"/>
          <w:szCs w:val="16"/>
          <w:color w:val="auto"/>
        </w:rPr>
        <w:t>Lue and Hope S. Bettilyon Presidential Endowed Chair in Internal Medicine for Diabetes Research, Executive Director of Personalized Health, and Co-Principal Investigator of the Center for Clinical and Translational Science at the University of Utah Health Sciences Center. Prior to his professorship, from 2003 until his retirement in October 2014, Dr. Dere held multiple roles at Amgen, including head of global development, and both corporate and international chief medical officer, and led development of programs in various therapeutic areas. Dr. Dere has served on the boards of directors of BioMarin Pharmaceutical since 2016, Radius Health since 2015, Mersana Therapeutics, Inc. since 2018 and Ocera Therapeutics between 2016 and 2017. Dr. Dere received his undergraduate and medical degrees from the University of California, Davis, completed his internal medicine residency training at the University of Utah, and his postdoctoral training in endocrinology and metabolism at the University of California, San Francisco.</w:t>
      </w:r>
    </w:p>
    <w:p>
      <w:pPr>
        <w:spacing w:after="0" w:line="16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231F20"/>
        </w:rPr>
        <w:t xml:space="preserve">Richard N. Kender </w:t>
      </w:r>
      <w:r>
        <w:rPr>
          <w:rFonts w:ascii="Arial" w:cs="Arial" w:eastAsia="Arial" w:hAnsi="Arial"/>
          <w:sz w:val="18"/>
          <w:szCs w:val="18"/>
          <w:color w:val="231F20"/>
        </w:rPr>
        <w:t>has served as a member of our board of directors since October 2014. From October 1978 to September 2013, Mr. Kender held</w:t>
      </w:r>
      <w:r>
        <w:rPr>
          <w:rFonts w:ascii="Arial" w:cs="Arial" w:eastAsia="Arial" w:hAnsi="Arial"/>
          <w:sz w:val="18"/>
          <w:szCs w:val="18"/>
          <w:i w:val="1"/>
          <w:iCs w:val="1"/>
          <w:color w:val="231F20"/>
        </w:rPr>
        <w:t xml:space="preserve"> </w:t>
      </w:r>
      <w:r>
        <w:rPr>
          <w:rFonts w:ascii="Arial" w:cs="Arial" w:eastAsia="Arial" w:hAnsi="Arial"/>
          <w:sz w:val="18"/>
          <w:szCs w:val="18"/>
          <w:color w:val="231F20"/>
        </w:rPr>
        <w:t>positions in a variety of corporate areas at Merck &amp; Co., Inc., or Merck, a pharmaceutical company, most recently serving as Senior Vice President of Business Development and Corporate Licensing. Mr. Kender has served on the board of directors of Poxel S.A. since 2015 and Abide Therapeutics, Inc. since 2015, and previously served on the boards of director of INC Research Holdings, Inc. between 2014 and 2017. Mr. Kender received a B.S. from Villanova University and an M.B.A. from Fairleigh Dickinson University.</w:t>
      </w:r>
    </w:p>
    <w:p>
      <w:pPr>
        <w:spacing w:after="0" w:line="18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231F20"/>
        </w:rPr>
        <w:t>Lorence H. Kim, M.D.</w:t>
      </w:r>
      <w:r>
        <w:rPr>
          <w:rFonts w:ascii="Arial" w:cs="Arial" w:eastAsia="Arial" w:hAnsi="Arial"/>
          <w:sz w:val="18"/>
          <w:szCs w:val="18"/>
          <w:color w:val="231F20"/>
        </w:rPr>
        <w:t>, has served as a member of our board of directors since October2014. Since April 2014, Dr. Kim has been the Chief Financial</w:t>
      </w:r>
      <w:r>
        <w:rPr>
          <w:rFonts w:ascii="Arial" w:cs="Arial" w:eastAsia="Arial" w:hAnsi="Arial"/>
          <w:sz w:val="18"/>
          <w:szCs w:val="18"/>
          <w:i w:val="1"/>
          <w:iCs w:val="1"/>
          <w:color w:val="231F20"/>
        </w:rPr>
        <w:t xml:space="preserve"> </w:t>
      </w:r>
      <w:r>
        <w:rPr>
          <w:rFonts w:ascii="Arial" w:cs="Arial" w:eastAsia="Arial" w:hAnsi="Arial"/>
          <w:sz w:val="18"/>
          <w:szCs w:val="18"/>
          <w:color w:val="231F20"/>
        </w:rPr>
        <w:t>Officer of Moderna Therapeutics, a biotechnology company. From July 2000 to April 2014, Dr. Kim held a number of positions at Goldman, Sachs &amp; Co., an investment bank, most recently as Managing Director and Co-Head of Biotechnology Investment Banking. Dr. Kim received an A.B. from Harvard University, an MBA in Healthcare Management from the Wharton School of the University of Pennsylvania, and an M.D. from the University of Pennsylvania’s School of Medicine.</w:t>
      </w:r>
    </w:p>
    <w:p>
      <w:pPr>
        <w:spacing w:after="0" w:line="188"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i w:val="1"/>
          <w:iCs w:val="1"/>
          <w:color w:val="auto"/>
        </w:rPr>
        <w:t xml:space="preserve">Kurt C. Graves </w:t>
      </w:r>
      <w:r>
        <w:rPr>
          <w:rFonts w:ascii="Arial" w:cs="Arial" w:eastAsia="Arial" w:hAnsi="Arial"/>
          <w:sz w:val="18"/>
          <w:szCs w:val="18"/>
          <w:color w:val="auto"/>
        </w:rPr>
        <w:t>has served as a member of our board of directors since November 2015. Mr. Graves has been the Chairman,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Intarcia Therapeutics, a biotechnology company, since April 2012. Mr. Graves served as Executive Chairman of Biolex Therapeutics, a biotechnology company, from November 2010 to March 2012, and served as Executive Chairman of Intarcia Therapeutics from August 2010 to April 2012. Previously, he served as Executive Vice President, Chief Commercial Officer and Head of Strategic Development at Vertex Pharmaceuticals Inc. from July 2007 to October 2009. Prior to joining Vertex, Mr. Graves held various leadership positions at Novartis pharmaceuticals from 1999 to June 2007. He was also the first Chief Marketing Officer for the Pharmaceuticals division from September 2003 to June 2007. He has served as a director of Intarcia Therapeutics, Inc. since 2012, Radius Health, Inc. since 2011, and Achillion Pharmaceuticals, Inc. since 2012. Mr. Graves received a B.S. in Biology from Hillsdale College.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7" w:name="page68"/>
    <w:bookmarkEnd w:id="67"/>
    <w:p>
      <w:pPr>
        <w:ind w:right="20" w:firstLine="518"/>
        <w:spacing w:after="0" w:line="268" w:lineRule="auto"/>
        <w:rPr>
          <w:sz w:val="20"/>
          <w:szCs w:val="20"/>
          <w:color w:val="auto"/>
        </w:rPr>
      </w:pPr>
      <w:r>
        <w:rPr>
          <w:rFonts w:ascii="Arial" w:cs="Arial" w:eastAsia="Arial" w:hAnsi="Arial"/>
          <w:sz w:val="17"/>
          <w:szCs w:val="17"/>
          <w:i w:val="1"/>
          <w:iCs w:val="1"/>
          <w:color w:val="auto"/>
        </w:rPr>
        <w:t>Roger J. Pomerantz, M.D.</w:t>
      </w:r>
      <w:r>
        <w:rPr>
          <w:rFonts w:ascii="Arial" w:cs="Arial" w:eastAsia="Arial" w:hAnsi="Arial"/>
          <w:sz w:val="17"/>
          <w:szCs w:val="17"/>
          <w:color w:val="auto"/>
        </w:rPr>
        <w:t>, has served as Chairman of our board of directors since November 2013. Previously, he served as our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from June 2014 to January 2019. Since July 2014, Dr. Pomerantz has been a Senior Partner at Flagship Pioneering, formerly known as Flagship Ventures, an early-stage venture capital firm. From January 2011 to September 2013, Dr. Pomerantz was Worldwide Head of Licensing and Acquisitions and Senior Vice President at Merck, where he oversaw licensing and acquisitions for Merck Research Laboratories, the research and development division of Merck. From February 2010 to February 2013, Dr. Pomerantz served as Global Head of Infectious Diseases and Senior Vice President at Merck, where he oversaw pharmaceutical development and discovery of antibiotics, antivirals, antifungals and antiparasitic agents. Prior to Merck, Dr. Pomerantz was Global Head of Infectious Diseases for the pharmaceutical division of Johnson &amp; Johnson, Inc., a multinational medical device, consumer goods and pharmaceutical corporation, where he was responsible for anti-infective agents worldwide. He joined Johnson &amp; Johnson, Inc. in August 2005 as President of Tibotec Pharmaceuticals, Inc., now Janssen Therapeutics and a subsidiary of Johnson &amp; Johnson, Inc., a pharmaceutical company focused on the treatment of infectious diseases. Dr. Pomerantz has developed ten approved infectious disease drugs for diseases including HIV, HCV and tuberculosis. He has served on the boards of director of Contrafect Corporation, since 2014, Rubius Therapeutics, Inc., since 2014, and Intec Therapeutics, Inc since 2018. Dr. Pomerantz received his B.A. in Biochemistry from The Johns Hopkins University and his M.D. from The Johns Hopkins School of Medicine.</w:t>
      </w:r>
    </w:p>
    <w:p>
      <w:pPr>
        <w:spacing w:after="0" w:line="18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i w:val="1"/>
          <w:iCs w:val="1"/>
          <w:color w:val="auto"/>
        </w:rPr>
        <w:t xml:space="preserve">Eric D. Shaff </w:t>
      </w:r>
      <w:r>
        <w:rPr>
          <w:rFonts w:ascii="Arial" w:cs="Arial" w:eastAsia="Arial" w:hAnsi="Arial"/>
          <w:sz w:val="18"/>
          <w:szCs w:val="18"/>
          <w:color w:val="auto"/>
        </w:rPr>
        <w:t>has served as our Chief Executive Officer and a member of our board of directors since January 2019. Previously, he served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and Financial Officer and Executive Vice President from January 2018 until January 2019 and as our Chief Financial Officer from November 2014 to January 2019. Mr. Shaff has also served on the board of directors of Sigilon Therapeutics, Inc. since November 2017. From January 2012 to November 2014, Mr. Shaff was Vice President of Corporate Finance for Momenta Pharmaceuticals, a biotechnology company, where he helped manage Momenta’s accounting, finance, planning, and procurement functions, as well as contributing to Momenta’s investor relations efforts. From June 2004 to December 2011, Mr. Shaff held a number of corporate development and finance positions with Genzyme Corporation, a biotechnology company, most recently as Vice President of Finance/Controller for the Personalized Genetic Health division. Mr. Shaff received his B.A. from the University of Pennsylvania and his MBA from Cornell University.</w:t>
      </w:r>
    </w:p>
    <w:p>
      <w:pPr>
        <w:spacing w:after="0" w:line="192"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i w:val="1"/>
          <w:iCs w:val="1"/>
          <w:color w:val="auto"/>
        </w:rPr>
        <w:t xml:space="preserve">Meryl Zausner </w:t>
      </w:r>
      <w:r>
        <w:rPr>
          <w:rFonts w:ascii="Arial" w:cs="Arial" w:eastAsia="Arial" w:hAnsi="Arial"/>
          <w:sz w:val="16"/>
          <w:szCs w:val="16"/>
          <w:color w:val="auto"/>
        </w:rPr>
        <w:t>has served as a member of our board of directors since August 2018. From April 2012 to November 2014, Ms. Zausner served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and administrative officer of Novartis Pharmaceuticals Inc. in the United States and served as a member of the Pharmaceutical Executive Committee and Global Finance Leadership Team. At Novartis, she helped launch the Oncology Business Unit, as well as the company’s shared services organization.</w:t>
      </w:r>
    </w:p>
    <w:p>
      <w:pPr>
        <w:jc w:val="both"/>
        <w:ind w:right="60"/>
        <w:spacing w:after="0" w:line="254" w:lineRule="auto"/>
        <w:rPr>
          <w:sz w:val="20"/>
          <w:szCs w:val="20"/>
          <w:color w:val="auto"/>
        </w:rPr>
      </w:pPr>
      <w:r>
        <w:rPr>
          <w:rFonts w:ascii="Arial" w:cs="Arial" w:eastAsia="Arial" w:hAnsi="Arial"/>
          <w:sz w:val="18"/>
          <w:szCs w:val="18"/>
          <w:color w:val="auto"/>
        </w:rPr>
        <w:t>Prior to serving as chief financial and administrative officer, Ms. Zausner was a member of the Novartis Global Oncology leadership team and chief financial officer, where she contributed to the development and commercialization of therapies, including Gleevec® (imatinib). Ms. Zausner also serves on the boards of directors of Neon Therapeutics, Inc. and the Multiple Myeloma Research Foundation. Ms. Zausner received a B.S. in accounting and economics from the University at Albany, SUNY.</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i w:val="1"/>
          <w:iCs w:val="1"/>
          <w:color w:val="auto"/>
        </w:rPr>
        <w:t>John G. Aunins, Ph.D.</w:t>
      </w:r>
      <w:r>
        <w:rPr>
          <w:rFonts w:ascii="Arial" w:cs="Arial" w:eastAsia="Arial" w:hAnsi="Arial"/>
          <w:sz w:val="17"/>
          <w:szCs w:val="17"/>
          <w:color w:val="auto"/>
        </w:rPr>
        <w:t>, has served as our Chief Technology Officer and Executive Vice President of Bioprocess Development since December 2012.</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joining our company, Dr. Aunins served on our Scientific Advisory Board from February 2012 to December 2012. From April 1989 to November 2011, Dr. Aunins served in various roles at Merck, most recently as Executive Science Director. At Merck, Dr. Aunins led process and product development teams for six licensed vaccines and multiple vaccine candidates. He is a Fellow of the American Institute for Medical and Biological Engineering and an adjunct Full Professor at the Instituto de Tecnologia Quimica e Biologica in Oeiras, Portugal. Dr. Aunins received his B.S. from the University of Kansas and his Ph.D. in Chemical Engineering from the Massachusetts Institute of Technology.</w:t>
      </w:r>
    </w:p>
    <w:p>
      <w:pPr>
        <w:spacing w:after="0" w:line="178"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i w:val="1"/>
          <w:iCs w:val="1"/>
          <w:color w:val="auto"/>
        </w:rPr>
        <w:t xml:space="preserve">Thomas J. DesRosier </w:t>
      </w:r>
      <w:r>
        <w:rPr>
          <w:rFonts w:ascii="Arial" w:cs="Arial" w:eastAsia="Arial" w:hAnsi="Arial"/>
          <w:sz w:val="16"/>
          <w:szCs w:val="16"/>
          <w:color w:val="auto"/>
        </w:rPr>
        <w:t>has served as our Chief Legal Officer, Executive Vice President, and Secretary since May 2016. Previously,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Chief Legal and Administrative Officer and Secretary of ARIAD Pharmaceuticals, Inc., a biopharmaceutical company, from 2015 to 2016, as Executive Vice President, Chief Legal and Administrative Officer and Secretary of Cubist Pharmaceuticals, Inc., or Cubist, a biopharmaceutical company, from 2014 to 2015 and as Senior Vice President, Chief Legal Officer and Secretary of Cubist from 2013 to 2014. Before that, Mr. DesRosier served as Senior Vice President, General Counsel North America of Sanofi, a global biopharmaceutical company, from 2011 to 2013. From 1999 to 2011,</w:t>
      </w:r>
    </w:p>
    <w:p>
      <w:pPr>
        <w:spacing w:after="0" w:line="2"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Mr. DesRosier held several increasing leadership roles within the legal group of Genzyme Corporation, a biotechnology company, culminating in his role as Senior Vice President, Chief Legal Officer. Mr. DesRosier serves as a director on the board of Avanir Pharmaceuticals, a Delaware corporation and wholly-owned subsidiary of Otsuka Pharmaceutical Company, Ltd. Mr. DesRosier earned a B.A. in chemistry from the University of Vermont and a J.D. from Wake Forest University School of Law.</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8" w:name="page69"/>
    <w:bookmarkEnd w:id="68"/>
    <w:p>
      <w:pPr>
        <w:ind w:right="40" w:firstLine="518"/>
        <w:spacing w:after="0" w:line="286" w:lineRule="auto"/>
        <w:rPr>
          <w:sz w:val="20"/>
          <w:szCs w:val="20"/>
          <w:color w:val="auto"/>
        </w:rPr>
      </w:pPr>
      <w:r>
        <w:rPr>
          <w:rFonts w:ascii="Arial" w:cs="Arial" w:eastAsia="Arial" w:hAnsi="Arial"/>
          <w:sz w:val="16"/>
          <w:szCs w:val="16"/>
          <w:i w:val="1"/>
          <w:iCs w:val="1"/>
          <w:color w:val="auto"/>
        </w:rPr>
        <w:t>Matthew Henn, Ph.D.</w:t>
      </w:r>
      <w:r>
        <w:rPr>
          <w:rFonts w:ascii="Arial" w:cs="Arial" w:eastAsia="Arial" w:hAnsi="Arial"/>
          <w:sz w:val="16"/>
          <w:szCs w:val="16"/>
          <w:color w:val="auto"/>
        </w:rPr>
        <w:t>, has served as our Executive Vice President and Chief Scientific Officer since February 2019. Since joining at the launch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June 2012, he has held positions of increasing seniority, most recently prior to his current position he served as our Executive Vice President, Head of Discovery and Microbiome R&amp;D. Prior to Seres, he was the Director of Viral Genomics and Assistant Director of the Genome Sequencing Center for Infectious Diseases at the Broad Institute of MIT and Harvard. He currently serves on the scientific advisory boards of the Forsyth Institute</w:t>
      </w:r>
    </w:p>
    <w:p>
      <w:pPr>
        <w:spacing w:after="0" w:line="2"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and Growcentia, Inc, an agricultural microbiome company. Dr. Henn earned his B.S. in ecology and evolutionary sciences from the University of New Hampshire and his Ph.D. in ecosystem sciences from the University of California at Berkeley, were he was a NASA Earth Systems Sciences Fellow, and trained as a NSF Postdoctoral Fellow in Microbiology at Duke University.</w:t>
      </w:r>
    </w:p>
    <w:p>
      <w:pPr>
        <w:spacing w:after="0" w:line="190"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i w:val="1"/>
          <w:iCs w:val="1"/>
          <w:color w:val="auto"/>
        </w:rPr>
        <w:t>Kevin Horgan, M.D.</w:t>
      </w:r>
      <w:r>
        <w:rPr>
          <w:rFonts w:ascii="Arial" w:cs="Arial" w:eastAsia="Arial" w:hAnsi="Arial"/>
          <w:sz w:val="18"/>
          <w:szCs w:val="18"/>
          <w:color w:val="auto"/>
        </w:rPr>
        <w:t>, has served as our Chief Medical Officer and Executive Vice President since October 2018. Dr. Horgan has contributed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approval of multiple therapeutics across immunological and oncology indications. Most recently, from April 2015 to October 2018, Dr. Horgan was Vice President of Clinical Development at Astra Zeneca, where he led the development of combination immune-oncology programs. Prior to Tucana, Dr. Hogan held Chief Medical Officer roles at Soligenix from January 2011 to October 2013 and Coronado from October 2013 to January 2014. Prior to those roles, he was Vice President of Clinical Immunology at Centocor during the development and approval of Remicade, Stelara and Simponi. Dr. Hogan began his industry career at Merck, following positions in academic medicine at the University of California, Los Angeles. Dr. Horgan earned his undergraduate and medical degrees from University College Cork in Ireland. He did his medical residency on the Osler Service, at The Johns Hopkins Medical School and Medical Center in Baltimore, MD.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been traded on The Nasdaq Global Select Market under the symbol “MCRB.”</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graph set forth below compares the cumulative total stockholder return on our common stock between June 26, 2015 (the date of our initial public offering) and December 31, 2018, with the cumulative total return of (a) the Nasdaq Biotechnology Index and (b) the Nasdaq Composite Index, over the same period. This graph assumes the investment of $100 on June 26, 2015 in our common stock, the Nasdaq Biotechnology Index and the Nasdaq Composite Index and assumes the reinvestment of dividends, if any. The graph assumes our closing sales price on June 26, 2015 of $51.40 per share as the initial value of our common stock and not the initial offering price to the public of $18.00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109855</wp:posOffset>
            </wp:positionV>
            <wp:extent cx="6165850" cy="3327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6585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As of February 28, 2019, there were approximately 20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not paid any cash dividends on our common stock since inception and do not anticipate paying cash dividends in the foreseeable future.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make any sales of unregistered securities during the quarter ended December 31, 2018.</w:t>
      </w:r>
    </w:p>
    <w:p>
      <w:pPr>
        <w:spacing w:after="0" w:line="32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repurchases of shares of common stock made during the quarter ended December 31,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following selected consolidated financial data should be read in conjunction with “Management’s Discussion and Analysis of Financial Condition and Results of Operations,” our consolidated financial statements and related notes, and other financial information included in this Annual Report on Form 10-K. We have derived the consolidated statement of operations data for the years ended December 31, 2018, 2017, and 2016 and the consolidated balance sheet data as of December 31, 2018 and 2017 from our audited consolidated financial statements, which are included elsewhere in this Annual Report on Form 10-K. The consolidated statement of operations and consolidated balance sheet data as of December 31, 2015 and 2014 are derived from our audited consolidated financial statements that are not included in this Annual Report on Form 10-K. Our historical results are not necessarily indicative of the results that should be expected in the future.</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center"/>
              <w:ind w:left="333"/>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1"/>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gridSpan w:val="10"/>
          </w:tcPr>
          <w:p>
            <w:pPr>
              <w:jc w:val="center"/>
              <w:ind w:right="28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Consolidated Statement of Operations Data:</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Collaboration revenue - related party</w:t>
            </w:r>
            <w:r>
              <w:rPr>
                <w:rFonts w:ascii="Arial" w:cs="Arial" w:eastAsia="Arial" w:hAnsi="Arial"/>
                <w:sz w:val="15"/>
                <w:szCs w:val="15"/>
                <w:color w:val="auto"/>
              </w:rPr>
              <w:t>(1)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26,917</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32,100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21,766</w:t>
            </w:r>
          </w:p>
        </w:tc>
        <w:tc>
          <w:tcPr>
            <w:tcW w:w="10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 revenue</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95,955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89,455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81,989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38,095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34,040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128,551</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123,495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114,605</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54,856</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(100,284)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(91,395)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(92,839)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(54,856)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(15,082)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(expense), net</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Revaluation of preferred stock warrant</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liability</w:t>
            </w:r>
          </w:p>
        </w:tc>
        <w:tc>
          <w:tcPr>
            <w:tcW w:w="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4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(98,942)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(89,380)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(91,579)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(54,780)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(16,709)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Accretion of convertible preferred stock to</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380"/>
              <w:spacing w:after="0"/>
              <w:rPr>
                <w:sz w:val="20"/>
                <w:szCs w:val="20"/>
                <w:color w:val="auto"/>
              </w:rPr>
            </w:pPr>
            <w:r>
              <w:rPr>
                <w:rFonts w:ascii="Arial" w:cs="Arial" w:eastAsia="Arial" w:hAnsi="Arial"/>
                <w:sz w:val="18"/>
                <w:szCs w:val="18"/>
                <w:color w:val="auto"/>
              </w:rPr>
              <w:t>redemption value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(98,942</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(89,380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(91,579</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(54,780</w:t>
            </w:r>
          </w:p>
        </w:tc>
        <w:tc>
          <w:tcPr>
            <w:tcW w:w="16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right="40" w:hanging="512"/>
        <w:spacing w:after="0" w:line="288"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adopted ASC 606 on January 1, 2018, using the modified retrospective method for all contracts not completed as of the date of adoption. Our reported results for 2018 reflect the application of ASC 606 guidance while our reported results for 2017 and 2016 were prepared under the guidance outlined in ASC 605. See Note 9 to our consolidated financial statements appearing at the end of this Annual Report on Form 10-K for further details.</w:t>
      </w:r>
    </w:p>
    <w:p>
      <w:pPr>
        <w:ind w:left="520" w:right="100" w:hanging="512"/>
        <w:spacing w:after="0" w:line="276"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11 to our consolidated financial statements appearing at the end of this Annual Report on Form 10-K for further details on the calculation of basic and diluted net loss per share attributable to common stockholders.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0"/>
              </w:rPr>
              <w:t>As of December 31,</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7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40" w:type="dxa"/>
            <w:vAlign w:val="bottom"/>
          </w:tcPr>
          <w:p>
            <w:pPr>
              <w:spacing w:after="0"/>
              <w:rPr>
                <w:sz w:val="14"/>
                <w:szCs w:val="14"/>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9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   85,820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36,088</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   54,539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73,933</w:t>
            </w:r>
          </w:p>
        </w:tc>
        <w:tc>
          <w:tcPr>
            <w:tcW w:w="940" w:type="dxa"/>
            <w:vAlign w:val="bottom"/>
          </w:tcPr>
          <w:p>
            <w:pPr>
              <w:jc w:val="right"/>
              <w:spacing w:after="0"/>
              <w:rPr>
                <w:sz w:val="20"/>
                <w:szCs w:val="20"/>
                <w:color w:val="auto"/>
              </w:rPr>
            </w:pPr>
            <w:r>
              <w:rPr>
                <w:rFonts w:ascii="Arial" w:cs="Arial" w:eastAsia="Arial" w:hAnsi="Arial"/>
                <w:sz w:val="18"/>
                <w:szCs w:val="18"/>
                <w:color w:val="auto"/>
              </w:rPr>
              <w:t>$  114,185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8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113,895</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175,456</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131,149</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50,624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123,453</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167,912</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196,690</w:t>
            </w:r>
          </w:p>
        </w:tc>
        <w:tc>
          <w:tcPr>
            <w:tcW w:w="940" w:type="dxa"/>
            <w:vAlign w:val="bottom"/>
          </w:tcPr>
          <w:p>
            <w:pPr>
              <w:jc w:val="right"/>
              <w:spacing w:after="0"/>
              <w:rPr>
                <w:sz w:val="20"/>
                <w:szCs w:val="20"/>
                <w:color w:val="auto"/>
              </w:rPr>
            </w:pPr>
            <w:r>
              <w:rPr>
                <w:rFonts w:ascii="Arial" w:cs="Arial" w:eastAsia="Arial" w:hAnsi="Arial"/>
                <w:sz w:val="18"/>
                <w:szCs w:val="18"/>
                <w:color w:val="auto"/>
              </w:rPr>
              <w:t>109,140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7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120,472</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189,522</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272,646</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216,900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117,345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Preferred stock warrant liability</w:t>
            </w:r>
          </w:p>
        </w:tc>
        <w:tc>
          <w:tcPr>
            <w:tcW w:w="8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1,582</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discount,</w:t>
            </w:r>
          </w:p>
        </w:tc>
        <w:tc>
          <w:tcPr>
            <w:tcW w:w="8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including current portion</w:t>
            </w:r>
          </w:p>
        </w:tc>
        <w:tc>
          <w:tcPr>
            <w:tcW w:w="8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Convertible preferred stock</w:t>
            </w:r>
            <w:r>
              <w:rPr>
                <w:rFonts w:ascii="Arial" w:cs="Arial" w:eastAsia="Arial" w:hAnsi="Arial"/>
                <w:sz w:val="15"/>
                <w:szCs w:val="15"/>
                <w:color w:val="auto"/>
              </w:rPr>
              <w:t>(2)</w:t>
            </w:r>
          </w:p>
        </w:tc>
        <w:tc>
          <w:tcPr>
            <w:tcW w:w="80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136,077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(48,045)</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60,699</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132,631</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205,394</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 w:lineRule="exact"/>
        <w:rPr>
          <w:rFonts w:ascii="Arial" w:cs="Arial" w:eastAsia="Arial" w:hAnsi="Arial"/>
          <w:sz w:val="18"/>
          <w:szCs w:val="18"/>
          <w:color w:val="auto"/>
        </w:rPr>
      </w:pPr>
    </w:p>
    <w:p>
      <w:pPr>
        <w:ind w:left="520" w:right="420" w:hanging="512"/>
        <w:spacing w:after="0" w:line="323"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Convertible preferred stock was converted into our common stock upon the listing of our common stock on The Nasdaq Global Select Market on June 26, 2015. See Note 8 to our consolidated financial statements appearing at the end of this Annual Report on Form 10-K for further details.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60" w:firstLine="518"/>
        <w:spacing w:after="0" w:line="297" w:lineRule="auto"/>
        <w:rPr>
          <w:sz w:val="20"/>
          <w:szCs w:val="20"/>
          <w:color w:val="auto"/>
        </w:rPr>
      </w:pPr>
      <w:r>
        <w:rPr>
          <w:rFonts w:ascii="Arial" w:cs="Arial" w:eastAsia="Arial" w:hAnsi="Arial"/>
          <w:sz w:val="16"/>
          <w:szCs w:val="16"/>
          <w:i w:val="1"/>
          <w:iCs w:val="1"/>
          <w:color w:val="auto"/>
        </w:rPr>
        <w:t>You should read the following discussion and analysis of financial condition and results of operations together with Item 6 “Selected Consolidated Financial Data” and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Item 1A. Risk Factors.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We are a microbiome therapeutics platform company developing a novel class of biological drugs, which are designed to treat disease by restoring the function of a dysbiotic microbiome. SER-287 is being developed to treat ulcerative colitis, or UC. Our lead product candidate, SER-109, is designed to reduce recurrences of </w:t>
      </w:r>
      <w:r>
        <w:rPr>
          <w:rFonts w:ascii="Arial" w:cs="Arial" w:eastAsia="Arial" w:hAnsi="Arial"/>
          <w:sz w:val="17"/>
          <w:szCs w:val="17"/>
          <w:i w:val="1"/>
          <w:iCs w:val="1"/>
          <w:color w:val="auto"/>
        </w:rPr>
        <w:t>Clostridium difficile</w:t>
      </w:r>
      <w:r>
        <w:rPr>
          <w:rFonts w:ascii="Arial" w:cs="Arial" w:eastAsia="Arial" w:hAnsi="Arial"/>
          <w:sz w:val="17"/>
          <w:szCs w:val="17"/>
          <w:color w:val="auto"/>
        </w:rPr>
        <w:t xml:space="preserve">, or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infection, or CDI, a debilitating infection of the colon, in patients who have received antibiotic therapy for recurrent CDI by treating the dysbiosis of the colonic microbiome and, if approved by the U.S. Food and Drug Administration, or FDA, could be a first-in-field oral microbiome drug. In addition, using our microbiome therapeutics platform, we are developing product candidates to treat diseases where the microbiome is implicated, including SER-301, a rationally designed, fermented inflammatory bowel disease, or IBD, candidate, and SER-401, a microbiome therapeutic candidate for use with checkpoint inhibitors, or CPIs, in patients with metastatic melanoma. We continue to evaluate microbiome pharmacokinetic and pharmacodynamic data from the SER-262 Phase 1b study and other completed clinical trials, in addition to insights gained from research efforts with our other rationally designed Ecobiotic microbiome therapeutic candidates, in order to determine next steps in the development of both SER-262 to treat an initial recurrence of CDI, and SER-155 to modulate the microbiome and dysbioses in patients following allogeneic hematopoietic stem cell transplants. We are also using our microbiome therapeutics platform to conduct research on various indications, including: infectious diseases, metabolic diseases, and inflammatory and immune diseases, including immuno-oncology.</w:t>
      </w:r>
    </w:p>
    <w:p>
      <w:pPr>
        <w:spacing w:after="0" w:line="180"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Since our inception in October 2010, we have devoted substantially all of our resources to developing our programs, building our intellectual property portfolio, developing our supply chain, business planning, raising capital and providing general and administrative support for these operations.</w:t>
      </w:r>
    </w:p>
    <w:p>
      <w:pPr>
        <w:spacing w:after="0" w:line="124"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All of our product candidates other than SER-287, SER-109, SER-262 and SER-401 are still in preclinical development or early stage discovery. Our ability to generate product revenue sufficient to achieve profitability will depend heavily on the successful development and eventual commercialization of one or more of our product candidates. Since our inception, we have incurred significant operating losses. Our net loss was $98.9 million for the twelve months ended December 31, 2018. As of December 31, 2018, we had an accumulated deficit of $389.4 million and cash and cash equivalents totaling $85.8 million. Based on our current plans and forecasted expenses, we believe that our existing cash and cash equivalents as of December 31, 2018, will enable us to fund our operating expenses and capital expenditure requirements into the fourth quarter of 2019, raising a substantial doubt regarding our ability to continue as a going concern. We have based this estimate on assumptions that may prove to be wrong, and we could use our capital resources sooner than we currently expect. As further discussed in “—Liquidity and Capital Resources” below, these factors raise substantial doubt about our ability to continue as a going concern.</w:t>
      </w:r>
    </w:p>
    <w:p>
      <w:pPr>
        <w:spacing w:after="0" w:line="197" w:lineRule="exact"/>
        <w:rPr>
          <w:sz w:val="20"/>
          <w:szCs w:val="20"/>
          <w:color w:val="auto"/>
        </w:rPr>
      </w:pPr>
    </w:p>
    <w:p>
      <w:pPr>
        <w:ind w:right="220" w:firstLine="518"/>
        <w:spacing w:after="0" w:line="286" w:lineRule="auto"/>
        <w:rPr>
          <w:sz w:val="20"/>
          <w:szCs w:val="20"/>
          <w:color w:val="auto"/>
        </w:rPr>
      </w:pPr>
      <w:r>
        <w:rPr>
          <w:rFonts w:ascii="Arial" w:cs="Arial" w:eastAsia="Arial" w:hAnsi="Arial"/>
          <w:sz w:val="16"/>
          <w:szCs w:val="16"/>
          <w:color w:val="auto"/>
        </w:rPr>
        <w:t>On October 2, 2017, we announced positive topline results from our Phase 1b clinical trial of SER-287 in patients with UC who were failing current therapies. The SER-287 Phase 1b study, a randomized, double-blinded, placebo-controlled, multiple-dose, induction study enrolled 58 patients at 20 sites across the United States with active mild-to-moderate UC, with Total Modified Mayo scores of 4 to 10. Study subjects exhibited pre-study disease activity despite use of current therapies in a majority of subjects, which included 5-amino-salacylic acid, low dose corticosteroids, or immunomodulatory</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therapy. Evaluation of SER-287 safety and tolerability was a primary study endpoint and study results showed no drug-related serious adverse events and no imbalance in adverse events in SER-287-treated patients as compared to patients treated with placebo.</w:t>
      </w:r>
    </w:p>
    <w:p>
      <w:pPr>
        <w:spacing w:after="0" w:line="184"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Analyses of study patients’ microbiome data, a co-primary study endpoint of the trial, demonstrated that SER-287 induced dose-dependent engraftment of SER-287-derived bacterial species into the colonic microbiome of the patients treated with SER-287. Patients administered vancomycin pre-treatment followed by daily administration of SER-287 had the highest level of SER-287 engraftment, which was statistically significant. This patient cohort corresponded with the study arm where the most significant clinical benefits were observed, including clinical remission and endoscopic improvement. Differences in the composition of the microbiome post treatment were also associated with clinical remission. Bacterial engraftment signatures were durable throughout the dosing period of the trial and were also observed at four weeks post administration of the final SER-287 dose. The pharmacologic impact of the SER-287 engraftment was supported by metabolomic and transcriptomic data. Analysis of metabolites and gene expression signatures associated with inflammation and immune modulation, were observed to be correlated with remission in SER-287 treated subjects.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ind w:firstLine="518"/>
        <w:spacing w:after="0" w:line="273" w:lineRule="auto"/>
        <w:rPr>
          <w:sz w:val="20"/>
          <w:szCs w:val="20"/>
          <w:color w:val="auto"/>
        </w:rPr>
      </w:pPr>
      <w:r>
        <w:rPr>
          <w:rFonts w:ascii="Arial" w:cs="Arial" w:eastAsia="Arial" w:hAnsi="Arial"/>
          <w:sz w:val="17"/>
          <w:szCs w:val="17"/>
          <w:color w:val="auto"/>
        </w:rPr>
        <w:t>In December 2018, we initiated our Phase 2b trial, ECO-RESET, evaluating SER-287 in patients with active mild-to-moderate ulcerative colitis. Based on feedback obtained from the FDA on the SER-287 Phase 2b study design, we believe that the study could serve as one of two required pivotal trials supporting potential future registration of SER-287. The Phase 2b study is a three-arm placebo-controlled trial of approximately 200 patients with active mild-to-moderate UC. Two groups of patients will receive different doses of SER-287, both following pretreatment with a short course of oral vancomycin. A third study arm will receive placebo. The study’s primary endpoint will evaluate clinical remission measured after 10 weeks of SER-287 administration. Endoscopic improvement will be measured as a secondary efficacy measure. We expect to complete study enrollment by mid-2020.</w:t>
      </w:r>
    </w:p>
    <w:p>
      <w:pPr>
        <w:spacing w:after="0" w:line="178" w:lineRule="exact"/>
        <w:rPr>
          <w:sz w:val="20"/>
          <w:szCs w:val="20"/>
          <w:color w:val="auto"/>
        </w:rPr>
      </w:pPr>
    </w:p>
    <w:p>
      <w:pPr>
        <w:ind w:right="160" w:firstLine="518"/>
        <w:spacing w:after="0" w:line="288" w:lineRule="auto"/>
        <w:rPr>
          <w:sz w:val="20"/>
          <w:szCs w:val="20"/>
          <w:color w:val="auto"/>
        </w:rPr>
      </w:pPr>
      <w:r>
        <w:rPr>
          <w:rFonts w:ascii="Arial" w:cs="Arial" w:eastAsia="Arial" w:hAnsi="Arial"/>
          <w:sz w:val="16"/>
          <w:szCs w:val="16"/>
          <w:color w:val="auto"/>
        </w:rPr>
        <w:t xml:space="preserve">In June 2017 we initiated a Phase 3 clinical study of SER-109, termed ECOSPOR III, in approximately 320 patients with multiply recurrent CDI. Based on analysis of the available clinical, microbiome, and chemistry, manufacturing and control data from our Phase 1b and Phase 2 clinical studies of SER-109, diagnosis of CDI for both study entry and for endpoint analysis will be confirmed by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cytotoxin assay, rather than polymerase chain reaction, or PCR, which was used in the prior studies. Patients in the SER-109 arm will receive a total SER-109 dose, administered over three days, approximately 10-fold higher than the dose used in the Phase 2 clinical study. The study will evaluate patients for 24 weeks and the primary endpoint will compare the CDI recurrence rate in subjects who receive SER-109 verses placebo at up to eight weeks after dosing. ECOSPOR III enrolment continues to progress, with over 100 sites open across the United States and Canada. Several factors have impacted study enrollment, including the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cytotoxin test required for diagnosis, which has screened out some individuals who might otherwise have been included had we used PCR-based testing, and the widespread availability of unapproved and unregulated fecal microbiota transplantation. We continue to add and implement various operational measures to expedite study enrollment. Additionally, we are considering alternatives, including study design modification, to expedite the availability of clinical results.</w:t>
      </w:r>
    </w:p>
    <w:p>
      <w:pPr>
        <w:spacing w:after="0" w:line="169"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We have initiated a Phase 1b clinical study with our collaborators at MD Anderson Cancer Center, or MD Anderson, and the Parker Institute for Cancer Immunotherapy, or the Parker Institute, of SER-401, a donor derived microbiome therapy designed to replicate the bacterial signature found in the approximately one third of patients who have a robust response to anti-PD-1 therapy. SER-401 is designed to modify the cancer immune set point and meaningfully improve patients’ response to checkpoint inhibitor therapy. The scientific basis for SER-401 is supported by published findings from our collaborator, Dr. Jennifer Wargo of MD Anderson, indicating that a specific set of bacteria in the gastrointestinal microbiome can have an important role in determining the immunological response to checkpoint inhibitor therapy. Our own preclinical research has extended these findings and continues to ascertain how specific bacterial species impact the response to checkpoint inhibitors. These data demonstrate the strong role of specific bacterial species in anti-tumor response to anti-PD-1 therapy and on the impact of the microbiome the immune system and on specific T cell classes, including CD8 and T regulatory cells.</w:t>
      </w:r>
    </w:p>
    <w:p>
      <w:pPr>
        <w:spacing w:after="0" w:line="166"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continue to evaluate microbiome pharmacokinetic and pharmacodynamic data from the SER-262 Phase 1b study and other completed clinical trials, in addition to insights gained from preclinical research efforts with our other rationally designed Ecobiotic microbiome therapeutic candidates, in order to determine future steps in the development of both SER-262 and SER-155.</w:t>
      </w:r>
    </w:p>
    <w:p>
      <w:pPr>
        <w:spacing w:after="0" w:line="18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While we plan to focus our investment on our highest priority clinical programs in the near-term, our expenses may increase substantially in connection with our ongoing and planned activities, particularly as we:</w:t>
      </w:r>
    </w:p>
    <w:p>
      <w:pPr>
        <w:spacing w:after="0" w:line="62"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the clinical development of SER-109, our lead product candidate, in the Phase 3 clinical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the clinical development of SER-287 for the treatment of UC;</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the clinical development of SER-401, a microbiome therapeutic candidate for use with CPIs in a Phase 1b clinical trial in patients with metastatic melanoma;</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SER-301, our rationally designed IBD product candidate;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perform our obligations under the license and collaboration agreement with Nestec Ltd., or NHS;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 and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jc w:val="both"/>
        <w:ind w:right="220" w:firstLine="518"/>
        <w:spacing w:after="0" w:line="264" w:lineRule="auto"/>
        <w:rPr>
          <w:sz w:val="20"/>
          <w:szCs w:val="20"/>
          <w:color w:val="auto"/>
        </w:rPr>
      </w:pPr>
      <w:r>
        <w:rPr>
          <w:rFonts w:ascii="Arial" w:cs="Arial" w:eastAsia="Arial" w:hAnsi="Arial"/>
          <w:sz w:val="18"/>
          <w:szCs w:val="18"/>
          <w:color w:val="auto"/>
        </w:rPr>
        <w:t>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w:t>
      </w:r>
    </w:p>
    <w:p>
      <w:pPr>
        <w:spacing w:after="0" w:line="18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 If we are unable to raise sufficient capital to fund our current operating plans in the next twelve months, we may need to reduce our expenditures, potentially requiring us, among other things, to delay, scale back, or eliminate some or all of our planned clinical trials and other research and development programs.</w:t>
      </w:r>
    </w:p>
    <w:p>
      <w:pPr>
        <w:spacing w:after="0" w:line="178"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In January 2016, we entered into a Collaboration and License Agreement, or the License Agreement, with NHS, for the development and commercialization of certain of our product candidates in development for the treatment and management of CDI and IBD, including UC and Crohn’s disease. The License Agreement supports the development of our portfolio of products for CDI and IBD in markets outside of the United States and Canada, or the Licensed Territory, and is expected to provide financial support for our ongoing research and development. We have retained full commercial rights to our entire portfolio of product candidates with respect to the United States and Canada, where we plan to build our own commercial organization.</w:t>
      </w:r>
    </w:p>
    <w:p>
      <w:pPr>
        <w:spacing w:after="0" w:line="158" w:lineRule="exact"/>
        <w:rPr>
          <w:sz w:val="20"/>
          <w:szCs w:val="20"/>
          <w:color w:val="auto"/>
        </w:rPr>
      </w:pPr>
    </w:p>
    <w:p>
      <w:pPr>
        <w:ind w:right="300" w:firstLine="518"/>
        <w:spacing w:after="0" w:line="302" w:lineRule="auto"/>
        <w:rPr>
          <w:sz w:val="20"/>
          <w:szCs w:val="20"/>
          <w:color w:val="auto"/>
        </w:rPr>
      </w:pPr>
      <w:r>
        <w:rPr>
          <w:rFonts w:ascii="Arial" w:cs="Arial" w:eastAsia="Arial" w:hAnsi="Arial"/>
          <w:sz w:val="16"/>
          <w:szCs w:val="16"/>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or, collectively, the NHS Collaboration Products. We also granted to NHS a non-exclusive license to export, develop and make NHS Collaboration Products in the licensed fields worldwide solely for commercialization in the licensed fields and in the Licensed Territory.</w:t>
      </w:r>
    </w:p>
    <w:p>
      <w:pPr>
        <w:spacing w:after="0" w:line="15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exchange for the license, NHS made an upfront cash payment of $120.0 million to us in February 2016. NHS has also agreed to pay us tiered royalties, at percentages ranging from the high single digits to high teens, of net sales of NHS Collaboration Products in the Licensed Territory. Additionally, NHS has agreed to pay us up to $285.0 million in development milestone payments, $375.0 million in regulatory payments and up to an aggregate of $1.125 billion for the achievement of certain commercial milestones related to the sales of NHS Collaboration Products. We received a $10.0 million milestone payment in 2016 associated with the initiation of a Phase 1b study for SER-262 in CDI. In June 2017, we initiated a Phase 3 clinical study of SER-109 (ECOSPOR III) in patients with multiply recurrent CDI. In July 2017, we recorded revenue of $20.0 million based on the achievement of this milestone under the License Agreement.</w:t>
      </w:r>
    </w:p>
    <w:p>
      <w:pPr>
        <w:spacing w:after="0" w:line="189"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November 2018, we executed a letter agreement with NHS, or the Letter Agreement, modifying certain terms of the License Agreement. Under the Letter Agreement, NHS agreed to pay us the $20.0 million Phase 3 milestone payment upon commencement of the Phase 2b study for SER-287. In December 2018, we received $40.0 million in milestone payments in connection with the commencement of the Phase 2b study for SER-287. The full potential value of the upfront payment and milestone payments payable by NHS is over $1.9 billion, assuming all products receive regulatory approval and are successfully commercialized. NHS is also obligated to pay some of the costs related to our clinical trials. See “—Liquidity and Capital Resources.”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 date we have not generated any revenues from the sale of products. Our revenues have primarily been derived from the License Agreement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NHS.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operating expenses since inception have consisted primarily of research and development activities and general and administrative costs.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960" w:firstLine="51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which include:</w:t>
      </w:r>
    </w:p>
    <w:p>
      <w:pPr>
        <w:spacing w:after="0" w:line="62" w:lineRule="exact"/>
        <w:rPr>
          <w:sz w:val="20"/>
          <w:szCs w:val="20"/>
          <w:color w:val="auto"/>
        </w:rPr>
      </w:pPr>
    </w:p>
    <w:p>
      <w:pPr>
        <w:ind w:left="1040" w:right="260" w:hanging="519"/>
        <w:spacing w:after="0" w:line="264"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or CROs, that conduct research, preclinical activities and clinical trials on our behalf as well as contract manufacturing organizations that manufacture drug products for use in our preclinical and clinical trials;</w:t>
      </w:r>
    </w:p>
    <w:p>
      <w:pPr>
        <w:spacing w:after="0" w:line="73"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expense, for personnel in our research and development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stock-based compensation and related travel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of laboratory supplies and acquiring, developing and manufacturing preclinical study and clinical trial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financial statements as prepaid or accrued research and development expenses. Costs incurred under our license agreement with NHS are included in the costs listed above. All costs associated with the License Agreement are recorded in research and development expense in the consolidated statements of operations and comprehensive loss.</w:t>
      </w:r>
    </w:p>
    <w:p>
      <w:pPr>
        <w:spacing w:after="0" w:line="15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primary focus of research and development since inception has been on our microbiome therapeutics platform and the subsequent development of our programs. Our direct research and development expenses are tracked on a program-by-program basis and consist primarily of external costs, such as fees paid to investigators, consultants, CROs in connection with our preclinical studies and clinical trials, lab supplies and consumables, and regulatory fees. We do not allocate employee-related costs and other indirect costs to specific research and development programs because these costs are deployed across multiple product programs under development and, as such, are classified as costs of our microbiome therapeutics platform research, along with external costs directly related to our microbiome therapeutics platform.</w:t>
      </w:r>
    </w:p>
    <w:p>
      <w:pPr>
        <w:spacing w:after="0" w:line="193"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table below summarizes our research and development expenses incurred on our platform and by product development program for those that have begun clinical development.</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515"/>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63,695</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SER-109</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16,306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25,386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SER-262</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SER-287</w:t>
            </w:r>
          </w:p>
        </w:tc>
        <w:tc>
          <w:tcPr>
            <w:tcW w:w="1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0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95,955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89,455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advance the clinical development of SER-287, complete our ECOSPOR III Phase 3 clinical study of SER-109, continue to discover and develop additional product candidates, including SER-401, SER-155 and SER-301 and pursue later stages of clinical development of our product candidates.</w:t>
      </w:r>
    </w:p>
    <w:p>
      <w:pPr>
        <w:spacing w:after="0" w:line="20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Research and development expenses of $96.0 million for the year ended December 31, 2018 were comprised of $7.8 million in external services, $28.1 million in clinical and manufacturing costs, and $60.1 million in other costs.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54"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general and administrative expenses may increase in the future if we increase our headcount to support the potential growth in our research and development activities and the potential commercialization of our product candidates. We also may continue to incur increased expenses associated with being a public company, including increased costs of accounting, audit, legal, regulatory and tax-related services associated with maintaining compliance with exchange listing and the requirements of the Securities and Exchange Commission, director and officer insurance costs and investor and public relations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on our cash, cash equivalents and investments.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Other income consists of an award from the Massachusetts Life Sciences Center that we earned in 2017 when we met the required employment thresholds.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Since our inception in 2010, we have not recorded any U.S. federal or state income tax benefits for the net losses we have incurred in each year or our earned research and development tax credits, due to our uncertainty of realizing a benefit from those items. As of December 31, 2018, we had federal and state net operating loss carryforwards of $185.6 million and $185.9 million, respectively, both of which begin to expire in 2035. As of December 31, 2018, we also had federal and state research and development tax credit carryforwards of $28.6 million and $4.9 million, respectively, which begin to expire in 2031 and 2028, respectively. The federal research and development tax credits include an orphan drug credit carryforward of $17.5 million.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or GAAP, in the United States.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 xml:space="preserve">We recognize revenue in accordance with the guidance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ASC 606 applies to all contracts with customers, except those contracts that are within the scope of other guidance, such as leases, insurance, and financial instruments. We enter into agreements that are within the scope of ASC 606, under which we license certain of our product candidates and perform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 Under ASC 606, we recognize revenue when our customer obtains control of promised goods or services, in an amount that reflects the consideration which we expect to receive in exchange for those goods or services. When determining the timing and extent of revenue recognition for arrangements that we determine are within the scope of ASC 606, we perform the following five steps:</w:t>
      </w:r>
    </w:p>
    <w:p>
      <w:pPr>
        <w:spacing w:after="0" w:line="58" w:lineRule="exact"/>
        <w:rPr>
          <w:sz w:val="20"/>
          <w:szCs w:val="20"/>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6" w:name="page77"/>
    <w:bookmarkEnd w:id="76"/>
    <w:p>
      <w:pPr>
        <w:ind w:right="220" w:firstLine="518"/>
        <w:spacing w:after="0" w:line="277" w:lineRule="auto"/>
        <w:rPr>
          <w:sz w:val="20"/>
          <w:szCs w:val="20"/>
          <w:color w:val="auto"/>
        </w:rPr>
      </w:pPr>
      <w:r>
        <w:rPr>
          <w:rFonts w:ascii="Arial" w:cs="Arial" w:eastAsia="Arial" w:hAnsi="Arial"/>
          <w:sz w:val="18"/>
          <w:szCs w:val="18"/>
          <w:color w:val="auto"/>
        </w:rPr>
        <w:t>We only apply the five-step model to contracts when it is probable that we will collect the consideration to which we are entitled in exchange for the goods or services transferred to our customer.</w:t>
      </w:r>
    </w:p>
    <w:p>
      <w:pPr>
        <w:spacing w:after="0" w:line="19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At contract inception, once the contract is determined to be within the scope of ASC 606, we assess the goods or services promised within the contract to determine whether each promised good or service is a performance obligation. The promised goods or services in our arrangements typically consist of a license to our intellectual property and/or research and development services. We may provide options to additional items in such arrangements, which are accounted for as separate contracts when our customer elects to exercise such options, unless the option provides a material right to our</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customer. Performance obligations are promises in a contract to transfer a distinct good or service to our customer that (i) our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23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determine transaction price based on the amount of consideration we expect to receive for transferring the promised goods or services in the contract. Consideration may be fixed, variable, or a combination of both. At contract inception for arrangements that include variable consideration, we estimate the probability and extent of consideration we expect to receive under the contract utilizing either the most likely amount method or expected amount method, whichever best estimates the amount expected to be received. We then consider any constraints on the variable consideration and include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219"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then allocate the transaction price to each performance obligation based on the relative standalone selling price and recognize as revenue the amount of the transaction price that is allocated to the respective performance obligation when (or as) control is transferred to our customer and the performance obligation is satisfied. For performance obligations which consist of licenses and other promises, we utilize judgment to assess the nature of the combined performance obligation to determine whether the combined performance obligation is satisfied over time or at a point in time and, if over time, the appropriate method of measuring progress. We evaluate the measure of progress each reporting period and, if necessary, adjust the measure of performance and related revenue recognition.</w:t>
      </w:r>
    </w:p>
    <w:p>
      <w:pPr>
        <w:spacing w:after="0" w:line="193" w:lineRule="exact"/>
        <w:rPr>
          <w:sz w:val="20"/>
          <w:szCs w:val="20"/>
          <w:color w:val="auto"/>
        </w:rPr>
      </w:pPr>
    </w:p>
    <w:p>
      <w:pPr>
        <w:ind w:right="540" w:firstLine="518"/>
        <w:spacing w:after="0" w:line="264" w:lineRule="auto"/>
        <w:rPr>
          <w:sz w:val="20"/>
          <w:szCs w:val="20"/>
          <w:color w:val="auto"/>
        </w:rPr>
      </w:pPr>
      <w:r>
        <w:rPr>
          <w:rFonts w:ascii="Arial" w:cs="Arial" w:eastAsia="Arial" w:hAnsi="Arial"/>
          <w:sz w:val="18"/>
          <w:szCs w:val="18"/>
          <w:color w:val="auto"/>
        </w:rPr>
        <w:t>We record amounts as accounts receivable when the right to consideration is deemed unconditional. When consideration is received, or such consideration is unconditionally due, from our customer prior to transferring goods or services to our customer under the terms of a contract, a contract liability is recorded for deferred revenue.</w:t>
      </w:r>
    </w:p>
    <w:p>
      <w:pPr>
        <w:spacing w:after="0" w:line="18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We do not assess whether a contract has a significant financing component if the expectation at contract inception is that the period between payment by our customer and the transfer of the promised goods or services to our customer will be one year or less. Incremental costs of obtaining a contract are expensed as and when incurred if the expected period over which we would have amortized the asset is one year or less, or the amount is immaterial.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606</w:t>
      </w:r>
    </w:p>
    <w:p>
      <w:pPr>
        <w:spacing w:after="0" w:line="121"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 xml:space="preserve">We adopted ASC 606 on January 1, 2018, using the modified retrospective method for all contracts not completed as of the date of adoption. Our reported results for 2018 reflect the application of ASC 606 guidance while our reported results for 2017 and 2016 were prepared under the guidance outlined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The adoption of ASC 606 is considered a change in accounting policy which impacts the pattern and timing of revenue recognition under our license and collaboration agreement with NHS. Under ASC 605, the upfront fee of $120,000 received by the Company in the first quarter of 2016 was deferred and recognized on a straight-line basis over the estimated performance period of ten years. In addition, the Company recognized revenue associated with substantive development milestones not considered probable at the inception of the License Agreement with NHS in their entirety in the period in which the milestone was achieved, in accordance with ASC 605-28, </w:t>
      </w:r>
      <w:r>
        <w:rPr>
          <w:rFonts w:ascii="Arial" w:cs="Arial" w:eastAsia="Arial" w:hAnsi="Arial"/>
          <w:sz w:val="16"/>
          <w:szCs w:val="16"/>
          <w:i w:val="1"/>
          <w:iCs w:val="1"/>
          <w:color w:val="auto"/>
        </w:rPr>
        <w:t>Revenue Recognition-Milestone Method</w:t>
      </w:r>
      <w:r>
        <w:rPr>
          <w:rFonts w:ascii="Arial" w:cs="Arial" w:eastAsia="Arial" w:hAnsi="Arial"/>
          <w:sz w:val="16"/>
          <w:szCs w:val="16"/>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77" w:name="page78"/>
    <w:bookmarkEnd w:id="77"/>
    <w:p>
      <w:pPr>
        <w:ind w:right="40" w:firstLine="518"/>
        <w:spacing w:after="0" w:line="342" w:lineRule="auto"/>
        <w:rPr>
          <w:sz w:val="20"/>
          <w:szCs w:val="20"/>
          <w:color w:val="auto"/>
        </w:rPr>
      </w:pPr>
      <w:r>
        <w:rPr>
          <w:rFonts w:ascii="Arial" w:cs="Arial" w:eastAsia="Arial" w:hAnsi="Arial"/>
          <w:sz w:val="16"/>
          <w:szCs w:val="16"/>
          <w:color w:val="auto"/>
        </w:rPr>
        <w:t>The cumulative effect of applying the new guidance to all contracts with customers that were not completed as of January 1, 2018, was recorded as an adjustment to the opening balance of accumulated deficit for 2018, with an associated impact to deferred revenue, as of the adoption date as follows: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 Reported at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Adjustments Due to</w:t>
            </w: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Balance at</w:t>
            </w:r>
          </w:p>
        </w:tc>
      </w:tr>
      <w:tr>
        <w:trPr>
          <w:trHeight w:val="171"/>
        </w:trPr>
        <w:tc>
          <w:tcPr>
            <w:tcW w:w="60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December 31, 2017</w:t>
            </w:r>
          </w:p>
        </w:tc>
        <w:tc>
          <w:tcPr>
            <w:tcW w:w="10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ASC 606</w:t>
            </w: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January 1, 2018</w:t>
            </w: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revenue - related party</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5,339</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Deferred revenue, net of current portion - related party</w:t>
            </w:r>
          </w:p>
        </w:tc>
        <w:tc>
          <w:tcPr>
            <w:tcW w:w="1180" w:type="dxa"/>
            <w:vAlign w:val="bottom"/>
          </w:tcPr>
          <w:p>
            <w:pPr>
              <w:jc w:val="right"/>
              <w:spacing w:after="0"/>
              <w:rPr>
                <w:sz w:val="20"/>
                <w:szCs w:val="20"/>
                <w:color w:val="auto"/>
              </w:rPr>
            </w:pPr>
            <w:r>
              <w:rPr>
                <w:rFonts w:ascii="Arial" w:cs="Arial" w:eastAsia="Arial" w:hAnsi="Arial"/>
                <w:sz w:val="18"/>
                <w:szCs w:val="18"/>
                <w:color w:val="auto"/>
              </w:rPr>
              <w:t>84,847</w:t>
            </w: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21,518</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106,365</w:t>
            </w:r>
          </w:p>
        </w:tc>
        <w:tc>
          <w:tcPr>
            <w:tcW w:w="120" w:type="dxa"/>
            <w:vAlign w:val="bottom"/>
          </w:tcPr>
          <w:p>
            <w:pPr>
              <w:spacing w:after="0"/>
              <w:rPr>
                <w:sz w:val="19"/>
                <w:szCs w:val="19"/>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(263,571)</w:t>
            </w:r>
          </w:p>
        </w:tc>
        <w:tc>
          <w:tcPr>
            <w:tcW w:w="15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(26,857)</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(290,428)</w:t>
            </w: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Further, the impact of adoption to our current year results in the Consolidated Statements of Operations and Comprehensive Loss is as follows:</w:t>
      </w: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 2018</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As Reported under</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99"/>
              <w:spacing w:after="0" w:line="133" w:lineRule="exact"/>
              <w:rPr>
                <w:sz w:val="20"/>
                <w:szCs w:val="20"/>
                <w:color w:val="auto"/>
              </w:rPr>
            </w:pPr>
            <w:r>
              <w:rPr>
                <w:rFonts w:ascii="Arial" w:cs="Arial" w:eastAsia="Arial" w:hAnsi="Arial"/>
                <w:sz w:val="14"/>
                <w:szCs w:val="14"/>
                <w:b w:val="1"/>
                <w:bCs w:val="1"/>
                <w:color w:val="auto"/>
                <w:w w:val="93"/>
              </w:rPr>
              <w:t>Pro forma as if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accounted for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under ASC 605</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 - related party</w:t>
            </w:r>
          </w:p>
        </w:tc>
        <w:tc>
          <w:tcPr>
            <w:tcW w:w="15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Loss from operations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(75,004)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(98,942)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(73,662)</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54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446"/>
        </w:trPr>
        <w:tc>
          <w:tcPr>
            <w:tcW w:w="8700" w:type="dxa"/>
            <w:vAlign w:val="bottom"/>
            <w:gridSpan w:val="6"/>
          </w:tcPr>
          <w:p>
            <w:pPr>
              <w:jc w:val="right"/>
              <w:ind w:right="920"/>
              <w:spacing w:after="0"/>
              <w:rPr>
                <w:sz w:val="20"/>
                <w:szCs w:val="20"/>
                <w:color w:val="auto"/>
              </w:rPr>
            </w:pPr>
            <w:r>
              <w:rPr>
                <w:rFonts w:ascii="Arial" w:cs="Arial" w:eastAsia="Arial" w:hAnsi="Arial"/>
                <w:sz w:val="18"/>
                <w:szCs w:val="18"/>
                <w:color w:val="auto"/>
                <w:w w:val="90"/>
              </w:rPr>
              <w:t>Finally, the impact of the adoption to our current year Consolidated Statements of Cash Flows is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 2018</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As Reported under</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99"/>
              <w:spacing w:after="0" w:line="133" w:lineRule="exact"/>
              <w:rPr>
                <w:sz w:val="20"/>
                <w:szCs w:val="20"/>
                <w:color w:val="auto"/>
              </w:rPr>
            </w:pPr>
            <w:r>
              <w:rPr>
                <w:rFonts w:ascii="Arial" w:cs="Arial" w:eastAsia="Arial" w:hAnsi="Arial"/>
                <w:sz w:val="14"/>
                <w:szCs w:val="14"/>
                <w:b w:val="1"/>
                <w:bCs w:val="1"/>
                <w:color w:val="auto"/>
                <w:w w:val="93"/>
              </w:rPr>
              <w:t>Pro forma as if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accounted for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under ASC 605</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5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Deferred revenue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13,476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(11,804)</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Arrangements with collaborators may include licenses to intellectual property, research and development services, manufacturing services for clinical and commercial supply, and participation on joint steering committees. We evaluate the promised goods or services to determine which promises, or group of promises, represent performance obligations. In contemplation of whether a promised good or service meets the criteria required of a performance obligation, we consider the stage of development of the underlying intellectual property, the capabilities and expertise of our customer relative to the underlying intellectual property, and whether the promised goods or services are integral to or dependent on other promises in the contract. When accounting for an arrangement that contains multiple performance obligations, we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spacing w:after="0" w:line="179"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When we conclude that a contract should be accounted for as a combined performance obligation and recognized over-time, we must then determine the period over which revenue should be recognized and the method by which to measure revenue. We generally recognize revenue using a cost-based input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of intellectual property</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If a license to our intellectual property is determined to be distinct from the other performance obligations identified in the arrangement, we recognize revenue allocated to the license when the license is transferred to our customer and our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associated with the bundled performance obligation. We evaluate the measure of progress each reporting period and, if necessary, adjust the measure of progress and related revenue recognition.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At the inception of each arrangement that includes developmental and regulatory milestone payments, we evaluate whether the 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otherwise it will be allocated to all performance obligations of the arrangement based on the initial allocation.</w:t>
      </w:r>
    </w:p>
    <w:p>
      <w:pPr>
        <w:spacing w:after="0" w:line="173"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evaluate each milestone to determine when and how much of the milestone to include in the transaction price. We first estimate the amount of the milestone payment that we could receive using either the expected value or the most likely amount approach. We primarily use the most likely amount approach as that approach is generally most predictive for milestone payments with a binary outcome. Then, we consider whether any portion of that estimated amount is subject to the variable consideration constraint (that is, whether it is probable that a significant reversal of cumulative revenue would not occur upon resolution of the uncertainty.) We update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revenue related to sales-based royalties or milestone payments based on the level of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supply services</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For arrangements that include a promise of supply of clinical or commercial product, we determine if the supply is a promise in the contract or a future obligation at our customer’s option. If determined to be a promise at inception of the contract, we evaluate the promise to determine whether it is a separate performance obligation or a component of a bundled performance obligation. If determined to be an option, we determine if the option provides a material right to our customer and if so, account for the option as a separate performance obligation. If determined to be an option but not a material right, we account for the option as a separate contract when our customer elects to exercise the option.</w:t>
      </w:r>
    </w:p>
    <w:p>
      <w:pPr>
        <w:spacing w:after="0" w:line="173"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Application of the above guidance requires significant judgment and requires us to make determinations based on the facts and circumstances under each arrangement.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financial statements based on facts and circumstances known to us at that time. Examples of estimated accrued research and development expenses include fees paid to:</w:t>
      </w:r>
    </w:p>
    <w:p>
      <w:pPr>
        <w:spacing w:after="0" w:line="81"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CROs in connection with performing research services on our behalf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investigative sites or other providers in connection with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vendors in connection with preclinical and clinical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preclinical and clinical supplies.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9" w:name="page80"/>
    <w:bookmarkEnd w:id="79"/>
    <w:p>
      <w:pPr>
        <w:ind w:right="80" w:firstLine="51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We measure stock options and other stock-based awards granted to employees and directors based on the fair value on the date of grant and recognize the corresponding compensation expense of those awards over the requisite service period, which is generally the vesting period of the respective award. Generally, we issue stock options and restricted stock awards with only service-based vesting conditions and record the expense for these awards using the straight-line method. We recognize adjustments to stock compensation expense for forfeitures as they occur.</w:t>
      </w:r>
    </w:p>
    <w:p>
      <w:pPr>
        <w:spacing w:after="0" w:line="17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measure stock-based awards granted to consultants and non-employees based on the fair value of the award on the date at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71"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 xml:space="preserve">We estimate the fair value of each stock option grant using the Black-Scholes option-pricing model. Use of this model requires that we make assumptions as to the volatility of our common stock, the expected term of our stock options, the risk-free interest rate for a period that approximates the expected term of our stock options and our expected dividend yield. Because we lack company-specific historical and implied volatility information, we estimate our expected volatility based on the historical volatility of a group of publicly traded peer companies. We expect to continue to do so until such time as we have adequate historical data regarding the volatility of our traded stock price. We use the simplified method prescribed by Securities and Exchange Commission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of options granted to employees and directors. We base the expected term of options granted to consultants and non-employees on the contractual term of the options. We determine the risk-free interest rate by reference to the U.S. Treasury yield curve in effect at the time of grant of the award for time periods approximately equal to the expected term of the award. Expected dividend yield is based on the fact that we have never paid cash dividends and do not expect to pay any cash dividends in the foreseeable future. We adjust stock-based compensation expense for forfeitures as they occur.</w:t>
      </w:r>
    </w:p>
    <w:p>
      <w:pPr>
        <w:spacing w:after="0" w:line="17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assumptions we used to determine the fair value of stock options granted to employees and directors are as follows, presented on a weighted average basis:</w:t>
      </w:r>
    </w:p>
    <w:p>
      <w:pPr>
        <w:spacing w:after="0" w:line="24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2.39%</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2.20%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76.0%</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80.9%</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84.2%</w:t>
            </w:r>
          </w:p>
        </w:tc>
      </w:tr>
      <w:tr>
        <w:trPr>
          <w:trHeight w:val="230"/>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assumptions represented our best estimates, but the estimates involve inherent uncertainties and the application of our judgment.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classification of our stock-based compensation expenses recognized in our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left="517"/>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8,115</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16,857</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80" w:type="dxa"/>
            <w:vAlign w:val="bottom"/>
            <w:vMerge w:val="restart"/>
          </w:tcPr>
          <w:p>
            <w:pPr>
              <w:jc w:val="right"/>
              <w:ind w:right="650"/>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2017:</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Collaboration revenue - related party</w:t>
            </w:r>
          </w:p>
        </w:tc>
        <w:tc>
          <w:tcPr>
            <w:tcW w:w="1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26,917</w:t>
            </w:r>
          </w:p>
        </w:tc>
        <w:tc>
          <w:tcPr>
            <w:tcW w:w="120" w:type="dxa"/>
            <w:vAlign w:val="bottom"/>
          </w:tcPr>
          <w:p>
            <w:pPr>
              <w:spacing w:after="0"/>
              <w:rPr>
                <w:sz w:val="19"/>
                <w:szCs w:val="19"/>
                <w:color w:val="auto"/>
              </w:rPr>
            </w:pPr>
          </w:p>
        </w:tc>
        <w:tc>
          <w:tcPr>
            <w:tcW w:w="4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32,100</w:t>
            </w:r>
          </w:p>
        </w:tc>
        <w:tc>
          <w:tcPr>
            <w:tcW w:w="20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 revenue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95,955</w:t>
            </w:r>
          </w:p>
        </w:tc>
        <w:tc>
          <w:tcPr>
            <w:tcW w:w="120" w:type="dxa"/>
            <w:vAlign w:val="bottom"/>
          </w:tcPr>
          <w:p>
            <w:pPr>
              <w:spacing w:after="0"/>
              <w:rPr>
                <w:sz w:val="19"/>
                <w:szCs w:val="19"/>
                <w:color w:val="auto"/>
              </w:rPr>
            </w:pPr>
          </w:p>
        </w:tc>
        <w:tc>
          <w:tcPr>
            <w:tcW w:w="4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89,455</w:t>
            </w:r>
          </w:p>
        </w:tc>
        <w:tc>
          <w:tcPr>
            <w:tcW w:w="20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128,551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123,495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(91,395)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(expense), net</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1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13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Total revenue was $28.3 million and $32.1 million for the years ended December 31, 2018 and 2017, respectively. The revenue for both periods principally relates to the recognition of amounts received under the License Agreement. The decrease is mainly due to the adoption of ASC 606</w:t>
      </w:r>
      <w:r>
        <w:rPr>
          <w:rFonts w:ascii="Arial" w:cs="Arial" w:eastAsia="Arial" w:hAnsi="Arial"/>
          <w:sz w:val="18"/>
          <w:szCs w:val="18"/>
          <w:i w:val="1"/>
          <w:iCs w:val="1"/>
          <w:color w:val="auto"/>
        </w:rPr>
        <w:t>,</w:t>
      </w:r>
      <w:r>
        <w:rPr>
          <w:rFonts w:ascii="Arial" w:cs="Arial" w:eastAsia="Arial" w:hAnsi="Arial"/>
          <w:sz w:val="18"/>
          <w:szCs w:val="18"/>
          <w:color w:val="auto"/>
        </w:rPr>
        <w:t xml:space="preserve"> described in detail in Note 9. Additionally, we recognized a $20.0 million substantive milestone under the License Agreement during the twelve months ended December 31, 2017.</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7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62,804</w:t>
            </w:r>
          </w:p>
        </w:tc>
        <w:tc>
          <w:tcPr>
            <w:tcW w:w="5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63,695</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SER-109</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18,482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SER-262</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SER-287</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11,579</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5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95,955</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89,455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40" w:type="dxa"/>
            <w:vAlign w:val="bottom"/>
            <w:vMerge w:val="restart"/>
          </w:tcPr>
          <w:p>
            <w:pPr>
              <w:jc w:val="right"/>
              <w:ind w:right="650"/>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81" w:name="page82"/>
    <w:bookmarkEnd w:id="81"/>
    <w:p>
      <w:pPr>
        <w:ind w:left="520"/>
        <w:spacing w:after="0"/>
        <w:rPr>
          <w:sz w:val="20"/>
          <w:szCs w:val="20"/>
          <w:color w:val="auto"/>
        </w:rPr>
      </w:pPr>
      <w:r>
        <w:rPr>
          <w:rFonts w:ascii="Arial" w:cs="Arial" w:eastAsia="Arial" w:hAnsi="Arial"/>
          <w:sz w:val="17"/>
          <w:szCs w:val="17"/>
          <w:color w:val="auto"/>
        </w:rPr>
        <w:t>Research and development expenses were $96.0 million for the year ended December 31, 2018, compared to $89.5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increase of $6.5 million was due primarily to the following:</w:t>
      </w:r>
    </w:p>
    <w:p>
      <w:pPr>
        <w:spacing w:after="0" w:line="103" w:lineRule="exact"/>
        <w:rPr>
          <w:sz w:val="20"/>
          <w:szCs w:val="20"/>
          <w:color w:val="auto"/>
        </w:rPr>
      </w:pPr>
    </w:p>
    <w:p>
      <w:pPr>
        <w:ind w:left="1040" w:right="40" w:hanging="519"/>
        <w:spacing w:after="0" w:line="264"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decrease of $0.9 million in research expenses related to our microbiome therapeutics platform, due primarily to a decrease in research consulting expenses of $2.0 million and IT expenses of $0.4 million and is partially offset by an increase in salary and consulting costs of $1.4 million and facilities and supplies costs of $0.1 million;</w:t>
      </w:r>
    </w:p>
    <w:p>
      <w:pPr>
        <w:spacing w:after="0" w:line="73"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of $2.2 million in expenses related to our SER-109 program, due primarily to an increase in contract manufacturing costs of $2.7 million, an increase in clinical trial consulting expenses of $0.6 million and an increase of $0.2 million in sequencing costs. This is partially offset by a decrease of $1.3 million in other consulting costs;</w:t>
      </w:r>
    </w:p>
    <w:p>
      <w:pPr>
        <w:spacing w:after="0" w:line="73"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decrease of $1.9 million in expenses of our SER-262 program primarily driven by a decrease in clinical trial costs of $1.2 million, and decrease in lab supplies and consumables of $0.7 million; and</w:t>
      </w:r>
    </w:p>
    <w:p>
      <w:pPr>
        <w:spacing w:after="0" w:line="62" w:lineRule="exact"/>
        <w:rPr>
          <w:rFonts w:ascii="Arial" w:cs="Arial" w:eastAsia="Arial" w:hAnsi="Arial"/>
          <w:sz w:val="18"/>
          <w:szCs w:val="18"/>
          <w:color w:val="auto"/>
        </w:rPr>
      </w:pPr>
    </w:p>
    <w:p>
      <w:pPr>
        <w:ind w:left="1040" w:right="420" w:hanging="519"/>
        <w:spacing w:after="0" w:line="308"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 increase of $7.1 million in expenses of our SER-287 program primarily driven by an increase in clinical trials costs of $4.3 million, an increase in other consulting costs of $1.4 million and increase in lab supplies and consumables of $1.4 million.</w:t>
      </w:r>
    </w:p>
    <w:p>
      <w:pPr>
        <w:spacing w:after="0" w:line="14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We expect that our research and development expenses may increase in the foreseeable future as we advance the clinical development of SER-109, SER-287 and SER-262, and continue to discover and develop additional product candidates, including SER-401, SER-301 and SER-155, and pursue later stages of clinical development of our product candidates.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 (including stock-based compensation)</w:t>
            </w:r>
          </w:p>
        </w:tc>
        <w:tc>
          <w:tcPr>
            <w:tcW w:w="9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15,765</w:t>
            </w:r>
          </w:p>
        </w:tc>
        <w:tc>
          <w:tcPr>
            <w:tcW w:w="5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17,233</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Professional fees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Facility-related and other</w:t>
            </w:r>
          </w:p>
        </w:tc>
        <w:tc>
          <w:tcPr>
            <w:tcW w:w="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9,222</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Total general and administrative expenses</w:t>
            </w:r>
          </w:p>
        </w:tc>
        <w:tc>
          <w:tcPr>
            <w:tcW w:w="6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32,596</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were $32.6 million for the year ended December 31, 2018, compared to $34.0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decrease of $1.4 million was primarily due to the following:</w:t>
      </w:r>
    </w:p>
    <w:p>
      <w:pPr>
        <w:spacing w:after="0" w:line="103" w:lineRule="exact"/>
        <w:rPr>
          <w:sz w:val="20"/>
          <w:szCs w:val="20"/>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decrease in personnel related costs of $1.5 million primarily due to the decrease in stock-based compensation expense;</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decrease in professional fees of $0.7 million due primarily to a decrease in legal fees of $0.8 million and a decrease in consulting fees of $0.3 million, partially offset by an increase in recruiting fees of $0.4 million; and</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facility-related and other costs of $0.7 million primarily due to an increase in information technology expenses of $1.4 million, partially offset by a decrease in office-related expenses of $0.7 million.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Other income (expense), net for the year ended December 31, 2018 was $1.3 million, compared to $2.0 million for the year ended December 31, 2017. The $0.7 million decrease in other income (expense), net was primarily due to a decrease in interest income from lower cash and investment balances in 2018 versus 2017.</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66" w:right="31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2016:</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32,100</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21,766</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(91,395)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(92,839)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Interest income (expense), net</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(expense), net</w:t>
            </w:r>
          </w:p>
        </w:tc>
        <w:tc>
          <w:tcPr>
            <w:tcW w:w="1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(89,380)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(91,579)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13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Total revenue was $32.1 million and $21.8 million for the year ended December 31, 2017 and 2016, respectively. Of the $32.1 million of revenue recognized for the year ended December 31, 2017, $20.0 million was received from NHS associated with the initiation of the Phase 3 study for SER-109 in patients with multiply recurrent CDI, which is a substantive milestone under the License Agreement. Of the $21.8 million of revenue recognized for the year ended December 31, 2016, $10.0 million was received from NHS associated with the initiation of the Phase 1b study for SER-262 in CDI, which was a substantive development milestone under the License Agreement. Prior to the adoption of ASC 606 we recognize revenue associated with substantive milestones in accordance with FASB ASC Topic 605-28, Revenue Recognition-Milestone Method, or ASC 605-28. The $20.0 million and $10.0 million payments were recognized in full as related party collaboration revenue during the years ended December 31, 2017 and 2016, respectively. The remaining revenue for both periods principally relates to the recognition of the $120.0 million upfront payment under the License Agreement over the estimated performance period of 10 years.</w:t>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Microbiome therapeutics platform</w:t>
            </w:r>
          </w:p>
        </w:tc>
        <w:tc>
          <w:tcPr>
            <w:tcW w:w="1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63,695</w:t>
            </w:r>
          </w:p>
        </w:tc>
        <w:tc>
          <w:tcPr>
            <w:tcW w:w="5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46,611</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SER-109</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16,306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25,386</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SER-262</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SER-287</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Research and development expenses were $89.5 million for the year ended December 31, 2017, compared to $82.0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The increase of $7.5 million was due primarily to the following:</w:t>
      </w:r>
    </w:p>
    <w:p>
      <w:pPr>
        <w:spacing w:after="0" w:line="103" w:lineRule="exact"/>
        <w:rPr>
          <w:sz w:val="20"/>
          <w:szCs w:val="20"/>
          <w:color w:val="auto"/>
        </w:rPr>
      </w:pPr>
    </w:p>
    <w:p>
      <w:pPr>
        <w:ind w:left="1040" w:hanging="519"/>
        <w:spacing w:after="0" w:line="259"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of $17.1 million in research expenses related to our microbiome therapeutics platform, due primarily to higher payroll and consultant costs of $6.1 million, an increase in facilities and depreciation costs of $5.3 million, an increase in sponsorship and license costs of $2.7 million, an increase in laboratory consumables and supplies of $1.6 million, an increase in IT expenses of $0.6 million, and an increase in office expenses of $0.7 million;</w:t>
      </w:r>
    </w:p>
    <w:p>
      <w:pPr>
        <w:spacing w:after="0" w:line="78" w:lineRule="exact"/>
        <w:rPr>
          <w:rFonts w:ascii="Arial" w:cs="Arial" w:eastAsia="Arial" w:hAnsi="Arial"/>
          <w:sz w:val="18"/>
          <w:szCs w:val="18"/>
          <w:color w:val="auto"/>
        </w:rPr>
      </w:pPr>
    </w:p>
    <w:p>
      <w:pPr>
        <w:ind w:left="1040" w:right="20" w:hanging="519"/>
        <w:spacing w:after="0" w:line="302" w:lineRule="auto"/>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decrease of $9.1 million in expenses related to our SER-109 program, due primarily to a decrease in clinical trial costs of $1.7 million, a decrease in other consulting costs of $1.2 million, a decrease in laboratory consumables and supplies of $3.5 million, a decrease in sequencing costs of $1.3 million, a decrease in animal studies of $0.6 million, a decrease in conference costs of $0.5 million, a decrease in office expenses of $0.3 million, and a decrease in IT expenses of $0.2 million, partially offset by an increase in contract manufacturing costs of $0.3 million;</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83" w:name="page84"/>
    <w:bookmarkEnd w:id="83"/>
    <w:p>
      <w:pPr>
        <w:ind w:left="1040" w:right="100" w:hanging="519"/>
        <w:spacing w:after="0" w:line="264"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of $0.3 million in expenses of our SER-262 program primarily driven by a decrease in contract manufacturing costs of $1.0 million, a decrease in animal studies costs of $0.2 million, and a decrease in other consulting costs of $0.2 million, partially offset by an increase in clinical trial costs of $0.9 million and an increase in sequencing costs of $0.3 million; and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decrease of $0.2 million in expenses of our SER-287 program primarily driven by a decrease in contract manufacturing costs of $0.3 million a decrease in other consulting costs of $0.2 million, and a decrease in lab consumables and supplies of $0.6 million, partially offset by an increase in clinical trial costs of $0.3 million and an increase in sequencing costs of $0.6 million.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 (including stock-based compensation)</w:t>
            </w:r>
          </w:p>
        </w:tc>
        <w:tc>
          <w:tcPr>
            <w:tcW w:w="9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17,233</w:t>
            </w:r>
          </w:p>
        </w:tc>
        <w:tc>
          <w:tcPr>
            <w:tcW w:w="56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16,623</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Professional fees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8,265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Facility-related and other</w:t>
            </w:r>
          </w:p>
        </w:tc>
        <w:tc>
          <w:tcPr>
            <w:tcW w:w="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8,542</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Total general and administrative expenses</w:t>
            </w:r>
          </w:p>
        </w:tc>
        <w:tc>
          <w:tcPr>
            <w:tcW w:w="6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34,040</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were $34.0 million for the year ended December 31, 2017, compared to $32.6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The increase of $1.4 million was primarily due to the following:</w:t>
      </w:r>
    </w:p>
    <w:p>
      <w:pPr>
        <w:spacing w:after="0" w:line="103" w:lineRule="exact"/>
        <w:rPr>
          <w:sz w:val="20"/>
          <w:szCs w:val="20"/>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increase in personnel related costs of $0.6 million primarily due to the increase in stock-based compensation expense;</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decrease in professional fees of $0.8 million due to a decrease in consulting costs of $0.9 million, partially offset by an increase in legal, accounting, and audit fees of $0.1 million; and</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increase in facility-related and other costs of $1.6 million primarily due to an increase in information technology expenses of $2.5 million, partially offset by a decrease in office-related expenses of $1.0 million.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Other income (expense), net for the year ended December 31, 2017 was $2.0 million, compared to $1.3 million for the year ended December 31, 2016. The $0.8 million increase in other income (expense), net was primarily due to an increase of $0.3 million in interest income and the recognition of $0.3 million of non-operating income related to the Massachusetts Life Sciences Center tax incentive received in 2016.</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Since our inception, we have generated revenue primarily from collaborations and have incurred recurring net losses. We anticipate that we will continue to incur losses for at least the next several years. Our research and development and general and administrative expenses may continue to increase and, as a result, we will need additional capital to fund our operations, which we may obtain from additional financings, public offerings, research funding, additional collaborations, contract and grant revenue or other sources.</w:t>
      </w:r>
    </w:p>
    <w:p>
      <w:pPr>
        <w:spacing w:after="0" w:line="187"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In January 2016, we entered into the License Agreement with NHS, for the development and commercialization of certain of our product candidates in development for the treatment and management of CDI and IBD, including UC and Crohn’s disease. In exchange for the license, NHS agreed to pay us an upfront cash payment of $120 million, which we received in February 2016. NHS has also agreed to pay us tiered royalties, at percentages ranging from the high single digits to high teens, of net sales of NHS Collaboration Products in the Licensed Territory. We are eligible to receive up to $285.0 million in development milestone payments, $375.0 million in regulatory payments and up to an aggregate of $1.125 billion for the achievement of certain commercial milestones related to the sales of NHS Collaboration Products. The full potential value of the up-front payment and milestone payments payable by NHS is over $1.9 billion, assuming all products receive regulatory approval and are successfully commercialized. In September 2016, we received a $10.0 million milestone payment associated with the initiation of the Phase 1b clinical study for SER-262 in CDI. In June 2017, we initiated a Phase 3 clinical study of SER-109 (ECOSPOR III) in patients with multiply recurrent CDI. In July 2017, we recorded revenue of $20.0 million based on the achievement of this milestone under the License Agreement. In November 2018, we executed the Letter Agreement modifying certain terms of the License Agreement. Under the Letter Agreement, NHS agreed to pay us the $20.0 million Phase 3 milestone payment upon commencement of the Phase 2b study for SER-287. In December 2018, we received $40.0 million in milestone payments in connection with the commencement of the Phase 2b study for SER-287.</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ind w:right="160" w:firstLine="518"/>
        <w:spacing w:after="0" w:line="273" w:lineRule="auto"/>
        <w:rPr>
          <w:sz w:val="20"/>
          <w:szCs w:val="20"/>
          <w:color w:val="auto"/>
        </w:rPr>
      </w:pPr>
      <w:r>
        <w:rPr>
          <w:rFonts w:ascii="Arial" w:cs="Arial" w:eastAsia="Arial" w:hAnsi="Arial"/>
          <w:sz w:val="17"/>
          <w:szCs w:val="17"/>
          <w:color w:val="auto"/>
        </w:rPr>
        <w:t>For the development of NHS Collaboration Products for IBD under a global development plan, we agreed to pay the costs of clinical trials of such products up to and including Phase 2 clinical trials, and 67% of the costs for Phase 3 and other clinical trials of such products, with NHS bearing the remaining 33% of such costs. The Letter Agreement also provides scenarios under which NHS’ reimbursement to us for certain Phase 3 development costs would be reduced or delayed depending on the outcomes of the SER-287 Phase 2b study. For other clinical development of NHS Collaboration Products for IBD, we agreed to pay the costs of such activities to support approval in the United States and Canada, and NHS agreed to bear the cost of such activities to support approval of NHS Collaboration Products in the Licensed Territory.</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With respect to development of NHS Collaboration Products for CDI under a global development plan, we agreed to pay all costs of Phase 2 clinical trials for SER-109 and for Phase 3 clinical trials for SER-109. We agreed to bear all costs of conducting any Phase 1 or Phase 2 clinical trials under a global development plan for NHS Collaboration Products other than SER-109 for CDI. We agreed to pay 67% and NHS agreed to pay 33% of other costs of Phase 3 clinical trials conducted for NHS Collaboration Products other than SER-109 for CDI under a global development plan. For other clinical development of NHS Collaboration Products for CDI, we agreed to pay costs of such development activities to support approval in the United States and Canada, and NHS agreed to bear the cost of such activities to support approval of NHS Collaboration Products in the Licensed Territory.</w:t>
      </w:r>
    </w:p>
    <w:p>
      <w:pPr>
        <w:spacing w:after="0" w:line="17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As of December 31, 2018, we had cash and cash equivalents totaling $85.8 million and an accumulated deficit of $389.4 million. Based on our current plans and forecasted expenses, we believe that our existing cash and cash equivalents as of December 31, 2018, will enable us to fund our operating expenses and capital expenditure requirements into the fourth quarter of 2019. We have based this estimate on assumptions that may prove to be wrong, and we could use our capital resources sooner than we currently expect. These factors raise substantial doubt about our ability to continue as a going concern.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left="516"/>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 operating activities</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(62,854)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(75,523)</w:t>
            </w: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43,921</w:t>
            </w:r>
          </w:p>
        </w:tc>
        <w:tc>
          <w:tcPr>
            <w:tcW w:w="80" w:type="dxa"/>
            <w:vAlign w:val="bottom"/>
            <w:shd w:val="clear" w:color="auto" w:fill="CFF0FC"/>
          </w:tcPr>
          <w:p>
            <w:pPr>
              <w:spacing w:after="0"/>
              <w:rPr>
                <w:sz w:val="21"/>
                <w:szCs w:val="21"/>
                <w:color w:val="auto"/>
              </w:rPr>
            </w:pPr>
          </w:p>
        </w:tc>
      </w:tr>
      <w:tr>
        <w:trPr>
          <w:trHeight w:val="243"/>
        </w:trPr>
        <w:tc>
          <w:tcPr>
            <w:tcW w:w="4900" w:type="dxa"/>
            <w:vAlign w:val="bottom"/>
            <w:gridSpan w:val="2"/>
          </w:tcPr>
          <w:p>
            <w:pPr>
              <w:spacing w:after="0"/>
              <w:rPr>
                <w:sz w:val="20"/>
                <w:szCs w:val="20"/>
                <w:color w:val="auto"/>
              </w:rPr>
            </w:pPr>
            <w:r>
              <w:rPr>
                <w:rFonts w:ascii="Arial" w:cs="Arial" w:eastAsia="Arial" w:hAnsi="Arial"/>
                <w:sz w:val="18"/>
                <w:szCs w:val="18"/>
                <w:color w:val="auto"/>
              </w:rPr>
              <w:t>Cash provided by (used in) investing activities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112,318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55,702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(65,592)</w:t>
            </w:r>
          </w:p>
        </w:tc>
      </w:tr>
      <w:tr>
        <w:trPr>
          <w:trHeight w:val="243"/>
        </w:trPr>
        <w:tc>
          <w:tcPr>
            <w:tcW w:w="20" w:type="dxa"/>
            <w:vAlign w:val="bottom"/>
          </w:tcPr>
          <w:p>
            <w:pPr>
              <w:spacing w:after="0"/>
              <w:rPr>
                <w:sz w:val="21"/>
                <w:szCs w:val="21"/>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80" w:type="dxa"/>
            <w:vAlign w:val="bottom"/>
            <w:shd w:val="clear" w:color="auto" w:fill="CFF0FC"/>
          </w:tcPr>
          <w:p>
            <w:pPr>
              <w:spacing w:after="0"/>
              <w:rPr>
                <w:sz w:val="21"/>
                <w:szCs w:val="21"/>
                <w:color w:val="auto"/>
              </w:rPr>
            </w:pPr>
          </w:p>
        </w:tc>
      </w:tr>
      <w:tr>
        <w:trPr>
          <w:trHeight w:val="20"/>
        </w:trPr>
        <w:tc>
          <w:tcPr>
            <w:tcW w:w="4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900" w:type="dxa"/>
            <w:vAlign w:val="bottom"/>
            <w:gridSpan w:val="2"/>
          </w:tcPr>
          <w:p>
            <w:pPr>
              <w:spacing w:after="0"/>
              <w:rPr>
                <w:sz w:val="20"/>
                <w:szCs w:val="20"/>
                <w:color w:val="auto"/>
              </w:rPr>
            </w:pPr>
            <w:r>
              <w:rPr>
                <w:rFonts w:ascii="Arial" w:cs="Arial" w:eastAsia="Arial" w:hAnsi="Arial"/>
                <w:sz w:val="18"/>
                <w:szCs w:val="18"/>
                <w:color w:val="auto"/>
                <w:w w:val="97"/>
              </w:rPr>
              <w:t>Net decrease in cash and cash equivalents and restricted cash</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49,732</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(19,738)</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(19,533)</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31"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During the year ended December 31, 2018, operating activities used $62.9 million of cash, primarily due to a net loss of $98.9 million and partially offset by cash provided by changes in our operating assets and liabilities of $11.8 million and non-cash charges of $24.3 million. Net cash provided by changes in our operating assets and liabilities during the year ended December 31, 2018 consisted of a $13.5 million increase in deferred revenue, a $0.8 million increase in accrued expenses and other liabilities, offset in part by a $2.1 million decrease in prepaid expenses and other current assets. The increase in deferred revenue is due to the receipt of the $40 million milestone payments under the License Agreement offset by recognition of collaboration revenue during the year. The increase in accrued expenses was due to the timing of payments.</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During the year ended December 31, 2017, operating activities used $75.5 million of cash, primarily due to a net loss of $89.4 million and cash used from changes in our operating assets and liabilities of $10.6 million, partially offset by non-cash charges of $24.4 million. Net cash used by changes in our operating assets and liabilities during the year ended December 31, 2017 consisted of a $0.9 million decrease in accounts payable and a $11.9 million decrease in deferred revenue, offset in part by a $2.2 million increase in accrued expenses and other liabilities. The decrease in our accounts payable and increase in accrued expenses were due to the timing of payments, an increase in payroll related costs, and an increase in amounts accrued for clinical trial expenses. The decrease in deferred revenue was due to the recognition of revenue related to the $120.0 million upfront payment under the License Agreement over the estimated performance period of 10 years.</w:t>
      </w:r>
    </w:p>
    <w:p>
      <w:pPr>
        <w:spacing w:after="0" w:line="189"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During the year ended December 31, 2016, operating activities provided $43.9 million of cash, primarily due to the upfront cash payment of $120.0 million and a milestone payment of $10.0 million received in connection with the License Agreement, and cash provided by changes in our operating assets and liabilities of $6.0 million. This increase was partially offset by a net loss of $91.6 million, less non-cash charges of $20.7 million. Net cash provided by changes in our operating assets and liabilities during the year ended December 31, 2016 consisted of a $3.6 million increase in accounts payable and a $5.0 million increase in accrued expenses and other current liabilities, offset in part by $2.6 million increase in prepaid expenses and other current assets. The increases in our accounts payable and accrued expenses were due to the timing of payments, an increase in payroll related costs, and an increase in amounts accrued for clinical trial and contracted manufacturing expenses. The increase in prepaid expenses and other current assets was due primarily to prepayments made for clinical trial activities.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00" w:firstLine="518"/>
        <w:spacing w:after="0" w:line="342" w:lineRule="auto"/>
        <w:rPr>
          <w:sz w:val="20"/>
          <w:szCs w:val="20"/>
          <w:color w:val="auto"/>
        </w:rPr>
      </w:pPr>
      <w:r>
        <w:rPr>
          <w:rFonts w:ascii="Arial" w:cs="Arial" w:eastAsia="Arial" w:hAnsi="Arial"/>
          <w:sz w:val="16"/>
          <w:szCs w:val="16"/>
          <w:color w:val="auto"/>
        </w:rPr>
        <w:t>During the year ended December 31, 2018, investing activities provided $112.3 million of cash, consisting of sales and maturities of investments of $136.1 million; these amounts were partially offset by purchases of investments of $21.8 million, and purchases of property and equipment of $1.9 million.</w:t>
      </w:r>
    </w:p>
    <w:p>
      <w:pPr>
        <w:spacing w:after="0" w:line="124"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During the year ended December 31, 2017, investing activities provided $55.7 million of cash in investing activities, consisting of sales and maturities of investments of $158.3 million; these amounts were partially offset by purchases of investments of $97.9 million and purchases of property and equipment of $4.7 million.</w:t>
      </w:r>
    </w:p>
    <w:p>
      <w:pPr>
        <w:spacing w:after="0" w:line="181"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During the year ended December 31, 2016, we used $65.6 million of cash in investing activities, consisting of sales and maturities of investments of $246.5 million; these amounts were partially offset by purchases of investments of $290.6 million, and purchases of property and equipment of $21.5 million.</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During the year ended December 31, 2018, net cash provided by financing activities was $0.3 million in connection with $0.3 million received from the issuance of common stock under our employee stock purchase plan and $0.2 million from the issuance of common stock and exercise of stock options. These were partially offset by payments for employee tax obligations relating to vesting of restricted stock units of $0.2 million.</w:t>
      </w:r>
    </w:p>
    <w:p>
      <w:pPr>
        <w:spacing w:after="0" w:line="166"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During the year ended December 31, 2017, net cash provided by financing activities was $0.1 million in connection with the exercise of options to purchase our common stock, partially offset by payments for the repurchase of common stock.</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During the year ended December 31, 2016, net cash provided by financing activities was $2.1 million in connection with the exercise of options to purchase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Our expenses may increase substantially in connection with our ongoing and planned activities related to our pipeline products, which are in clinical development, and our follow-on therapeutic candidates and other programs. In addition, we expect to continue to incur additional costs associated with operating as a public company. We anticipate that our expenses will increase substantially if and as we:</w:t>
      </w:r>
    </w:p>
    <w:p>
      <w:pPr>
        <w:spacing w:after="0" w:line="73" w:lineRule="exact"/>
        <w:rPr>
          <w:sz w:val="20"/>
          <w:szCs w:val="20"/>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the clinical development of SER-109, our lead product candidate, in the Phase 3 clinical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the clinical development of SER-287 for the treatment of UC;</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the clinical development of SER-401, a microbiome therapeutic candidate for use with CPIs in a Phase 1b clinical trial in patients with metastatic melanoma;</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SER-301, our rationally designed IBD product candidate;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perform our obligations under the collaboration agreement with NHS;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 and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6" w:name="page87"/>
    <w:bookmarkEnd w:id="86"/>
    <w:p>
      <w:pPr>
        <w:ind w:right="60" w:firstLine="518"/>
        <w:spacing w:after="0" w:line="264" w:lineRule="auto"/>
        <w:rPr>
          <w:sz w:val="20"/>
          <w:szCs w:val="20"/>
          <w:color w:val="auto"/>
        </w:rPr>
      </w:pPr>
      <w:r>
        <w:rPr>
          <w:rFonts w:ascii="Arial" w:cs="Arial" w:eastAsia="Arial" w:hAnsi="Arial"/>
          <w:sz w:val="18"/>
          <w:szCs w:val="18"/>
          <w:color w:val="auto"/>
        </w:rPr>
        <w:t>Because of the numerous risks and uncertainties associated with the development of our programs,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73" w:lineRule="exact"/>
        <w:rPr>
          <w:sz w:val="20"/>
          <w:szCs w:val="20"/>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progress and results of our Phase 3 clinical study of SER-109;</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progress and results of any future clinical studies of SER-287;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and research activities;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920" w:hanging="519"/>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continue to evaluate microbiome pharmacokinetic and pharmacodynamic data from the SER-262 Phase 1b study and other completed clinical trials, in addition to insights gained from preclinical research efforts with our other rationally designed Ecobiotic microbiome therapeutic candidates, in order to determine future steps in the development of both SER-262 and SER-155.</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our shareholders’ ownership interest will be diluted, and the terms of these securities may include liquidation or other preferences that adversely affect our shareholders’ rights as common stockholders.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shareholders’ ownership interest.</w:t>
      </w:r>
    </w:p>
    <w:p>
      <w:pPr>
        <w:spacing w:after="0" w:line="193"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in addition to the License Agreement,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3"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As discussed in Note 1 of the consolidated financial statements included in this Annual Report we have the responsibility to evaluate whether conditions or events raise substantial doubt about our ability to meet our future financial obligations as they become due within one year after the date the financial statements are issued. This evaluation initially cannot take into consideration the potential mitigating effects of plans that have not been fully implemented as of the date the financial statements are issued or potential contingent milestone payments under the License Agreement that we have not earned. As such, we have determined that our cash runway of less than 12 months along with our accumulated deficit, history of losses, and future expected losses raise substantial doubt about our ability to continue as a going concern within one year of the issuance date of the consolidated financial statements included in this Annual Report on Form 10-K. While we have plans in place to mitigate this risk, which primarily consist of raising additional capital through a combination of equity or debt financings, and, depending on the availability and level of additional financings, potentially new collaborations and reducing cash expenditures, there is no guarantee that we will be successful in these mitigation efforts. Lack of necessary funds may require us, among other things, to delay, scale back, or eliminate some or all of our planned clinical trials.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2018 and the effect such obligations are expected to have on our liquidity and cash flows in future periods: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4"/>
                <w:szCs w:val="14"/>
                <w:b w:val="1"/>
                <w:bCs w:val="1"/>
                <w:color w:val="auto"/>
                <w:w w:val="92"/>
              </w:rPr>
              <w:t>Payments Due by Period</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237"/>
              <w:spacing w:after="0" w:line="133" w:lineRule="exact"/>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1 - 3 Years</w:t>
            </w:r>
          </w:p>
        </w:tc>
        <w:tc>
          <w:tcPr>
            <w:tcW w:w="14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4 - 5 Years</w:t>
            </w:r>
          </w:p>
        </w:tc>
        <w:tc>
          <w:tcPr>
            <w:tcW w:w="120" w:type="dxa"/>
            <w:vAlign w:val="bottom"/>
          </w:tcPr>
          <w:p>
            <w:pPr>
              <w:spacing w:after="0"/>
              <w:rPr>
                <w:sz w:val="11"/>
                <w:szCs w:val="11"/>
                <w:color w:val="auto"/>
              </w:rPr>
            </w:pPr>
          </w:p>
        </w:tc>
        <w:tc>
          <w:tcPr>
            <w:tcW w:w="9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4"/>
                <w:szCs w:val="14"/>
                <w:b w:val="1"/>
                <w:bCs w:val="1"/>
                <w:color w:val="auto"/>
                <w:w w:val="95"/>
              </w:rPr>
              <w:t>Less Than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MD Anderson/Parker Institution collaboration</w:t>
            </w:r>
            <w:r>
              <w:rPr>
                <w:rFonts w:ascii="Arial" w:cs="Arial" w:eastAsia="Arial" w:hAnsi="Arial"/>
                <w:sz w:val="15"/>
                <w:szCs w:val="15"/>
                <w:color w:val="auto"/>
              </w:rPr>
              <w:t>(2)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right="40" w:hanging="512"/>
        <w:spacing w:after="0" w:line="291" w:lineRule="auto"/>
        <w:tabs>
          <w:tab w:leader="none" w:pos="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Amounts in the table reflect payments due for (i) our laboratory and office space in Cambridge, Massachusetts under an operating lease agreement that expires in November 2023 and (ii) our lease for office and laboratory space in Cambridge, Massachusetts with a term expiring April 2020.</w:t>
      </w:r>
    </w:p>
    <w:p>
      <w:pPr>
        <w:ind w:left="520" w:right="1120" w:hanging="512"/>
        <w:spacing w:after="0" w:line="276"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in the table reflect payment obligations under an agreement with MD Anderson Cancer Center and Parker Institute for Cancer Immunotherapy.</w:t>
      </w:r>
    </w:p>
    <w:p>
      <w:pPr>
        <w:spacing w:after="0" w:line="171"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For a discussion of recent accounting standards see Note 2, Summary of Significant Accounting Policies, to our consolidated financial statements included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Rate Fluctuation Risk</w:t>
      </w:r>
    </w:p>
    <w:p>
      <w:pPr>
        <w:spacing w:after="0" w:line="229"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We are exposed to market risk related to changes in interest rates. As of December 31, 2018, our cash and cash equivalents consisted of cash and money market accounts. Our primary exposure to market risk is interest income sensitivity, which is affected by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13a- 15(e) and 15d- 15(e) under the Securities Exchange Act of 1934, as amended), as of the end of the period covered by this Annual Report on Form 10-K. Based on such evaluation, our principal executive officer and principal financial officer has concluded that as of such date, our disclosure controls and procedures were effective at the reasonable assurance level.</w:t>
      </w: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such term is defined in Rule 13a-15(f) under the Securities Exchange Act of 1934, as amended.</w:t>
      </w:r>
    </w:p>
    <w:p>
      <w:pPr>
        <w:spacing w:after="0" w:line="170"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Based on this assessment, our management concluded that, as of December 31, 2018, our internal control over financial reporting was effective.</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applicable to all officers, directors and employees, which is available on our website at www.serestherapeutics.com in the “Investors &amp; Media”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in the preceding sentence.</w:t>
      </w:r>
    </w:p>
    <w:p>
      <w:pPr>
        <w:spacing w:after="0" w:line="229"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information in response to this item is contained in part under the captions, “Directors of the Registrant” and “Executive Officers of the Registrant” at the end of Part I of this Annual Report on Form 10-K. The remainder of the response to this item is contained in the Proxy Statement for our Annual Meeting of Stockholders scheduled to be held on June 13, 2019 and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information required to be disclosed by this item will be contained in the Proxy Statement for our Annual Meeting of Stockholders scheduled to be held on June 13, 2019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information required to be disclosed by this item will be contained in the Proxy Statement for our Annual Meeting of Stockholders scheduled to be held on June 13, 2019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information required to be disclosed by this item will be contained in the Proxy Statement for our Annual Meeting of Stockholders scheduled to be held on June 13, 2019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information required to be disclosed by this item will be contained in the Proxy Statement for our Annual Meeting of Stockholders scheduled to be held on June 13, 2019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the “Index to Consolidated Financial Statements” on page F-1 below for the list of financial statements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 set forth below beginning on page F-1.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line="119" w:lineRule="exact"/>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180" w:type="dxa"/>
            <w:vAlign w:val="bottom"/>
            <w:gridSpan w:val="24"/>
            <w:vMerge w:val="restart"/>
          </w:tcPr>
          <w:p>
            <w:pPr>
              <w:ind w:left="2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0"/>
                <w:szCs w:val="10"/>
                <w:color w:val="auto"/>
              </w:rPr>
            </w:pPr>
          </w:p>
        </w:tc>
        <w:tc>
          <w:tcPr>
            <w:tcW w:w="13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File No.</w:t>
            </w:r>
          </w:p>
        </w:tc>
        <w:tc>
          <w:tcPr>
            <w:tcW w:w="140" w:type="dxa"/>
            <w:vAlign w:val="bottom"/>
            <w:vMerge w:val="restart"/>
          </w:tcPr>
          <w:p>
            <w:pPr>
              <w:spacing w:after="0"/>
              <w:rPr>
                <w:sz w:val="10"/>
                <w:szCs w:val="10"/>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2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Furnished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2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80" w:type="dxa"/>
            <w:vAlign w:val="bottom"/>
          </w:tcPr>
          <w:p>
            <w:pPr>
              <w:ind w:left="10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220" w:type="dxa"/>
            <w:vAlign w:val="bottom"/>
            <w:tcBorders>
              <w:bottom w:val="single" w:sz="8" w:color="0000EE"/>
            </w:tcBorders>
            <w:gridSpan w:val="17"/>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Restated Certificate of Incorporation, filed on July 1, 2015</w:t>
              </w:r>
            </w:hyperlink>
          </w:p>
        </w:tc>
        <w:tc>
          <w:tcPr>
            <w:tcW w:w="640" w:type="dxa"/>
            <w:vAlign w:val="bottom"/>
            <w:gridSpan w:val="12"/>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7/1/15</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100"/>
              <w:spacing w:after="0" w:line="196"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4860" w:type="dxa"/>
            <w:vAlign w:val="bottom"/>
            <w:gridSpan w:val="29"/>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Amended and Restated By-Laws</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7/1/15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ind w:left="100"/>
              <w:spacing w:after="0" w:line="196"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42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Amended and Restated Investors’ Rights Agreement, dated</w:t>
              </w:r>
            </w:hyperlink>
          </w:p>
        </w:tc>
        <w:tc>
          <w:tcPr>
            <w:tcW w:w="580" w:type="dxa"/>
            <w:vAlign w:val="bottom"/>
            <w:gridSpan w:val="10"/>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5/27/15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9"/>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December 19, 2014, by and among the Registrant and each of the</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investors listed on Schedule A thereto</w:t>
              </w:r>
            </w:hyperlink>
          </w:p>
        </w:tc>
        <w:tc>
          <w:tcPr>
            <w:tcW w:w="1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ind w:left="100"/>
              <w:spacing w:after="0" w:line="196"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4860" w:type="dxa"/>
            <w:vAlign w:val="bottom"/>
            <w:gridSpan w:val="29"/>
          </w:tcPr>
          <w:p>
            <w:pPr>
              <w:spacing w:after="0" w:line="196" w:lineRule="exact"/>
              <w:rPr>
                <w:rFonts w:ascii="Arial" w:cs="Arial" w:eastAsia="Arial" w:hAnsi="Arial"/>
                <w:sz w:val="18"/>
                <w:szCs w:val="18"/>
                <w:color w:val="0000EE"/>
                <w:w w:val="98"/>
              </w:rPr>
            </w:pPr>
            <w:hyperlink r:id="rId117">
              <w:r>
                <w:rPr>
                  <w:rFonts w:ascii="Arial" w:cs="Arial" w:eastAsia="Arial" w:hAnsi="Arial"/>
                  <w:sz w:val="18"/>
                  <w:szCs w:val="18"/>
                  <w:color w:val="0000EE"/>
                  <w:w w:val="98"/>
                </w:rPr>
                <w:t>Specimen Stock Certificate evidencing the shares of common</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stock</w:t>
              </w:r>
            </w:hyperlink>
          </w:p>
        </w:tc>
        <w:tc>
          <w:tcPr>
            <w:tcW w:w="44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4860" w:type="dxa"/>
            <w:vAlign w:val="bottom"/>
            <w:gridSpan w:val="29"/>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2015 Incentive Award Plan and forms of award agreements</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r:id="rId118">
              <w:r>
                <w:rPr>
                  <w:rFonts w:ascii="Arial" w:cs="Arial" w:eastAsia="Arial" w:hAnsi="Arial"/>
                  <w:sz w:val="18"/>
                  <w:szCs w:val="18"/>
                  <w:color w:val="0000EE"/>
                  <w:w w:val="84"/>
                </w:rPr>
                <w:t>thereunder</w:t>
              </w:r>
            </w:hyperlink>
          </w:p>
        </w:tc>
        <w:tc>
          <w:tcPr>
            <w:tcW w:w="3500" w:type="dxa"/>
            <w:vAlign w:val="bottom"/>
            <w:tcBorders>
              <w:top w:val="single" w:sz="8" w:color="0000EE"/>
            </w:tcBorders>
            <w:gridSpan w:val="15"/>
          </w:tcPr>
          <w:p>
            <w:pPr>
              <w:spacing w:after="0"/>
              <w:rPr>
                <w:sz w:val="17"/>
                <w:szCs w:val="17"/>
                <w:color w:val="auto"/>
              </w:rPr>
            </w:pPr>
          </w:p>
        </w:tc>
        <w:tc>
          <w:tcPr>
            <w:tcW w:w="60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26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2015 Employee Stock Purchase Plan</w:t>
              </w:r>
            </w:hyperlink>
          </w:p>
        </w:tc>
        <w:tc>
          <w:tcPr>
            <w:tcW w:w="2220" w:type="dxa"/>
            <w:vAlign w:val="bottom"/>
            <w:gridSpan w:val="21"/>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42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2012 Stock Incentive Plan, as amended and form of option</w:t>
              </w:r>
            </w:hyperlink>
          </w:p>
        </w:tc>
        <w:tc>
          <w:tcPr>
            <w:tcW w:w="640" w:type="dxa"/>
            <w:vAlign w:val="bottom"/>
            <w:gridSpan w:val="12"/>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5/27/15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r:id="rId120">
              <w:r>
                <w:rPr>
                  <w:rFonts w:ascii="Arial" w:cs="Arial" w:eastAsia="Arial" w:hAnsi="Arial"/>
                  <w:sz w:val="18"/>
                  <w:szCs w:val="18"/>
                  <w:color w:val="0000EE"/>
                  <w:w w:val="86"/>
                </w:rPr>
                <w:t>agreement thereunder</w:t>
              </w:r>
            </w:hyperlink>
          </w:p>
        </w:tc>
        <w:tc>
          <w:tcPr>
            <w:tcW w:w="3300" w:type="dxa"/>
            <w:vAlign w:val="bottom"/>
            <w:gridSpan w:val="25"/>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40" w:type="dxa"/>
            <w:vAlign w:val="bottom"/>
          </w:tcPr>
          <w:p>
            <w:pPr>
              <w:spacing w:after="0"/>
              <w:rPr>
                <w:sz w:val="17"/>
                <w:szCs w:val="17"/>
                <w:color w:val="auto"/>
              </w:rPr>
            </w:pPr>
          </w:p>
        </w:tc>
        <w:tc>
          <w:tcPr>
            <w:tcW w:w="4860" w:type="dxa"/>
            <w:vAlign w:val="bottom"/>
            <w:gridSpan w:val="29"/>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Non-Employee Director Compensation Program</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4860" w:type="dxa"/>
            <w:vAlign w:val="bottom"/>
            <w:gridSpan w:val="29"/>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Lease Agreement, dated April 1, 2015, by and between the</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5/27/15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Registrant and ARE-MA Region No. 38, LLC</w:t>
              </w:r>
            </w:hyperlink>
          </w:p>
        </w:tc>
        <w:tc>
          <w:tcPr>
            <w:tcW w:w="900" w:type="dxa"/>
            <w:vAlign w:val="bottom"/>
            <w:tcBorders>
              <w:top w:val="single" w:sz="8" w:color="0000EE"/>
            </w:tcBorders>
            <w:gridSpan w:val="5"/>
          </w:tcPr>
          <w:p>
            <w:pPr>
              <w:spacing w:after="0"/>
              <w:rPr>
                <w:sz w:val="17"/>
                <w:szCs w:val="17"/>
                <w:color w:val="auto"/>
              </w:rPr>
            </w:pPr>
          </w:p>
        </w:tc>
        <w:tc>
          <w:tcPr>
            <w:tcW w:w="64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7"/>
                <w:szCs w:val="17"/>
                <w:color w:val="auto"/>
              </w:rPr>
            </w:pPr>
          </w:p>
        </w:tc>
        <w:tc>
          <w:tcPr>
            <w:tcW w:w="464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123">
              <w:r>
                <w:rPr>
                  <w:rFonts w:ascii="Arial" w:cs="Arial" w:eastAsia="Arial" w:hAnsi="Arial"/>
                  <w:sz w:val="18"/>
                  <w:szCs w:val="18"/>
                  <w:color w:val="0000EE"/>
                  <w:w w:val="88"/>
                </w:rPr>
                <w:t>Lease, dated November 11, 2015, by and between the Registrant</w:t>
              </w:r>
            </w:hyperlink>
          </w:p>
        </w:tc>
        <w:tc>
          <w:tcPr>
            <w:tcW w:w="220" w:type="dxa"/>
            <w:vAlign w:val="bottom"/>
            <w:gridSpan w:val="3"/>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3/14/16</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9"/>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and BMR-Sidney Research Campus, LLC</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40" w:type="dxa"/>
            <w:vAlign w:val="bottom"/>
          </w:tcPr>
          <w:p>
            <w:pPr>
              <w:spacing w:after="0"/>
              <w:rPr>
                <w:sz w:val="17"/>
                <w:szCs w:val="17"/>
                <w:color w:val="auto"/>
              </w:rPr>
            </w:pPr>
          </w:p>
        </w:tc>
        <w:tc>
          <w:tcPr>
            <w:tcW w:w="45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Employment Agreement, dated June 14, 2015, by and between</w:t>
              </w:r>
            </w:hyperlink>
          </w:p>
        </w:tc>
        <w:tc>
          <w:tcPr>
            <w:tcW w:w="340" w:type="dxa"/>
            <w:vAlign w:val="bottom"/>
            <w:gridSpan w:val="6"/>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r:id="rId124">
              <w:r>
                <w:rPr>
                  <w:rFonts w:ascii="Arial" w:cs="Arial" w:eastAsia="Arial" w:hAnsi="Arial"/>
                  <w:sz w:val="18"/>
                  <w:szCs w:val="18"/>
                  <w:color w:val="0000EE"/>
                  <w:w w:val="87"/>
                </w:rPr>
                <w:t>the Registrant and Roger J. Pomerantz</w:t>
              </w:r>
            </w:hyperlink>
          </w:p>
        </w:tc>
        <w:tc>
          <w:tcPr>
            <w:tcW w:w="2100" w:type="dxa"/>
            <w:vAlign w:val="bottom"/>
            <w:gridSpan w:val="19"/>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7"/>
                <w:szCs w:val="17"/>
                <w:color w:val="auto"/>
              </w:rPr>
            </w:pPr>
          </w:p>
        </w:tc>
        <w:tc>
          <w:tcPr>
            <w:tcW w:w="46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First Amendment to Employment Agreement, dated February 3,</w:t>
              </w:r>
            </w:hyperlink>
          </w:p>
        </w:tc>
        <w:tc>
          <w:tcPr>
            <w:tcW w:w="240" w:type="dxa"/>
            <w:vAlign w:val="bottom"/>
            <w:gridSpan w:val="4"/>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2/4/16</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9"/>
          </w:tcPr>
          <w:p>
            <w:pPr>
              <w:spacing w:after="0" w:line="196" w:lineRule="exact"/>
              <w:rPr>
                <w:rFonts w:ascii="Arial" w:cs="Arial" w:eastAsia="Arial" w:hAnsi="Arial"/>
                <w:sz w:val="18"/>
                <w:szCs w:val="18"/>
                <w:color w:val="0000EE"/>
                <w:w w:val="97"/>
              </w:rPr>
            </w:pPr>
            <w:hyperlink r:id="rId125">
              <w:r>
                <w:rPr>
                  <w:rFonts w:ascii="Arial" w:cs="Arial" w:eastAsia="Arial" w:hAnsi="Arial"/>
                  <w:sz w:val="18"/>
                  <w:szCs w:val="18"/>
                  <w:color w:val="0000EE"/>
                  <w:w w:val="97"/>
                </w:rPr>
                <w:t>2016, by and between the Registrant and Roger J. Pomerantz</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40" w:type="dxa"/>
            <w:vAlign w:val="bottom"/>
          </w:tcPr>
          <w:p>
            <w:pPr>
              <w:spacing w:after="0"/>
              <w:rPr>
                <w:sz w:val="17"/>
                <w:szCs w:val="17"/>
                <w:color w:val="auto"/>
              </w:rPr>
            </w:pPr>
          </w:p>
        </w:tc>
        <w:tc>
          <w:tcPr>
            <w:tcW w:w="46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Second Amendment to Employment Agreement, dated March 7,</w:t>
              </w:r>
            </w:hyperlink>
          </w:p>
        </w:tc>
        <w:tc>
          <w:tcPr>
            <w:tcW w:w="220" w:type="dxa"/>
            <w:vAlign w:val="bottom"/>
            <w:gridSpan w:val="3"/>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3/8/18</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9"/>
          </w:tcPr>
          <w:p>
            <w:pPr>
              <w:spacing w:after="0" w:line="196" w:lineRule="exact"/>
              <w:rPr>
                <w:rFonts w:ascii="Arial" w:cs="Arial" w:eastAsia="Arial" w:hAnsi="Arial"/>
                <w:sz w:val="18"/>
                <w:szCs w:val="18"/>
                <w:color w:val="0000EE"/>
                <w:w w:val="97"/>
              </w:rPr>
            </w:pPr>
            <w:hyperlink r:id="rId126">
              <w:r>
                <w:rPr>
                  <w:rFonts w:ascii="Arial" w:cs="Arial" w:eastAsia="Arial" w:hAnsi="Arial"/>
                  <w:sz w:val="18"/>
                  <w:szCs w:val="18"/>
                  <w:color w:val="0000EE"/>
                  <w:w w:val="97"/>
                </w:rPr>
                <w:t>2018, by and between the Registrant and Roger J. Pomerantz</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40" w:type="dxa"/>
            <w:vAlign w:val="bottom"/>
          </w:tcPr>
          <w:p>
            <w:pPr>
              <w:spacing w:after="0"/>
              <w:rPr>
                <w:sz w:val="17"/>
                <w:szCs w:val="17"/>
                <w:color w:val="auto"/>
              </w:rPr>
            </w:pPr>
          </w:p>
        </w:tc>
        <w:tc>
          <w:tcPr>
            <w:tcW w:w="450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r:id="rId127">
              <w:r>
                <w:rPr>
                  <w:rFonts w:ascii="Arial" w:cs="Arial" w:eastAsia="Arial" w:hAnsi="Arial"/>
                  <w:sz w:val="18"/>
                  <w:szCs w:val="18"/>
                  <w:color w:val="0000EE"/>
                  <w:w w:val="87"/>
                </w:rPr>
                <w:t>Separation Agreement and Release, dated January 14, 2019 by</w:t>
              </w:r>
            </w:hyperlink>
          </w:p>
        </w:tc>
        <w:tc>
          <w:tcPr>
            <w:tcW w:w="360" w:type="dxa"/>
            <w:vAlign w:val="bottom"/>
            <w:gridSpan w:val="7"/>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1/15/19</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r:id="rId127">
              <w:r>
                <w:rPr>
                  <w:rFonts w:ascii="Arial" w:cs="Arial" w:eastAsia="Arial" w:hAnsi="Arial"/>
                  <w:sz w:val="18"/>
                  <w:szCs w:val="18"/>
                  <w:color w:val="0000EE"/>
                  <w:w w:val="87"/>
                </w:rPr>
                <w:t>and between the Registrant and Roger J. Pomerantz.</w:t>
              </w:r>
            </w:hyperlink>
          </w:p>
        </w:tc>
        <w:tc>
          <w:tcPr>
            <w:tcW w:w="110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40" w:type="dxa"/>
            <w:vAlign w:val="bottom"/>
          </w:tcPr>
          <w:p>
            <w:pPr>
              <w:spacing w:after="0"/>
              <w:rPr>
                <w:sz w:val="17"/>
                <w:szCs w:val="17"/>
                <w:color w:val="auto"/>
              </w:rPr>
            </w:pPr>
          </w:p>
        </w:tc>
        <w:tc>
          <w:tcPr>
            <w:tcW w:w="4860" w:type="dxa"/>
            <w:vAlign w:val="bottom"/>
            <w:gridSpan w:val="29"/>
          </w:tcPr>
          <w:p>
            <w:pPr>
              <w:spacing w:after="0" w:line="196" w:lineRule="exact"/>
              <w:rPr>
                <w:rFonts w:ascii="Arial" w:cs="Arial" w:eastAsia="Arial" w:hAnsi="Arial"/>
                <w:sz w:val="18"/>
                <w:szCs w:val="18"/>
                <w:color w:val="0000EE"/>
                <w:w w:val="94"/>
              </w:rPr>
            </w:pPr>
            <w:hyperlink r:id="rId128">
              <w:r>
                <w:rPr>
                  <w:rFonts w:ascii="Arial" w:cs="Arial" w:eastAsia="Arial" w:hAnsi="Arial"/>
                  <w:sz w:val="18"/>
                  <w:szCs w:val="18"/>
                  <w:color w:val="0000EE"/>
                  <w:w w:val="94"/>
                </w:rPr>
                <w:t>Amended and Restated Employment Agreement, dated January</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1/15/19</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14, 2019, by and between the Registrant and Eric D. Shaff</w:t>
              </w:r>
            </w:hyperlink>
          </w:p>
        </w:tc>
        <w:tc>
          <w:tcPr>
            <w:tcW w:w="360" w:type="dxa"/>
            <w:vAlign w:val="bottom"/>
            <w:tcBorders>
              <w:top w:val="single" w:sz="8" w:color="0000EE"/>
            </w:tcBorders>
            <w:gridSpan w:val="8"/>
          </w:tcPr>
          <w:p>
            <w:pPr>
              <w:spacing w:after="0"/>
              <w:rPr>
                <w:sz w:val="17"/>
                <w:szCs w:val="17"/>
                <w:color w:val="auto"/>
              </w:rPr>
            </w:pPr>
          </w:p>
        </w:tc>
        <w:tc>
          <w:tcPr>
            <w:tcW w:w="30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40" w:type="dxa"/>
            <w:vAlign w:val="bottom"/>
          </w:tcPr>
          <w:p>
            <w:pPr>
              <w:spacing w:after="0"/>
              <w:rPr>
                <w:sz w:val="17"/>
                <w:szCs w:val="17"/>
                <w:color w:val="auto"/>
              </w:rPr>
            </w:pPr>
          </w:p>
        </w:tc>
        <w:tc>
          <w:tcPr>
            <w:tcW w:w="4860" w:type="dxa"/>
            <w:vAlign w:val="bottom"/>
            <w:gridSpan w:val="29"/>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Employment Agreement, dated August 10, 2015, by and between</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8/10/15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the Registrant and John G. Aunins</w:t>
              </w:r>
            </w:hyperlink>
          </w:p>
        </w:tc>
        <w:tc>
          <w:tcPr>
            <w:tcW w:w="1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1000" w:type="dxa"/>
            <w:vAlign w:val="bottom"/>
            <w:gridSpan w:val="1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140" w:type="dxa"/>
            <w:vAlign w:val="bottom"/>
          </w:tcPr>
          <w:p>
            <w:pPr>
              <w:spacing w:after="0"/>
              <w:rPr>
                <w:sz w:val="17"/>
                <w:szCs w:val="17"/>
                <w:color w:val="auto"/>
              </w:rPr>
            </w:pPr>
          </w:p>
        </w:tc>
        <w:tc>
          <w:tcPr>
            <w:tcW w:w="4860" w:type="dxa"/>
            <w:vAlign w:val="bottom"/>
            <w:gridSpan w:val="29"/>
          </w:tcPr>
          <w:p>
            <w:pPr>
              <w:spacing w:after="0" w:line="196" w:lineRule="exact"/>
              <w:rPr>
                <w:rFonts w:ascii="Arial" w:cs="Arial" w:eastAsia="Arial" w:hAnsi="Arial"/>
                <w:sz w:val="18"/>
                <w:szCs w:val="18"/>
                <w:color w:val="0000EE"/>
                <w:w w:val="94"/>
              </w:rPr>
            </w:pPr>
            <w:hyperlink r:id="rId130">
              <w:r>
                <w:rPr>
                  <w:rFonts w:ascii="Arial" w:cs="Arial" w:eastAsia="Arial" w:hAnsi="Arial"/>
                  <w:sz w:val="18"/>
                  <w:szCs w:val="18"/>
                  <w:color w:val="0000EE"/>
                  <w:w w:val="94"/>
                </w:rPr>
                <w:t>Amendment to Employment Agreement, dated February 8, 2017</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3/16/17</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by and between the Registrant and John G. Aunins</w:t>
              </w:r>
            </w:hyperlink>
          </w:p>
        </w:tc>
        <w:tc>
          <w:tcPr>
            <w:tcW w:w="22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220" w:type="dxa"/>
            <w:vAlign w:val="bottom"/>
            <w:gridSpan w:val="1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140" w:type="dxa"/>
            <w:vAlign w:val="bottom"/>
          </w:tcPr>
          <w:p>
            <w:pPr>
              <w:spacing w:after="0"/>
              <w:rPr>
                <w:sz w:val="17"/>
                <w:szCs w:val="17"/>
                <w:color w:val="auto"/>
              </w:rPr>
            </w:pPr>
          </w:p>
        </w:tc>
        <w:tc>
          <w:tcPr>
            <w:tcW w:w="45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Employment Agreement, dated June 13, 2015, by and between</w:t>
              </w:r>
            </w:hyperlink>
          </w:p>
        </w:tc>
        <w:tc>
          <w:tcPr>
            <w:tcW w:w="340" w:type="dxa"/>
            <w:vAlign w:val="bottom"/>
            <w:gridSpan w:val="6"/>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S-1/A</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1"/>
              </w:rPr>
              <w:t>333-204484</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6/16/15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9"/>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the Registrant and Michele Trucksis</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2580" w:type="dxa"/>
            <w:vAlign w:val="bottom"/>
            <w:tcBorders>
              <w:top w:val="single" w:sz="8" w:color="0000EE"/>
            </w:tcBorders>
            <w:gridSpan w:val="6"/>
          </w:tcPr>
          <w:p>
            <w:pPr>
              <w:spacing w:after="0"/>
              <w:rPr>
                <w:sz w:val="24"/>
                <w:szCs w:val="24"/>
                <w:color w:val="auto"/>
              </w:rPr>
            </w:pPr>
          </w:p>
        </w:tc>
        <w:tc>
          <w:tcPr>
            <w:tcW w:w="2020" w:type="dxa"/>
            <w:vAlign w:val="bottom"/>
            <w:gridSpan w:val="18"/>
          </w:tcPr>
          <w:p>
            <w:pPr>
              <w:jc w:val="right"/>
              <w:ind w:right="4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19"/>
        </w:trPr>
        <w:tc>
          <w:tcPr>
            <w:tcW w:w="1080" w:type="dxa"/>
            <w:vAlign w:val="bottom"/>
          </w:tcPr>
          <w:p>
            <w:pPr>
              <w:spacing w:after="0" w:line="119" w:lineRule="exact"/>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60" w:type="dxa"/>
            <w:vAlign w:val="bottom"/>
            <w:gridSpan w:val="21"/>
            <w:vMerge w:val="restart"/>
          </w:tcPr>
          <w:p>
            <w:pPr>
              <w:ind w:left="12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40" w:type="dxa"/>
            <w:vAlign w:val="bottom"/>
            <w:vMerge w:val="restart"/>
          </w:tcPr>
          <w:p>
            <w:pPr>
              <w:spacing w:after="0"/>
              <w:rPr>
                <w:sz w:val="10"/>
                <w:szCs w:val="10"/>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2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Furnished</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gridSpan w:val="21"/>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1"/>
        </w:trPr>
        <w:tc>
          <w:tcPr>
            <w:tcW w:w="1080" w:type="dxa"/>
            <w:vAlign w:val="bottom"/>
          </w:tcPr>
          <w:p>
            <w:pPr>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24"/>
                <w:szCs w:val="24"/>
                <w:color w:val="auto"/>
              </w:rPr>
            </w:pPr>
          </w:p>
        </w:tc>
        <w:tc>
          <w:tcPr>
            <w:tcW w:w="4740" w:type="dxa"/>
            <w:vAlign w:val="bottom"/>
            <w:tcBorders>
              <w:bottom w:val="single" w:sz="8" w:color="0000EE"/>
            </w:tcBorders>
            <w:gridSpan w:val="22"/>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Amendment to Employment Agreement, dated August 7, 2015 by</w:t>
              </w:r>
            </w:hyperlink>
          </w:p>
        </w:tc>
        <w:tc>
          <w:tcPr>
            <w:tcW w:w="120" w:type="dxa"/>
            <w:vAlign w:val="bottom"/>
            <w:gridSpan w:val="2"/>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8/10/15</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and between the Registrant and Michele</w:t>
              </w:r>
            </w:hyperlink>
          </w:p>
        </w:tc>
        <w:tc>
          <w:tcPr>
            <w:tcW w:w="1960" w:type="dxa"/>
            <w:vAlign w:val="bottom"/>
            <w:gridSpan w:val="16"/>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rPr>
              <w:t>Trucksis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line="190" w:lineRule="exact"/>
              <w:rPr>
                <w:sz w:val="20"/>
                <w:szCs w:val="20"/>
                <w:color w:val="auto"/>
              </w:rPr>
            </w:pPr>
            <w:r>
              <w:rPr>
                <w:rFonts w:ascii="Arial" w:cs="Arial" w:eastAsia="Arial" w:hAnsi="Arial"/>
                <w:sz w:val="18"/>
                <w:szCs w:val="18"/>
                <w:color w:val="auto"/>
              </w:rPr>
              <w:t>10.16#</w:t>
            </w:r>
          </w:p>
        </w:tc>
        <w:tc>
          <w:tcPr>
            <w:tcW w:w="140" w:type="dxa"/>
            <w:vAlign w:val="bottom"/>
          </w:tcPr>
          <w:p>
            <w:pPr>
              <w:spacing w:after="0"/>
              <w:rPr>
                <w:sz w:val="16"/>
                <w:szCs w:val="16"/>
                <w:color w:val="auto"/>
              </w:rPr>
            </w:pPr>
          </w:p>
        </w:tc>
        <w:tc>
          <w:tcPr>
            <w:tcW w:w="4700" w:type="dxa"/>
            <w:vAlign w:val="bottom"/>
            <w:tcBorders>
              <w:bottom w:val="single" w:sz="8" w:color="0000EE"/>
            </w:tcBorders>
            <w:gridSpan w:val="20"/>
          </w:tcPr>
          <w:p>
            <w:pPr>
              <w:spacing w:after="0" w:line="190"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Amendment to Employment Agreement, dated March 7, 2018 by</w:t>
              </w:r>
            </w:hyperlink>
          </w:p>
        </w:tc>
        <w:tc>
          <w:tcPr>
            <w:tcW w:w="160" w:type="dxa"/>
            <w:vAlign w:val="bottom"/>
            <w:gridSpan w:val="4"/>
          </w:tcPr>
          <w:p>
            <w:pPr>
              <w:spacing w:after="0"/>
              <w:rPr>
                <w:sz w:val="16"/>
                <w:szCs w:val="16"/>
                <w:color w:val="auto"/>
              </w:rPr>
            </w:pPr>
          </w:p>
        </w:tc>
        <w:tc>
          <w:tcPr>
            <w:tcW w:w="820" w:type="dxa"/>
            <w:vAlign w:val="bottom"/>
            <w:gridSpan w:val="2"/>
          </w:tcPr>
          <w:p>
            <w:pPr>
              <w:spacing w:after="0" w:line="190" w:lineRule="exact"/>
              <w:rPr>
                <w:sz w:val="20"/>
                <w:szCs w:val="20"/>
                <w:color w:val="auto"/>
              </w:rPr>
            </w:pPr>
            <w:r>
              <w:rPr>
                <w:rFonts w:ascii="Arial" w:cs="Arial" w:eastAsia="Arial" w:hAnsi="Arial"/>
                <w:sz w:val="18"/>
                <w:szCs w:val="18"/>
                <w:color w:val="auto"/>
              </w:rPr>
              <w:t>10-K</w:t>
            </w:r>
          </w:p>
        </w:tc>
        <w:tc>
          <w:tcPr>
            <w:tcW w:w="138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6"/>
                <w:szCs w:val="16"/>
                <w:color w:val="auto"/>
              </w:rPr>
            </w:pPr>
          </w:p>
        </w:tc>
        <w:tc>
          <w:tcPr>
            <w:tcW w:w="700" w:type="dxa"/>
            <w:vAlign w:val="bottom"/>
          </w:tcPr>
          <w:p>
            <w:pPr>
              <w:jc w:val="center"/>
              <w:spacing w:after="0" w:line="190" w:lineRule="exact"/>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16"/>
                <w:szCs w:val="16"/>
                <w:color w:val="auto"/>
              </w:rPr>
            </w:pPr>
          </w:p>
        </w:tc>
        <w:tc>
          <w:tcPr>
            <w:tcW w:w="920" w:type="dxa"/>
            <w:vAlign w:val="bottom"/>
          </w:tcPr>
          <w:p>
            <w:pPr>
              <w:jc w:val="center"/>
              <w:spacing w:after="0" w:line="190" w:lineRule="exact"/>
              <w:rPr>
                <w:sz w:val="20"/>
                <w:szCs w:val="20"/>
                <w:color w:val="auto"/>
              </w:rPr>
            </w:pPr>
            <w:r>
              <w:rPr>
                <w:rFonts w:ascii="Arial" w:cs="Arial" w:eastAsia="Arial" w:hAnsi="Arial"/>
                <w:sz w:val="18"/>
                <w:szCs w:val="18"/>
                <w:color w:val="auto"/>
                <w:w w:val="91"/>
              </w:rPr>
              <w:t>3/8/18</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and between the Registrant and Michele Trucksis</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Separation Agreement and Release, dated November 16, 2018, by</w:t>
              </w:r>
            </w:hyperlink>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11/21/18</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and between the Registrant and Michele Trucksis</w:t>
              </w:r>
            </w:hyperlink>
          </w:p>
        </w:tc>
        <w:tc>
          <w:tcPr>
            <w:tcW w:w="1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140" w:type="dxa"/>
            <w:vAlign w:val="bottom"/>
          </w:tcPr>
          <w:p>
            <w:pPr>
              <w:spacing w:after="0"/>
              <w:rPr>
                <w:sz w:val="17"/>
                <w:szCs w:val="17"/>
                <w:color w:val="auto"/>
              </w:rPr>
            </w:pPr>
          </w:p>
        </w:tc>
        <w:tc>
          <w:tcPr>
            <w:tcW w:w="41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Consulting Agreement, dated November 16, 2018, by and</w:t>
              </w:r>
            </w:hyperlink>
          </w:p>
        </w:tc>
        <w:tc>
          <w:tcPr>
            <w:tcW w:w="700" w:type="dxa"/>
            <w:vAlign w:val="bottom"/>
            <w:gridSpan w:val="10"/>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11/21/18</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between the Registrant and Michele Trucksis</w:t>
              </w:r>
            </w:hyperlink>
          </w:p>
        </w:tc>
        <w:tc>
          <w:tcPr>
            <w:tcW w:w="162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140" w:type="dxa"/>
            <w:vAlign w:val="bottom"/>
          </w:tcPr>
          <w:p>
            <w:pPr>
              <w:spacing w:after="0"/>
              <w:rPr>
                <w:sz w:val="17"/>
                <w:szCs w:val="17"/>
                <w:color w:val="auto"/>
              </w:rPr>
            </w:pPr>
          </w:p>
        </w:tc>
        <w:tc>
          <w:tcPr>
            <w:tcW w:w="45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Employment Agreement, dated April 26, 2016 by and between</w:t>
              </w:r>
            </w:hyperlink>
          </w:p>
        </w:tc>
        <w:tc>
          <w:tcPr>
            <w:tcW w:w="340" w:type="dxa"/>
            <w:vAlign w:val="bottom"/>
            <w:gridSpan w:val="7"/>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89"/>
              </w:rPr>
              <w:t>8/11/16</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r:id="rId138">
              <w:r>
                <w:rPr>
                  <w:rFonts w:ascii="Arial" w:cs="Arial" w:eastAsia="Arial" w:hAnsi="Arial"/>
                  <w:sz w:val="18"/>
                  <w:szCs w:val="18"/>
                  <w:color w:val="0000EE"/>
                  <w:w w:val="87"/>
                </w:rPr>
                <w:t>the Registrant and Thomas J. DesRosier</w:t>
              </w:r>
            </w:hyperlink>
          </w:p>
        </w:tc>
        <w:tc>
          <w:tcPr>
            <w:tcW w:w="1980" w:type="dxa"/>
            <w:vAlign w:val="bottom"/>
            <w:gridSpan w:val="17"/>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140" w:type="dxa"/>
            <w:vAlign w:val="bottom"/>
          </w:tcPr>
          <w:p>
            <w:pPr>
              <w:spacing w:after="0"/>
              <w:rPr>
                <w:sz w:val="17"/>
                <w:szCs w:val="17"/>
                <w:color w:val="auto"/>
              </w:rPr>
            </w:pPr>
          </w:p>
        </w:tc>
        <w:tc>
          <w:tcPr>
            <w:tcW w:w="46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39">
              <w:r>
                <w:rPr>
                  <w:rFonts w:ascii="Arial" w:cs="Arial" w:eastAsia="Arial" w:hAnsi="Arial"/>
                  <w:sz w:val="18"/>
                  <w:szCs w:val="18"/>
                  <w:color w:val="0000EE"/>
                  <w:w w:val="89"/>
                </w:rPr>
                <w:t>Employment Agreement, dated October 5, 2018, by and between</w:t>
              </w:r>
            </w:hyperlink>
          </w:p>
        </w:tc>
        <w:tc>
          <w:tcPr>
            <w:tcW w:w="180" w:type="dxa"/>
            <w:vAlign w:val="bottom"/>
            <w:gridSpan w:val="5"/>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1"/>
              </w:rPr>
              <w:t>11/08/18</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the Registrant and Kevin Horgan</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140" w:type="dxa"/>
            <w:vAlign w:val="bottom"/>
          </w:tcPr>
          <w:p>
            <w:pPr>
              <w:spacing w:after="0"/>
              <w:rPr>
                <w:sz w:val="17"/>
                <w:szCs w:val="17"/>
                <w:color w:val="auto"/>
              </w:rPr>
            </w:pPr>
          </w:p>
        </w:tc>
        <w:tc>
          <w:tcPr>
            <w:tcW w:w="46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Collaboration and License Agreement, dated January 9, 2016, by</w:t>
              </w:r>
            </w:hyperlink>
          </w:p>
        </w:tc>
        <w:tc>
          <w:tcPr>
            <w:tcW w:w="180" w:type="dxa"/>
            <w:vAlign w:val="bottom"/>
            <w:gridSpan w:val="5"/>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001-37465</w:t>
            </w:r>
          </w:p>
        </w:tc>
        <w:tc>
          <w:tcPr>
            <w:tcW w:w="14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3"/>
              </w:rPr>
              <w:t>5/16/16</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and between the Registrant and Nestec Ltd.</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w w:val="96"/>
              </w:rPr>
            </w:pPr>
            <w:hyperlink w:anchor="page125">
              <w:r>
                <w:rPr>
                  <w:rFonts w:ascii="Arial" w:cs="Arial" w:eastAsia="Arial" w:hAnsi="Arial"/>
                  <w:sz w:val="18"/>
                  <w:szCs w:val="18"/>
                  <w:color w:val="0000EE"/>
                  <w:w w:val="96"/>
                </w:rPr>
                <w:t>Amendment No 1 to the Collaboration and License Agreement,</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w w:val="91"/>
              </w:rPr>
            </w:pPr>
            <w:hyperlink w:anchor="page125">
              <w:r>
                <w:rPr>
                  <w:rFonts w:ascii="Arial" w:cs="Arial" w:eastAsia="Arial" w:hAnsi="Arial"/>
                  <w:sz w:val="18"/>
                  <w:szCs w:val="18"/>
                  <w:color w:val="0000EE"/>
                  <w:w w:val="91"/>
                </w:rPr>
                <w:t>dated August 10, 2016, by and between the Registrant and Nestec</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Ltd.</w:t>
              </w:r>
            </w:hyperlink>
          </w:p>
        </w:tc>
        <w:tc>
          <w:tcPr>
            <w:tcW w:w="1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w w:val="96"/>
              </w:rPr>
            </w:pPr>
            <w:hyperlink w:anchor="page127">
              <w:r>
                <w:rPr>
                  <w:rFonts w:ascii="Arial" w:cs="Arial" w:eastAsia="Arial" w:hAnsi="Arial"/>
                  <w:sz w:val="18"/>
                  <w:szCs w:val="18"/>
                  <w:color w:val="0000EE"/>
                  <w:w w:val="96"/>
                </w:rPr>
                <w:t>Letter Agreement dated October 30, 2018, by and between the</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Registrant and Nestec Ltd.</w:t>
              </w:r>
            </w:hyperlink>
          </w:p>
        </w:tc>
        <w:tc>
          <w:tcPr>
            <w:tcW w:w="38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140" w:type="dxa"/>
            <w:vAlign w:val="bottom"/>
          </w:tcPr>
          <w:p>
            <w:pPr>
              <w:spacing w:after="0"/>
              <w:rPr>
                <w:sz w:val="17"/>
                <w:szCs w:val="17"/>
                <w:color w:val="auto"/>
              </w:rPr>
            </w:pPr>
          </w:p>
        </w:tc>
        <w:tc>
          <w:tcPr>
            <w:tcW w:w="28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32">
              <w:r>
                <w:rPr>
                  <w:rFonts w:ascii="Arial" w:cs="Arial" w:eastAsia="Arial" w:hAnsi="Arial"/>
                  <w:sz w:val="18"/>
                  <w:szCs w:val="18"/>
                  <w:color w:val="0000EE"/>
                  <w:w w:val="88"/>
                </w:rPr>
                <w:t>Subsidiaries of Seres Therapeutics, Inc.</w:t>
              </w:r>
            </w:hyperlink>
          </w:p>
        </w:tc>
        <w:tc>
          <w:tcPr>
            <w:tcW w:w="2020" w:type="dxa"/>
            <w:vAlign w:val="bottom"/>
            <w:gridSpan w:val="18"/>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4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33">
              <w:r>
                <w:rPr>
                  <w:rFonts w:ascii="Arial" w:cs="Arial" w:eastAsia="Arial" w:hAnsi="Arial"/>
                  <w:sz w:val="18"/>
                  <w:szCs w:val="18"/>
                  <w:color w:val="0000EE"/>
                  <w:w w:val="88"/>
                </w:rPr>
                <w:t>Consent of PricewaterhouseCoopers LLP, Independent</w:t>
              </w:r>
            </w:hyperlink>
          </w:p>
        </w:tc>
        <w:tc>
          <w:tcPr>
            <w:tcW w:w="92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Registered Public Accounting Firm</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42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34">
              <w:r>
                <w:rPr>
                  <w:rFonts w:ascii="Arial" w:cs="Arial" w:eastAsia="Arial" w:hAnsi="Arial"/>
                  <w:sz w:val="18"/>
                  <w:szCs w:val="18"/>
                  <w:color w:val="0000EE"/>
                  <w:w w:val="92"/>
                </w:rPr>
                <w:t>Rule 13a-14(a)/15d-14(a) Certification of Chief Executive</w:t>
              </w:r>
            </w:hyperlink>
          </w:p>
        </w:tc>
        <w:tc>
          <w:tcPr>
            <w:tcW w:w="66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24"/>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Officer</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100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38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135">
              <w:r>
                <w:rPr>
                  <w:rFonts w:ascii="Arial" w:cs="Arial" w:eastAsia="Arial" w:hAnsi="Arial"/>
                  <w:sz w:val="18"/>
                  <w:szCs w:val="18"/>
                  <w:color w:val="0000EE"/>
                  <w:w w:val="92"/>
                </w:rPr>
                <w:t>Section 1350 Certification of Chief Executive Officer</w:t>
              </w:r>
            </w:hyperlink>
          </w:p>
        </w:tc>
        <w:tc>
          <w:tcPr>
            <w:tcW w:w="100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9"/>
                <w:szCs w:val="19"/>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8"/>
                <w:szCs w:val="18"/>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8"/>
                <w:szCs w:val="18"/>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8"/>
                <w:szCs w:val="18"/>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8"/>
                <w:szCs w:val="18"/>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w w:val="98"/>
              </w:rPr>
              <w:t>XBRL Taxonomy Extension Presentation Linkbase Document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0"/>
                <w:szCs w:val="20"/>
                <w:color w:val="auto"/>
              </w:rPr>
            </w:pPr>
          </w:p>
        </w:tc>
        <w:tc>
          <w:tcPr>
            <w:tcW w:w="486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520" w:right="220" w:hanging="512"/>
        <w:spacing w:after="0" w:line="250"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redacted portions of this exhibit. Redacted portions of this exhibit have been filed separately with the SEC.</w:t>
      </w:r>
    </w:p>
    <w:p>
      <w:pPr>
        <w:spacing w:after="0" w:line="1" w:lineRule="exact"/>
        <w:rPr>
          <w:sz w:val="20"/>
          <w:szCs w:val="20"/>
          <w:color w:val="auto"/>
        </w:rPr>
      </w:pPr>
    </w:p>
    <w:p>
      <w:pPr>
        <w:ind w:left="520" w:right="80" w:hanging="512"/>
        <w:spacing w:after="0" w:line="261"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redacted portions of this exhibit. Redacted portions of this exhibit have been filed separately with the SEC.</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60" w:type="dxa"/>
            <w:vAlign w:val="bottom"/>
            <w:gridSpan w:val="7"/>
            <w:vMerge w:val="restart"/>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Report of Independent Registered Public Accounting Firm</w:t>
              </w:r>
            </w:hyperlink>
          </w:p>
        </w:tc>
        <w:tc>
          <w:tcPr>
            <w:tcW w:w="880" w:type="dxa"/>
            <w:vAlign w:val="bottom"/>
            <w:gridSpan w:val="2"/>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560" w:type="dxa"/>
            <w:vAlign w:val="bottom"/>
            <w:gridSpan w:val="7"/>
            <w:vMerge w:val="continue"/>
          </w:tcPr>
          <w:p>
            <w:pPr>
              <w:spacing w:after="0"/>
              <w:rPr>
                <w:sz w:val="14"/>
                <w:szCs w:val="14"/>
                <w:color w:val="auto"/>
              </w:rPr>
            </w:pPr>
          </w:p>
        </w:tc>
        <w:tc>
          <w:tcPr>
            <w:tcW w:w="860" w:type="dxa"/>
            <w:vAlign w:val="bottom"/>
            <w:tcBorders>
              <w:top w:val="single" w:sz="8" w:color="auto"/>
            </w:tcBorders>
          </w:tcPr>
          <w:p>
            <w:pPr>
              <w:ind w:left="62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Consolidated Balance Sheets as of December 31, 2018 and 2017</w:t>
              </w:r>
            </w:hyperlink>
          </w:p>
        </w:tc>
        <w:tc>
          <w:tcPr>
            <w:tcW w:w="5900" w:type="dxa"/>
            <w:vAlign w:val="bottom"/>
            <w:gridSpan w:val="4"/>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560" w:type="dxa"/>
            <w:vAlign w:val="bottom"/>
            <w:gridSpan w:val="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Consolidated Statements of Operations and Comprehensive Loss for the years ended December 31, 2018, 2017 and 2016</w:t>
              </w:r>
            </w:hyperlink>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7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Consolidated Statements of Stockholders’ Equity (Deficit) as of December 31, 2018, 2017 and 2016</w:t>
              </w:r>
            </w:hyperlink>
          </w:p>
        </w:tc>
        <w:tc>
          <w:tcPr>
            <w:tcW w:w="1480" w:type="dxa"/>
            <w:vAlign w:val="bottom"/>
            <w:tcBorders>
              <w:top w:val="single" w:sz="8" w:color="0000EE"/>
            </w:tcBorders>
          </w:tcPr>
          <w:p>
            <w:pPr>
              <w:spacing w:after="0"/>
              <w:rPr>
                <w:sz w:val="17"/>
                <w:szCs w:val="17"/>
                <w:color w:val="auto"/>
              </w:rPr>
            </w:pPr>
          </w:p>
        </w:tc>
        <w:tc>
          <w:tcPr>
            <w:tcW w:w="1840" w:type="dxa"/>
            <w:vAlign w:val="bottom"/>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Consolidated Statements of Cash Flows for the years ended December 31, 2018, 2017 and 2016</w:t>
              </w:r>
            </w:hyperlink>
          </w:p>
        </w:tc>
        <w:tc>
          <w:tcPr>
            <w:tcW w:w="3640" w:type="dxa"/>
            <w:vAlign w:val="bottom"/>
            <w:gridSpan w:val="3"/>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Notes to Consolidated Financial Statements</w:t>
              </w:r>
            </w:hyperlink>
          </w:p>
        </w:tc>
        <w:tc>
          <w:tcPr>
            <w:tcW w:w="7400" w:type="dxa"/>
            <w:vAlign w:val="bottom"/>
            <w:gridSpan w:val="6"/>
          </w:tcPr>
          <w:p>
            <w:pPr>
              <w:spacing w:after="0"/>
              <w:rPr>
                <w:sz w:val="17"/>
                <w:szCs w:val="17"/>
                <w:color w:val="auto"/>
              </w:rPr>
            </w:pPr>
          </w:p>
        </w:tc>
        <w:tc>
          <w:tcPr>
            <w:tcW w:w="880" w:type="dxa"/>
            <w:vAlign w:val="bottom"/>
            <w:gridSpan w:val="2"/>
          </w:tcPr>
          <w:p>
            <w:pPr>
              <w:ind w:left="62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Seres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We have audited the accompanying consolidated balance sheets of Seres Therapeutics, Inc. and its subsidiaries (the “Company”) as of December 31, 2018 and 2017, and the related consolidated statements of operations and comprehensive loss, of stockholders’ equity (deficit) and of cash flows for each of the three years in the period ended December 31, 2018,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22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incurred losses and negative cash flows from operations since its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revenues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2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85,820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36,088</w:t>
            </w:r>
          </w:p>
        </w:tc>
        <w:tc>
          <w:tcPr>
            <w:tcW w:w="120" w:type="dxa"/>
            <w:vAlign w:val="bottom"/>
            <w:shd w:val="clear" w:color="auto" w:fill="CFF0FC"/>
          </w:tcPr>
          <w:p>
            <w:pPr>
              <w:spacing w:after="0"/>
              <w:rPr>
                <w:sz w:val="19"/>
                <w:szCs w:val="19"/>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113,895</w:t>
            </w:r>
          </w:p>
        </w:tc>
        <w:tc>
          <w:tcPr>
            <w:tcW w:w="120" w:type="dxa"/>
            <w:vAlign w:val="bottom"/>
          </w:tcPr>
          <w:p>
            <w:pPr>
              <w:spacing w:after="0"/>
              <w:rPr>
                <w:sz w:val="19"/>
                <w:szCs w:val="19"/>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6,845</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120" w:type="dxa"/>
            <w:vAlign w:val="bottom"/>
            <w:shd w:val="clear" w:color="auto" w:fill="CFF0FC"/>
          </w:tcPr>
          <w:p>
            <w:pPr>
              <w:spacing w:after="0"/>
              <w:rPr>
                <w:sz w:val="19"/>
                <w:szCs w:val="19"/>
                <w:color w:val="auto"/>
              </w:rPr>
            </w:pPr>
          </w:p>
        </w:tc>
      </w:tr>
      <w:tr>
        <w:trPr>
          <w:trHeight w:val="223"/>
        </w:trPr>
        <w:tc>
          <w:tcPr>
            <w:tcW w:w="72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92,665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155,078</w:t>
            </w:r>
          </w:p>
        </w:tc>
        <w:tc>
          <w:tcPr>
            <w:tcW w:w="120" w:type="dxa"/>
            <w:vAlign w:val="bottom"/>
          </w:tcPr>
          <w:p>
            <w:pPr>
              <w:spacing w:after="0"/>
              <w:rPr>
                <w:sz w:val="19"/>
                <w:szCs w:val="19"/>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32,931</w:t>
            </w:r>
          </w:p>
        </w:tc>
        <w:tc>
          <w:tcPr>
            <w:tcW w:w="120" w:type="dxa"/>
            <w:vAlign w:val="bottom"/>
            <w:shd w:val="clear" w:color="auto" w:fill="CFF0FC"/>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Restricted investments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r>
      <w:tr>
        <w:trPr>
          <w:trHeight w:val="263"/>
        </w:trPr>
        <w:tc>
          <w:tcPr>
            <w:tcW w:w="7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120,472</w:t>
            </w:r>
          </w:p>
        </w:tc>
        <w:tc>
          <w:tcPr>
            <w:tcW w:w="28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189,522</w:t>
            </w:r>
          </w:p>
        </w:tc>
        <w:tc>
          <w:tcPr>
            <w:tcW w:w="120" w:type="dxa"/>
            <w:vAlign w:val="bottom"/>
            <w:tcBorders>
              <w:bottom w:val="single" w:sz="8" w:color="CFF0FC"/>
            </w:tcBorders>
          </w:tcPr>
          <w:p>
            <w:pPr>
              <w:spacing w:after="0"/>
              <w:rPr>
                <w:sz w:val="22"/>
                <w:szCs w:val="22"/>
                <w:color w:val="auto"/>
              </w:rPr>
            </w:pPr>
          </w:p>
        </w:tc>
      </w:tr>
      <w:tr>
        <w:trPr>
          <w:trHeight w:val="210"/>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7,033</w:t>
            </w:r>
          </w:p>
        </w:tc>
        <w:tc>
          <w:tcPr>
            <w:tcW w:w="120" w:type="dxa"/>
            <w:vAlign w:val="bottom"/>
            <w:shd w:val="clear" w:color="auto" w:fill="CFF0FC"/>
          </w:tcPr>
          <w:p>
            <w:pPr>
              <w:spacing w:after="0"/>
              <w:rPr>
                <w:sz w:val="19"/>
                <w:szCs w:val="19"/>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15,207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12,513</w:t>
            </w:r>
          </w:p>
        </w:tc>
        <w:tc>
          <w:tcPr>
            <w:tcW w:w="120" w:type="dxa"/>
            <w:vAlign w:val="bottom"/>
          </w:tcPr>
          <w:p>
            <w:pPr>
              <w:spacing w:after="0"/>
              <w:rPr>
                <w:sz w:val="19"/>
                <w:szCs w:val="19"/>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related party</w:t>
            </w:r>
          </w:p>
        </w:tc>
        <w:tc>
          <w:tcPr>
            <w:tcW w:w="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20,419</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12,079</w:t>
            </w:r>
          </w:p>
        </w:tc>
        <w:tc>
          <w:tcPr>
            <w:tcW w:w="120" w:type="dxa"/>
            <w:vAlign w:val="bottom"/>
            <w:shd w:val="clear" w:color="auto" w:fill="CFF0FC"/>
          </w:tcPr>
          <w:p>
            <w:pPr>
              <w:spacing w:after="0"/>
              <w:rPr>
                <w:sz w:val="19"/>
                <w:szCs w:val="19"/>
                <w:color w:val="auto"/>
              </w:rPr>
            </w:pPr>
          </w:p>
        </w:tc>
      </w:tr>
      <w:tr>
        <w:trPr>
          <w:trHeight w:val="223"/>
        </w:trPr>
        <w:tc>
          <w:tcPr>
            <w:tcW w:w="72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42,041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31,625</w:t>
            </w:r>
          </w:p>
        </w:tc>
        <w:tc>
          <w:tcPr>
            <w:tcW w:w="120" w:type="dxa"/>
            <w:vAlign w:val="bottom"/>
          </w:tcPr>
          <w:p>
            <w:pPr>
              <w:spacing w:after="0"/>
              <w:rPr>
                <w:sz w:val="19"/>
                <w:szCs w:val="19"/>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Lease incentive obligation, net of current portion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8,989</w:t>
            </w:r>
          </w:p>
        </w:tc>
        <w:tc>
          <w:tcPr>
            <w:tcW w:w="120" w:type="dxa"/>
            <w:vAlign w:val="bottom"/>
            <w:shd w:val="clear" w:color="auto" w:fill="CFF0FC"/>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Deferred rent</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9"/>
                <w:szCs w:val="19"/>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portion - related party</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116,840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84,847</w:t>
            </w:r>
          </w:p>
        </w:tc>
        <w:tc>
          <w:tcPr>
            <w:tcW w:w="120" w:type="dxa"/>
            <w:vAlign w:val="bottom"/>
            <w:shd w:val="clear" w:color="auto" w:fill="CFF0FC"/>
          </w:tcPr>
          <w:p>
            <w:pPr>
              <w:spacing w:after="0"/>
              <w:rPr>
                <w:sz w:val="19"/>
                <w:szCs w:val="19"/>
                <w:color w:val="auto"/>
              </w:rPr>
            </w:pPr>
          </w:p>
        </w:tc>
      </w:tr>
      <w:tr>
        <w:trPr>
          <w:trHeight w:val="230"/>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7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FF0FC"/>
            </w:tcBorders>
          </w:tcPr>
          <w:p>
            <w:pPr>
              <w:spacing w:after="0"/>
              <w:rPr>
                <w:sz w:val="19"/>
                <w:szCs w:val="19"/>
                <w:color w:val="auto"/>
              </w:rPr>
            </w:pPr>
          </w:p>
        </w:tc>
      </w:tr>
      <w:tr>
        <w:trPr>
          <w:trHeight w:val="223"/>
        </w:trPr>
        <w:tc>
          <w:tcPr>
            <w:tcW w:w="7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168,517</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128,823</w:t>
            </w:r>
          </w:p>
        </w:tc>
        <w:tc>
          <w:tcPr>
            <w:tcW w:w="120" w:type="dxa"/>
            <w:vAlign w:val="bottom"/>
            <w:shd w:val="clear" w:color="auto" w:fill="CFF0FC"/>
          </w:tcPr>
          <w:p>
            <w:pPr>
              <w:spacing w:after="0"/>
              <w:rPr>
                <w:sz w:val="19"/>
                <w:szCs w:val="19"/>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280" w:type="dxa"/>
            <w:vAlign w:val="bottom"/>
          </w:tcPr>
          <w:p>
            <w:pPr>
              <w:ind w:left="260"/>
              <w:spacing w:after="0"/>
              <w:rPr>
                <w:sz w:val="20"/>
                <w:szCs w:val="20"/>
                <w:color w:val="auto"/>
              </w:rPr>
            </w:pPr>
            <w:r>
              <w:rPr>
                <w:rFonts w:ascii="Arial" w:cs="Arial" w:eastAsia="Arial" w:hAnsi="Arial"/>
                <w:sz w:val="18"/>
                <w:szCs w:val="18"/>
                <w:color w:val="auto"/>
              </w:rPr>
              <w:t>Preferred stock, $0.001 par value; 10,000,000 shares authorized at December 31, 2018</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280" w:type="dxa"/>
            <w:vAlign w:val="bottom"/>
          </w:tcPr>
          <w:p>
            <w:pPr>
              <w:ind w:left="380"/>
              <w:spacing w:after="0"/>
              <w:rPr>
                <w:sz w:val="20"/>
                <w:szCs w:val="20"/>
                <w:color w:val="auto"/>
              </w:rPr>
            </w:pPr>
            <w:r>
              <w:rPr>
                <w:rFonts w:ascii="Arial" w:cs="Arial" w:eastAsia="Arial" w:hAnsi="Arial"/>
                <w:sz w:val="18"/>
                <w:szCs w:val="18"/>
                <w:color w:val="auto"/>
              </w:rPr>
              <w:t>and 2017; no shares issued and outstanding at December 31, 2018 and 2017</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Common stock, $0.001 par value; 200,000,000 shares authorized at December 31, 2018</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and 2017; 40,936,735 and 40,571,015 shares issued and outstanding</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2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at December 31, 2018 and 2017</w:t>
            </w:r>
          </w:p>
        </w:tc>
        <w:tc>
          <w:tcPr>
            <w:tcW w:w="7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20"/>
                <w:szCs w:val="20"/>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341,284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324,376</w:t>
            </w:r>
          </w:p>
        </w:tc>
        <w:tc>
          <w:tcPr>
            <w:tcW w:w="120" w:type="dxa"/>
            <w:vAlign w:val="bottom"/>
          </w:tcPr>
          <w:p>
            <w:pPr>
              <w:spacing w:after="0"/>
              <w:rPr>
                <w:sz w:val="19"/>
                <w:szCs w:val="19"/>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(146)</w:t>
            </w: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(389,370)</w:t>
            </w:r>
          </w:p>
        </w:tc>
        <w:tc>
          <w:tcPr>
            <w:tcW w:w="4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(263,571)</w:t>
            </w:r>
          </w:p>
        </w:tc>
      </w:tr>
      <w:tr>
        <w:trPr>
          <w:trHeight w:val="223"/>
        </w:trPr>
        <w:tc>
          <w:tcPr>
            <w:tcW w:w="72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 (deficit)</w:t>
            </w:r>
          </w:p>
        </w:tc>
        <w:tc>
          <w:tcPr>
            <w:tcW w:w="7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(48,045)</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2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 (deficit)</w:t>
            </w:r>
          </w:p>
        </w:tc>
        <w:tc>
          <w:tcPr>
            <w:tcW w:w="7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120,472</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189,522</w:t>
            </w:r>
          </w:p>
        </w:tc>
        <w:tc>
          <w:tcPr>
            <w:tcW w:w="12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Collaboration revenue - related party</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26,917</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32,100</w:t>
            </w:r>
          </w:p>
        </w:tc>
        <w:tc>
          <w:tcPr>
            <w:tcW w:w="26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revenue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7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Research and development expenses</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95,955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89,455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128,551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123,495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(100,284)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(91,395)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(expense), net</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7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(98,942)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(89,380)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(2.43)</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(2.21)</w:t>
            </w: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FF0FC"/>
            </w:tcBorders>
            <w:vMerge w:val="continue"/>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40,743,492</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40,449,410</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39,846,928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Unrealized gain (loss) on investments, net of tax of $0</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 (loss)</w:t>
            </w:r>
          </w:p>
        </w:tc>
        <w:tc>
          <w:tcPr>
            <w:tcW w:w="7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Comprehensive loss</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436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Stockholders</w:t>
            </w:r>
          </w:p>
        </w:tc>
      </w:tr>
      <w:tr>
        <w:trPr>
          <w:trHeight w:val="156"/>
        </w:trPr>
        <w:tc>
          <w:tcPr>
            <w:tcW w:w="4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63"/>
              <w:spacing w:after="0" w:line="156" w:lineRule="exact"/>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500"/>
              <w:spacing w:after="0" w:line="156" w:lineRule="exact"/>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jc w:val="center"/>
              <w:ind w:right="220"/>
              <w:spacing w:after="0" w:line="156"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3"/>
                <w:szCs w:val="13"/>
                <w:color w:val="auto"/>
              </w:rPr>
            </w:pPr>
          </w:p>
        </w:tc>
        <w:tc>
          <w:tcPr>
            <w:tcW w:w="1020" w:type="dxa"/>
            <w:vAlign w:val="bottom"/>
            <w:gridSpan w:val="2"/>
          </w:tcPr>
          <w:p>
            <w:pPr>
              <w:jc w:val="right"/>
              <w:ind w:right="160"/>
              <w:spacing w:after="0" w:line="156"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88"/>
              </w:rPr>
              <w:t>Equity</w:t>
            </w:r>
          </w:p>
        </w:tc>
      </w:tr>
      <w:tr>
        <w:trPr>
          <w:trHeight w:val="161"/>
        </w:trPr>
        <w:tc>
          <w:tcPr>
            <w:tcW w:w="436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ind w:right="3"/>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Capital</w:t>
            </w: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Income (Loss)</w:t>
            </w:r>
          </w:p>
        </w:tc>
        <w:tc>
          <w:tcPr>
            <w:tcW w:w="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r>
      <w:tr>
        <w:trPr>
          <w:trHeight w:val="210"/>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at December 31, 2015</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39,082,017</w:t>
            </w: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287,937</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(82,612)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205,394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360" w:type="dxa"/>
            <w:vAlign w:val="bottom"/>
          </w:tcPr>
          <w:p>
            <w:pPr>
              <w:ind w:left="260"/>
              <w:spacing w:after="0"/>
              <w:rPr>
                <w:sz w:val="20"/>
                <w:szCs w:val="20"/>
                <w:color w:val="auto"/>
              </w:rPr>
            </w:pPr>
            <w:r>
              <w:rPr>
                <w:rFonts w:ascii="Arial" w:cs="Arial" w:eastAsia="Arial" w:hAnsi="Arial"/>
                <w:sz w:val="17"/>
                <w:szCs w:val="17"/>
                <w:color w:val="auto"/>
                <w:w w:val="93"/>
              </w:rPr>
              <w:t>Issuance of common stock upon exercise of stock options</w:t>
            </w:r>
          </w:p>
        </w:tc>
        <w:tc>
          <w:tcPr>
            <w:tcW w:w="960" w:type="dxa"/>
            <w:vAlign w:val="bottom"/>
          </w:tcPr>
          <w:p>
            <w:pPr>
              <w:jc w:val="right"/>
              <w:spacing w:after="0"/>
              <w:rPr>
                <w:sz w:val="20"/>
                <w:szCs w:val="20"/>
                <w:color w:val="auto"/>
              </w:rPr>
            </w:pPr>
            <w:r>
              <w:rPr>
                <w:rFonts w:ascii="Arial" w:cs="Arial" w:eastAsia="Arial" w:hAnsi="Arial"/>
                <w:sz w:val="17"/>
                <w:szCs w:val="17"/>
                <w:color w:val="auto"/>
              </w:rPr>
              <w:t>1,273,736</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2,138</w:t>
            </w:r>
          </w:p>
        </w:tc>
        <w:tc>
          <w:tcPr>
            <w:tcW w:w="120" w:type="dxa"/>
            <w:vAlign w:val="bottom"/>
          </w:tcPr>
          <w:p>
            <w:pPr>
              <w:spacing w:after="0"/>
              <w:rPr>
                <w:sz w:val="18"/>
                <w:szCs w:val="18"/>
                <w:color w:val="auto"/>
              </w:rPr>
            </w:pPr>
          </w:p>
        </w:tc>
      </w:tr>
      <w:tr>
        <w:trPr>
          <w:trHeight w:val="216"/>
        </w:trPr>
        <w:tc>
          <w:tcPr>
            <w:tcW w:w="43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Stock-based compensation expense</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16,857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16,857</w:t>
            </w: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ind w:left="260"/>
              <w:spacing w:after="0"/>
              <w:rPr>
                <w:sz w:val="20"/>
                <w:szCs w:val="20"/>
                <w:color w:val="auto"/>
              </w:rPr>
            </w:pPr>
            <w:r>
              <w:rPr>
                <w:rFonts w:ascii="Arial" w:cs="Arial" w:eastAsia="Arial" w:hAnsi="Arial"/>
                <w:sz w:val="17"/>
                <w:szCs w:val="17"/>
                <w:color w:val="auto"/>
              </w:rPr>
              <w:t>Unrealized loss on investments</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(179)</w:t>
            </w:r>
          </w:p>
        </w:tc>
      </w:tr>
      <w:tr>
        <w:trPr>
          <w:trHeight w:val="216"/>
        </w:trPr>
        <w:tc>
          <w:tcPr>
            <w:tcW w:w="43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loss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(91,579)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(91,579)</w:t>
            </w:r>
          </w:p>
        </w:tc>
      </w:tr>
      <w:tr>
        <w:trPr>
          <w:trHeight w:val="210"/>
        </w:trPr>
        <w:tc>
          <w:tcPr>
            <w:tcW w:w="4360" w:type="dxa"/>
            <w:vAlign w:val="bottom"/>
          </w:tcPr>
          <w:p>
            <w:pPr>
              <w:spacing w:after="0"/>
              <w:rPr>
                <w:sz w:val="20"/>
                <w:szCs w:val="20"/>
                <w:color w:val="auto"/>
              </w:rPr>
            </w:pPr>
            <w:r>
              <w:rPr>
                <w:rFonts w:ascii="Arial" w:cs="Arial" w:eastAsia="Arial" w:hAnsi="Arial"/>
                <w:sz w:val="17"/>
                <w:szCs w:val="17"/>
                <w:b w:val="1"/>
                <w:bCs w:val="1"/>
                <w:color w:val="auto"/>
              </w:rPr>
              <w:t>Balance at December 31, 2016</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40,355,753</w:t>
            </w: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306,931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132,631</w:t>
            </w:r>
          </w:p>
        </w:tc>
        <w:tc>
          <w:tcPr>
            <w:tcW w:w="120" w:type="dxa"/>
            <w:vAlign w:val="bottom"/>
          </w:tcPr>
          <w:p>
            <w:pPr>
              <w:spacing w:after="0"/>
              <w:rPr>
                <w:sz w:val="18"/>
                <w:szCs w:val="18"/>
                <w:color w:val="auto"/>
              </w:rPr>
            </w:pPr>
          </w:p>
        </w:tc>
      </w:tr>
      <w:tr>
        <w:trPr>
          <w:trHeight w:val="216"/>
        </w:trPr>
        <w:tc>
          <w:tcPr>
            <w:tcW w:w="436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3"/>
              </w:rPr>
              <w:t>Issuance of common stock upon exercise 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174,386</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FF0FC"/>
          </w:tcPr>
          <w:p>
            <w:pPr>
              <w:spacing w:after="0"/>
              <w:rPr>
                <w:sz w:val="18"/>
                <w:szCs w:val="18"/>
                <w:color w:val="auto"/>
              </w:rPr>
            </w:pPr>
          </w:p>
        </w:tc>
      </w:tr>
      <w:tr>
        <w:trPr>
          <w:trHeight w:val="198"/>
        </w:trPr>
        <w:tc>
          <w:tcPr>
            <w:tcW w:w="4360" w:type="dxa"/>
            <w:vAlign w:val="bottom"/>
          </w:tcPr>
          <w:p>
            <w:pPr>
              <w:ind w:left="260"/>
              <w:spacing w:after="0"/>
              <w:rPr>
                <w:sz w:val="20"/>
                <w:szCs w:val="20"/>
                <w:color w:val="auto"/>
              </w:rPr>
            </w:pPr>
            <w:r>
              <w:rPr>
                <w:rFonts w:ascii="Arial" w:cs="Arial" w:eastAsia="Arial" w:hAnsi="Arial"/>
                <w:sz w:val="17"/>
                <w:szCs w:val="17"/>
                <w:color w:val="auto"/>
                <w:w w:val="96"/>
              </w:rPr>
              <w:t>Issuance of common stock upon vesting of RSUs, net of</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360" w:type="dxa"/>
            <w:vAlign w:val="bottom"/>
          </w:tcPr>
          <w:p>
            <w:pPr>
              <w:ind w:left="260"/>
              <w:spacing w:after="0"/>
              <w:rPr>
                <w:sz w:val="20"/>
                <w:szCs w:val="20"/>
                <w:color w:val="auto"/>
              </w:rPr>
            </w:pPr>
            <w:r>
              <w:rPr>
                <w:rFonts w:ascii="Arial" w:cs="Arial" w:eastAsia="Arial" w:hAnsi="Arial"/>
                <w:sz w:val="17"/>
                <w:szCs w:val="17"/>
                <w:color w:val="auto"/>
              </w:rPr>
              <w:t>tax</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4360" w:type="dxa"/>
            <w:vAlign w:val="bottom"/>
          </w:tcPr>
          <w:p>
            <w:pPr>
              <w:ind w:left="380"/>
              <w:spacing w:after="0"/>
              <w:rPr>
                <w:sz w:val="20"/>
                <w:szCs w:val="20"/>
                <w:color w:val="auto"/>
              </w:rPr>
            </w:pPr>
            <w:r>
              <w:rPr>
                <w:rFonts w:ascii="Arial" w:cs="Arial" w:eastAsia="Arial" w:hAnsi="Arial"/>
                <w:sz w:val="17"/>
                <w:szCs w:val="17"/>
                <w:color w:val="auto"/>
              </w:rPr>
              <w:t>withholdings</w:t>
            </w:r>
          </w:p>
        </w:tc>
        <w:tc>
          <w:tcPr>
            <w:tcW w:w="960" w:type="dxa"/>
            <w:vAlign w:val="bottom"/>
          </w:tcPr>
          <w:p>
            <w:pPr>
              <w:jc w:val="right"/>
              <w:spacing w:after="0"/>
              <w:rPr>
                <w:sz w:val="20"/>
                <w:szCs w:val="20"/>
                <w:color w:val="auto"/>
              </w:rPr>
            </w:pPr>
            <w:r>
              <w:rPr>
                <w:rFonts w:ascii="Arial" w:cs="Arial" w:eastAsia="Arial" w:hAnsi="Arial"/>
                <w:sz w:val="17"/>
                <w:szCs w:val="17"/>
                <w:color w:val="auto"/>
              </w:rPr>
              <w:t>40,876</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(33)</w:t>
            </w:r>
          </w:p>
        </w:tc>
      </w:tr>
      <w:tr>
        <w:trPr>
          <w:trHeight w:val="218"/>
        </w:trPr>
        <w:tc>
          <w:tcPr>
            <w:tcW w:w="43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Stock-based compensation expense</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17,362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17,362</w:t>
            </w: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ind w:left="260"/>
              <w:spacing w:after="0"/>
              <w:rPr>
                <w:sz w:val="20"/>
                <w:szCs w:val="20"/>
                <w:color w:val="auto"/>
              </w:rPr>
            </w:pPr>
            <w:r>
              <w:rPr>
                <w:rFonts w:ascii="Arial" w:cs="Arial" w:eastAsia="Arial" w:hAnsi="Arial"/>
                <w:sz w:val="17"/>
                <w:szCs w:val="17"/>
                <w:color w:val="auto"/>
              </w:rPr>
              <w:t>Unrealized gain on investments</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r>
      <w:tr>
        <w:trPr>
          <w:trHeight w:val="216"/>
        </w:trPr>
        <w:tc>
          <w:tcPr>
            <w:tcW w:w="43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loss</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(89,380)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(89,380)</w:t>
            </w:r>
          </w:p>
        </w:tc>
      </w:tr>
      <w:tr>
        <w:trPr>
          <w:trHeight w:val="250"/>
        </w:trPr>
        <w:tc>
          <w:tcPr>
            <w:tcW w:w="4360" w:type="dxa"/>
            <w:vAlign w:val="bottom"/>
            <w:tcBorders>
              <w:bottom w:val="single" w:sz="8" w:color="CFF0FC"/>
            </w:tcBorders>
          </w:tcPr>
          <w:p>
            <w:pPr>
              <w:spacing w:after="0"/>
              <w:rPr>
                <w:sz w:val="20"/>
                <w:szCs w:val="20"/>
                <w:color w:val="auto"/>
              </w:rPr>
            </w:pPr>
            <w:r>
              <w:rPr>
                <w:rFonts w:ascii="Arial" w:cs="Arial" w:eastAsia="Arial" w:hAnsi="Arial"/>
                <w:sz w:val="17"/>
                <w:szCs w:val="17"/>
                <w:b w:val="1"/>
                <w:bCs w:val="1"/>
                <w:color w:val="auto"/>
              </w:rPr>
              <w:t>Balance at December 31, 2017</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40,571,015</w:t>
            </w:r>
          </w:p>
        </w:tc>
        <w:tc>
          <w:tcPr>
            <w:tcW w:w="220" w:type="dxa"/>
            <w:vAlign w:val="bottom"/>
            <w:tcBorders>
              <w:bottom w:val="single" w:sz="8" w:color="CFF0FC"/>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324,376</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22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(263,571</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60,699</w:t>
            </w:r>
          </w:p>
        </w:tc>
        <w:tc>
          <w:tcPr>
            <w:tcW w:w="120" w:type="dxa"/>
            <w:vAlign w:val="bottom"/>
            <w:tcBorders>
              <w:bottom w:val="single" w:sz="8" w:color="CFF0FC"/>
            </w:tcBorders>
          </w:tcPr>
          <w:p>
            <w:pPr>
              <w:spacing w:after="0"/>
              <w:rPr>
                <w:sz w:val="21"/>
                <w:szCs w:val="21"/>
                <w:color w:val="auto"/>
              </w:rPr>
            </w:pPr>
          </w:p>
        </w:tc>
      </w:tr>
      <w:tr>
        <w:trPr>
          <w:trHeight w:val="197"/>
        </w:trPr>
        <w:tc>
          <w:tcPr>
            <w:tcW w:w="4360" w:type="dxa"/>
            <w:vAlign w:val="bottom"/>
            <w:shd w:val="clear" w:color="auto" w:fill="CFF0FC"/>
          </w:tcPr>
          <w:p>
            <w:pPr>
              <w:ind w:left="260"/>
              <w:spacing w:after="0" w:line="193" w:lineRule="exact"/>
              <w:rPr>
                <w:sz w:val="20"/>
                <w:szCs w:val="20"/>
                <w:color w:val="auto"/>
              </w:rPr>
            </w:pPr>
            <w:r>
              <w:rPr>
                <w:rFonts w:ascii="Arial" w:cs="Arial" w:eastAsia="Arial" w:hAnsi="Arial"/>
                <w:sz w:val="17"/>
                <w:szCs w:val="17"/>
                <w:color w:val="auto"/>
                <w:w w:val="93"/>
              </w:rPr>
              <w:t>Issuance of common stock upon exercise 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212,240</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CFF0FC"/>
          </w:tcPr>
          <w:p>
            <w:pPr>
              <w:spacing w:after="0"/>
              <w:rPr>
                <w:sz w:val="17"/>
                <w:szCs w:val="17"/>
                <w:color w:val="auto"/>
              </w:rPr>
            </w:pPr>
          </w:p>
        </w:tc>
      </w:tr>
      <w:tr>
        <w:trPr>
          <w:trHeight w:val="198"/>
        </w:trPr>
        <w:tc>
          <w:tcPr>
            <w:tcW w:w="4360" w:type="dxa"/>
            <w:vAlign w:val="bottom"/>
          </w:tcPr>
          <w:p>
            <w:pPr>
              <w:ind w:left="260"/>
              <w:spacing w:after="0"/>
              <w:rPr>
                <w:sz w:val="20"/>
                <w:szCs w:val="20"/>
                <w:color w:val="auto"/>
              </w:rPr>
            </w:pPr>
            <w:r>
              <w:rPr>
                <w:rFonts w:ascii="Arial" w:cs="Arial" w:eastAsia="Arial" w:hAnsi="Arial"/>
                <w:sz w:val="17"/>
                <w:szCs w:val="17"/>
                <w:color w:val="auto"/>
                <w:w w:val="96"/>
              </w:rPr>
              <w:t>Issuance of common stock upon vesting of RSUs, net of</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360" w:type="dxa"/>
            <w:vAlign w:val="bottom"/>
          </w:tcPr>
          <w:p>
            <w:pPr>
              <w:ind w:left="260"/>
              <w:spacing w:after="0"/>
              <w:rPr>
                <w:sz w:val="20"/>
                <w:szCs w:val="20"/>
                <w:color w:val="auto"/>
              </w:rPr>
            </w:pPr>
            <w:r>
              <w:rPr>
                <w:rFonts w:ascii="Arial" w:cs="Arial" w:eastAsia="Arial" w:hAnsi="Arial"/>
                <w:sz w:val="17"/>
                <w:szCs w:val="17"/>
                <w:color w:val="auto"/>
              </w:rPr>
              <w:t>tax</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4360" w:type="dxa"/>
            <w:vAlign w:val="bottom"/>
          </w:tcPr>
          <w:p>
            <w:pPr>
              <w:ind w:left="380"/>
              <w:spacing w:after="0"/>
              <w:rPr>
                <w:sz w:val="20"/>
                <w:szCs w:val="20"/>
                <w:color w:val="auto"/>
              </w:rPr>
            </w:pPr>
            <w:r>
              <w:rPr>
                <w:rFonts w:ascii="Arial" w:cs="Arial" w:eastAsia="Arial" w:hAnsi="Arial"/>
                <w:sz w:val="17"/>
                <w:szCs w:val="17"/>
                <w:color w:val="auto"/>
              </w:rPr>
              <w:t>withholdings</w:t>
            </w:r>
          </w:p>
        </w:tc>
        <w:tc>
          <w:tcPr>
            <w:tcW w:w="960" w:type="dxa"/>
            <w:vAlign w:val="bottom"/>
          </w:tcPr>
          <w:p>
            <w:pPr>
              <w:jc w:val="right"/>
              <w:spacing w:after="0"/>
              <w:rPr>
                <w:sz w:val="20"/>
                <w:szCs w:val="20"/>
                <w:color w:val="auto"/>
              </w:rPr>
            </w:pPr>
            <w:r>
              <w:rPr>
                <w:rFonts w:ascii="Arial" w:cs="Arial" w:eastAsia="Arial" w:hAnsi="Arial"/>
                <w:sz w:val="17"/>
                <w:szCs w:val="17"/>
                <w:color w:val="auto"/>
              </w:rPr>
              <w:t>138,048</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8"/>
                <w:szCs w:val="18"/>
                <w:color w:val="auto"/>
              </w:rPr>
            </w:pPr>
          </w:p>
        </w:tc>
      </w:tr>
      <w:tr>
        <w:trPr>
          <w:trHeight w:val="200"/>
        </w:trPr>
        <w:tc>
          <w:tcPr>
            <w:tcW w:w="43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Repurchase of common stock for employee tax</w:t>
            </w: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43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withholdings</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(17,900)</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(197)</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(197)</w:t>
            </w:r>
          </w:p>
        </w:tc>
      </w:tr>
      <w:tr>
        <w:trPr>
          <w:trHeight w:val="216"/>
        </w:trPr>
        <w:tc>
          <w:tcPr>
            <w:tcW w:w="4360" w:type="dxa"/>
            <w:vAlign w:val="bottom"/>
          </w:tcPr>
          <w:p>
            <w:pPr>
              <w:ind w:left="260"/>
              <w:spacing w:after="0"/>
              <w:rPr>
                <w:sz w:val="20"/>
                <w:szCs w:val="20"/>
                <w:color w:val="auto"/>
              </w:rPr>
            </w:pPr>
            <w:r>
              <w:rPr>
                <w:rFonts w:ascii="Arial" w:cs="Arial" w:eastAsia="Arial" w:hAnsi="Arial"/>
                <w:sz w:val="17"/>
                <w:szCs w:val="17"/>
                <w:color w:val="auto"/>
              </w:rPr>
              <w:t>Issuance of common stock under ESPP plan</w:t>
            </w:r>
          </w:p>
        </w:tc>
        <w:tc>
          <w:tcPr>
            <w:tcW w:w="960" w:type="dxa"/>
            <w:vAlign w:val="bottom"/>
          </w:tcPr>
          <w:p>
            <w:pPr>
              <w:jc w:val="right"/>
              <w:spacing w:after="0"/>
              <w:rPr>
                <w:sz w:val="20"/>
                <w:szCs w:val="20"/>
                <w:color w:val="auto"/>
              </w:rPr>
            </w:pPr>
            <w:r>
              <w:rPr>
                <w:rFonts w:ascii="Arial" w:cs="Arial" w:eastAsia="Arial" w:hAnsi="Arial"/>
                <w:sz w:val="17"/>
                <w:szCs w:val="17"/>
                <w:color w:val="auto"/>
              </w:rPr>
              <w:t>33,332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8"/>
                <w:szCs w:val="18"/>
                <w:color w:val="auto"/>
              </w:rPr>
            </w:pPr>
          </w:p>
        </w:tc>
      </w:tr>
      <w:tr>
        <w:trPr>
          <w:trHeight w:val="216"/>
        </w:trPr>
        <w:tc>
          <w:tcPr>
            <w:tcW w:w="43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Stock-based compensation expense</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16,641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16,641</w:t>
            </w: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ind w:left="260"/>
              <w:spacing w:after="0"/>
              <w:rPr>
                <w:sz w:val="20"/>
                <w:szCs w:val="20"/>
                <w:color w:val="auto"/>
              </w:rPr>
            </w:pPr>
            <w:r>
              <w:rPr>
                <w:rFonts w:ascii="Arial" w:cs="Arial" w:eastAsia="Arial" w:hAnsi="Arial"/>
                <w:sz w:val="17"/>
                <w:szCs w:val="17"/>
                <w:color w:val="auto"/>
              </w:rPr>
              <w:t>Unrealized gain on investments</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8"/>
                <w:szCs w:val="18"/>
                <w:color w:val="auto"/>
              </w:rPr>
            </w:pPr>
          </w:p>
        </w:tc>
      </w:tr>
      <w:tr>
        <w:trPr>
          <w:trHeight w:val="216"/>
        </w:trPr>
        <w:tc>
          <w:tcPr>
            <w:tcW w:w="43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Adoption of new revenue standard (ASC 606)</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(26,857)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(26,857)</w:t>
            </w:r>
          </w:p>
        </w:tc>
      </w:tr>
      <w:tr>
        <w:trPr>
          <w:trHeight w:val="216"/>
        </w:trPr>
        <w:tc>
          <w:tcPr>
            <w:tcW w:w="436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(98,942)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(98,942)</w:t>
            </w:r>
          </w:p>
        </w:tc>
      </w:tr>
      <w:tr>
        <w:trPr>
          <w:trHeight w:val="210"/>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 at December 31, 2018</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40,936,735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ind w:right="543"/>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341,284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(389,370</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(48,045)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8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(98,942)</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(89,380)</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(91,579)</w:t>
            </w:r>
          </w:p>
        </w:tc>
        <w:tc>
          <w:tcPr>
            <w:tcW w:w="0" w:type="dxa"/>
            <w:vAlign w:val="bottom"/>
          </w:tcPr>
          <w:p>
            <w:pPr>
              <w:spacing w:after="0"/>
              <w:rPr>
                <w:sz w:val="1"/>
                <w:szCs w:val="1"/>
                <w:color w:val="auto"/>
              </w:rPr>
            </w:pPr>
          </w:p>
        </w:tc>
      </w:tr>
      <w:tr>
        <w:trPr>
          <w:trHeight w:val="215"/>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provided by (used in)</w:t>
            </w: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activities:</w:t>
            </w:r>
          </w:p>
        </w:tc>
        <w:tc>
          <w:tcPr>
            <w:tcW w:w="6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17,362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expense</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500"/>
              <w:spacing w:after="0"/>
              <w:rPr>
                <w:sz w:val="20"/>
                <w:szCs w:val="20"/>
                <w:color w:val="auto"/>
              </w:rPr>
            </w:pPr>
            <w:r>
              <w:rPr>
                <w:rFonts w:ascii="Arial" w:cs="Arial" w:eastAsia="Arial" w:hAnsi="Arial"/>
                <w:sz w:val="18"/>
                <w:szCs w:val="18"/>
                <w:color w:val="auto"/>
              </w:rPr>
              <w:t>Non-cash interest expense</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Accretion of discount on investments</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61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30"/>
        </w:trPr>
        <w:tc>
          <w:tcPr>
            <w:tcW w:w="618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(11,888)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6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6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(62,854)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(75,523)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(1,937)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(4,676)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(21,492)</w:t>
            </w:r>
          </w:p>
        </w:tc>
        <w:tc>
          <w:tcPr>
            <w:tcW w:w="0" w:type="dxa"/>
            <w:vAlign w:val="bottom"/>
          </w:tcPr>
          <w:p>
            <w:pPr>
              <w:spacing w:after="0"/>
              <w:rPr>
                <w:sz w:val="1"/>
                <w:szCs w:val="1"/>
                <w:color w:val="auto"/>
              </w:rPr>
            </w:pPr>
          </w:p>
        </w:tc>
      </w:tr>
      <w:tr>
        <w:trPr>
          <w:trHeight w:val="230"/>
        </w:trPr>
        <w:tc>
          <w:tcPr>
            <w:tcW w:w="618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(21,832)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(97,934)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(290,594)</w:t>
            </w: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maturities of investments</w:t>
            </w:r>
          </w:p>
        </w:tc>
        <w:tc>
          <w:tcPr>
            <w:tcW w:w="6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136,087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158,312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6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112,318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55,702</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and restricted common stock</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tcPr>
          <w:p>
            <w:pPr>
              <w:ind w:left="260"/>
              <w:spacing w:after="0"/>
              <w:rPr>
                <w:sz w:val="20"/>
                <w:szCs w:val="20"/>
                <w:color w:val="auto"/>
              </w:rPr>
            </w:pPr>
            <w:r>
              <w:rPr>
                <w:rFonts w:ascii="Arial" w:cs="Arial" w:eastAsia="Arial" w:hAnsi="Arial"/>
                <w:sz w:val="18"/>
                <w:szCs w:val="18"/>
                <w:color w:val="auto"/>
              </w:rPr>
              <w:t>Payments for repurchase of common stock for employee tax withholdings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under ESPP plan</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6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6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55,939</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6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85,933</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36,201</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1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80" w:type="dxa"/>
            <w:vAlign w:val="bottom"/>
          </w:tcPr>
          <w:p>
            <w:pPr>
              <w:ind w:left="140"/>
              <w:spacing w:after="0"/>
              <w:rPr>
                <w:sz w:val="20"/>
                <w:szCs w:val="20"/>
                <w:color w:val="auto"/>
              </w:rPr>
            </w:pPr>
            <w:r>
              <w:rPr>
                <w:rFonts w:ascii="Arial" w:cs="Arial" w:eastAsia="Arial" w:hAnsi="Arial"/>
                <w:sz w:val="18"/>
                <w:szCs w:val="18"/>
                <w:b w:val="1"/>
                <w:bCs w:val="1"/>
                <w:color w:val="auto"/>
              </w:rPr>
              <w:t>activities:</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purchases included in accounts payable and</w:t>
            </w: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Seres Therapeutics, Inc. (the “Company”) was incorporated under the laws of the State of Delaware in October 2010 under the name Newco LS21, Inc. In October 2011, the Company changed its name to Seres Health, Inc., and in May 2015, the Company changed its name to Seres Therapeutics, Inc. The Company is a microbiome therapeutics platform company developing a novel class of biological drugs, which are designed to restore health by repairing the function of a dysbiotic microbiome. SER-287 is being developed by the Company to treat ulcerative colitis (“UC”). The Company’s lead product candidate, SER-109, is designed to prevent further recurrences of Clostridium difficile infection (“CDI”), a debilitating infection of the colon, and, if approved by the U.S. Food and Drug Administration (“FDA”), could be a first-in-field oral microbiome drug. The Company is also developing product candidates to treat diseases where the microbiome is implicated, including SER-301, a rationally designed, fermented inflammatory bowel disease (“IBD”), candidate, and SER-401, a microbiome therapeutic candidate for use with checkpoint inhibitors (“CPI’s”) in patients with metastatic melanoma. The Company continues to evaluate microbiome pharmacokinetic and pharmacodynamic data from their SER-262 Phase 1b study and other completed clinical trials, in addition to insights gained from research efforts with their other rationally designed Ecobiotic microbiome therapeutic candidates, in order to determine next steps in the development of both SER-262 to treat an initial recurrence of CDI and SER-155 to modulate the microbiome and dysbiosis in patients following allogeneic hematopoietic stem cell transplants. The Company is also using its microbiome therapeutics platform to conduct research on various indications, including: infectious diseases, metabolic diseases, and inflammatory and immune diseases and cancer.</w:t>
      </w:r>
    </w:p>
    <w:p>
      <w:pPr>
        <w:spacing w:after="0" w:line="175" w:lineRule="exact"/>
        <w:rPr>
          <w:sz w:val="20"/>
          <w:szCs w:val="20"/>
          <w:color w:val="auto"/>
        </w:rPr>
      </w:pPr>
    </w:p>
    <w:p>
      <w:pPr>
        <w:ind w:right="360" w:firstLine="518"/>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9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 xml:space="preserve">Under Accounting Standards Update (“ASU”)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(Subtopic 205-40) (“ASC 205-40”), the Company has the responsibility to evaluate whether conditions and/or events raise substantial doubt about its ability to meet its future financial obligations as they become due within one year after the date that the financial statements are issued. As required by ASC 205-40, this evaluation shall initially not take into consideration the potential mitigating effects of plans that have not been fully implemented as of the date the financial statements are issued.</w:t>
      </w:r>
    </w:p>
    <w:p>
      <w:pPr>
        <w:spacing w:after="0" w:line="154"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 xml:space="preserve">As of December 31, 2018, the Company had an accumulated deficit of $389.4 million and cash and cash equivalents of $85.8 million. For </w:t>
      </w:r>
      <w:r>
        <w:rPr>
          <w:rFonts w:ascii="Arial" w:cs="Arial" w:eastAsia="Arial" w:hAnsi="Arial"/>
          <w:sz w:val="17"/>
          <w:szCs w:val="17"/>
          <w:color w:val="222222"/>
        </w:rPr>
        <w:t>the year</w:t>
      </w:r>
      <w:r>
        <w:rPr>
          <w:rFonts w:ascii="Arial" w:cs="Arial" w:eastAsia="Arial" w:hAnsi="Arial"/>
          <w:sz w:val="17"/>
          <w:szCs w:val="17"/>
          <w:color w:val="auto"/>
        </w:rPr>
        <w:t xml:space="preserve"> </w:t>
      </w:r>
      <w:r>
        <w:rPr>
          <w:rFonts w:ascii="Arial" w:cs="Arial" w:eastAsia="Arial" w:hAnsi="Arial"/>
          <w:sz w:val="17"/>
          <w:szCs w:val="17"/>
          <w:color w:val="222222"/>
        </w:rPr>
        <w:t xml:space="preserve">ended December 31, 2018, the Company incurred a loss of $98.9 million and used $62.9 million of cash in operations. </w:t>
      </w:r>
      <w:r>
        <w:rPr>
          <w:rFonts w:ascii="Arial" w:cs="Arial" w:eastAsia="Arial" w:hAnsi="Arial"/>
          <w:sz w:val="17"/>
          <w:szCs w:val="17"/>
          <w:color w:val="000000"/>
        </w:rPr>
        <w:t>Management has assessed the</w:t>
      </w:r>
      <w:r>
        <w:rPr>
          <w:rFonts w:ascii="Arial" w:cs="Arial" w:eastAsia="Arial" w:hAnsi="Arial"/>
          <w:sz w:val="17"/>
          <w:szCs w:val="17"/>
          <w:color w:val="222222"/>
        </w:rPr>
        <w:t xml:space="preserve"> </w:t>
      </w:r>
      <w:r>
        <w:rPr>
          <w:rFonts w:ascii="Arial" w:cs="Arial" w:eastAsia="Arial" w:hAnsi="Arial"/>
          <w:sz w:val="17"/>
          <w:szCs w:val="17"/>
          <w:color w:val="000000"/>
        </w:rPr>
        <w:t>Company’s ability to continue as a going concern in accordance with the requirements of ASC 205-40 and determined that the Company’s accumulated deficit, history of losses, and future expected losses meet the ASC 205-40 standard for raising substantial doubt about the Company’s ability to continue as a going concern within one year of the issuance date of these consolidated financial statements.</w:t>
      </w:r>
    </w:p>
    <w:p>
      <w:pPr>
        <w:spacing w:after="0" w:line="17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Company’s current financial resources and currently forecasted operating plan would allow the Company to operate into the fourth quarter of 2019 which is within one year from the issuance of these consolidated financial statements. The Company has developed plans to mitigate this risk, which primarily consist of raising additional capital through some combination of equity or debt financings, and/or potentially new collaborations and reducing cash expenditures.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If the Company is not able to secure adequate additional funding, the Company plans to make reductions in spending. In that event, the Company may have to delay, scale back, or eliminate some or all of the Company’s planned clinical trials and research stage programs. The actions necessary to reduce spending under this plan at a level that mitigates the factors described above is not considered probable, as defined in the accounting standards; as such, under the requirements of ASC 205-40, the full extent to which management may extend the Company’s funds through these actions may not be considered in management’s assessment of the Company’s ability to continue as a going concern for the next 12 months as defined by ASC-205-40.</w:t>
      </w:r>
    </w:p>
    <w:p>
      <w:pPr>
        <w:spacing w:after="0" w:line="158"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As a result, in accordance with the requirements of ASC 205-40, management has concluded that it is required to disclose that substantial doubt exists about the Company’s ability to continue as a going concern for one year from the date these financial statements are issued.</w:t>
      </w:r>
    </w:p>
    <w:p>
      <w:pPr>
        <w:spacing w:after="0" w:line="187"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The Company is eligible to receive contingent milestone payments under its license and collaboration agreement with Nestec Ltd. (“NHS”), an affiliate of Nestlé Health Science US Holdings, Inc. (“Nestlé Health Science”), a significant stockholder of the Company, if certain development milestones are achieved. However, these milestones are uncertain and there is no assurance that the Company will receive any of them. Until such time, if ever, as the Company can generate substantial product revenue, the Company will finance its cash needs through a combination of public or private equity offerings, debt financings, governmental funding, collaborations, strategic partnerships or marketing, distribution or licensing arrangements with third parties. The Company may not be able to obtain funding on acceptable terms, or at all. If the Company is unable to raise additional funds as and when needed, it would have a negative impact on the Company’s financial condition, which may require the Company to delay, reduce or eliminate certain research and development activities and reduce or eliminate discretionary operating expenses, which could constrain the Company’s ability to pursue its business strategies.</w:t>
      </w:r>
    </w:p>
    <w:p>
      <w:pPr>
        <w:spacing w:after="0" w:line="166" w:lineRule="exact"/>
        <w:rPr>
          <w:sz w:val="20"/>
          <w:szCs w:val="20"/>
          <w:color w:val="auto"/>
        </w:rPr>
      </w:pPr>
    </w:p>
    <w:p>
      <w:pPr>
        <w:ind w:right="560" w:firstLine="518"/>
        <w:spacing w:after="0" w:line="264"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(“GAAP”) and include the accounts of the Company and its wholly owned subsidiaries after elimination of all intercompany accounts and transactions.</w:t>
      </w:r>
    </w:p>
    <w:p>
      <w:pPr>
        <w:spacing w:after="0" w:line="366" w:lineRule="exact"/>
        <w:rPr>
          <w:sz w:val="20"/>
          <w:szCs w:val="20"/>
          <w:color w:val="auto"/>
        </w:rPr>
      </w:pPr>
    </w:p>
    <w:p>
      <w:pPr>
        <w:ind w:right="7520" w:firstLine="8"/>
        <w:spacing w:after="0" w:line="378" w:lineRule="auto"/>
        <w:tabs>
          <w:tab w:leader="none" w:pos="513"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firstLine="51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revenue recognition, the accrual of research and development expenses and the valuation of stock-based awards. Estimates are periodically reviewed in light of changes in circumstances, facts and experience. Actual results could differ from the Company’s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Company considers all short-term, highly liquid investments with original maturities of 90 days or less at acquisition date to be cash equivalents. Cash equivalents, which consist of money market accounts and corporate bonds purchased with original maturities of less than 90 days from the date of purchase, are stated at fair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The Company held cash of $113 as of December 31, 2018 and December 31, 2017 in a separate restricted bank account as a security deposit for the lease of the Company’s facilities. The Company has classified these deposits as long-term restricted cash on its balance sheet.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 classifies its available-for-sale marketable debt securities as current assets on the consolidated balance sheet if they mature within one year from the balance sheet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 classifies all of its marketable debt securities as available-for-sale securities. Accordingly, these marketable debt securities are recorded at fair value and unrealized gains and losses are reported as a separate component of accumulated other comprehensive income (loss) in stockholders’ equity (deficit). The cost of securities sold is determined on a specific identification basis, and realized gains and losses are included in other income (expense) within the consolidated statement of operations and comprehensive loss. If any adjustment to fair value reflects a decline in the value of the investment that the Company considers to be “other than temporary”, the Company reduces the investment to fair value through a charge to the consolidated statement of operations and comprehensive loss. No such adjustments were necessary during the periods presented.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Investments</w:t>
      </w:r>
    </w:p>
    <w:p>
      <w:pPr>
        <w:spacing w:after="0" w:line="135"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The Company held investments of $1,400 as of December 31, 2018 and December 31, 2017 in a separate restricted bank account as a security deposit for the lease of the Company’s facilities. The Company has classified these deposits as long-term restricted investments on its balance sheet.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21"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cash equivalents and investments. The Company has all cash, cash equivalents and investments balances at accredited financial institutions, in amounts that exceed federally insured limits. The Company does not believe that it is subject to unusual credit risk beyond the normal credit risk associated with commercial banking relationships.</w:t>
      </w:r>
    </w:p>
    <w:p>
      <w:pPr>
        <w:spacing w:after="0" w:line="147"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The Company is dependent on third-party manufacturers to supply products for research and development activities of its programs, including preclinical and clinical testing. These programs could be adversely affected by a significant interruption in the supply of such drug substance products.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40" w:hanging="519"/>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17"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3"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Company’s cash equivalents and investments are carried at fair value, determined according to the fair value hierarchy described above. The Company’s investments in certificates of deposit are carried at amortized cost, which approximates fair value. Certain cash equivalents or investments that are measured at fair value using the net asset value per share (or its equivalent) practical expedient have not been classified in the fair value hierarchy. The carrying values of the Company’s accounts payable and accrued expenses approximate their fair value due to the short-term nature of these liabilities.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useful life of the asset. Laboratory equipment is depreciated over five years. Computer equipment and furniture and office equipment are depreciated over three years. Leasehold improvements are amortized over the shorter of the lease term or the estimated useful life of the related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Research and development costs are expensed as incurred. Research and development expenses include salaries, stock-based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Contract Costs and Accruals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21"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The Company measures all stock options and other stock-based awards granted to employees and directors based on the fair value on the date of the grant and recognizes compensation expense of those awards over the requisite service period, which is generally the vesting period of the respective award. Generally, the Company issues stock options, restricted stock units and restricted stock awards with only service-based vesting conditions and records the expense for these awards using the straight-line method. For stock options or restricted stock units issued with performance-based vesting conditions, the stock compensation expense related to these awards is recognized based on the grant date fair value when achievement of the performance condition is deemed probable.</w:t>
      </w:r>
    </w:p>
    <w:p>
      <w:pPr>
        <w:spacing w:after="0" w:line="193" w:lineRule="exact"/>
        <w:rPr>
          <w:sz w:val="20"/>
          <w:szCs w:val="20"/>
          <w:color w:val="auto"/>
        </w:rPr>
      </w:pPr>
    </w:p>
    <w:p>
      <w:pPr>
        <w:jc w:val="both"/>
        <w:ind w:right="140" w:firstLine="518"/>
        <w:spacing w:after="0" w:line="302" w:lineRule="auto"/>
        <w:rPr>
          <w:sz w:val="20"/>
          <w:szCs w:val="20"/>
          <w:color w:val="auto"/>
        </w:rPr>
      </w:pPr>
      <w:r>
        <w:rPr>
          <w:rFonts w:ascii="Arial" w:cs="Arial" w:eastAsia="Arial" w:hAnsi="Arial"/>
          <w:sz w:val="16"/>
          <w:szCs w:val="16"/>
          <w:color w:val="auto"/>
        </w:rPr>
        <w:t>The Company measures stock-based awards granted to consultants and non-employees based on the fair value of the award on the date on which the related service is complete. Compensation expense is recognized over the period during which services are rendered by such consultants and non-employees until completed. At the end of each financial reporting period prior to completion of the service, the fair value of these awards is remeasured using the then-current fair value of the Company’s common stock and updated assumption inputs in the Black-Scholes option-pricing model.</w:t>
      </w:r>
    </w:p>
    <w:p>
      <w:pPr>
        <w:spacing w:after="0" w:line="154" w:lineRule="exact"/>
        <w:rPr>
          <w:sz w:val="20"/>
          <w:szCs w:val="20"/>
          <w:color w:val="auto"/>
        </w:rPr>
      </w:pPr>
    </w:p>
    <w:p>
      <w:pPr>
        <w:jc w:val="both"/>
        <w:ind w:right="120" w:firstLine="518"/>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recognizes adjustments to stock compensation expense for forfeitures as they occur.</w:t>
      </w:r>
    </w:p>
    <w:p>
      <w:pPr>
        <w:spacing w:after="0" w:line="225"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 xml:space="preserve">The fair value of each stock option grant is estimated on the date of grant using the Black- Scholes option-pricing model. The Company lacks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We use the simplified method prescribed by Securities and Exchange Commission Staff Accounting Bulletin No. 107, </w:t>
      </w:r>
      <w:r>
        <w:rPr>
          <w:rFonts w:ascii="Arial" w:cs="Arial" w:eastAsia="Arial" w:hAnsi="Arial"/>
          <w:sz w:val="17"/>
          <w:szCs w:val="17"/>
          <w:i w:val="1"/>
          <w:iCs w:val="1"/>
          <w:color w:val="auto"/>
        </w:rPr>
        <w:t>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w:t>
      </w:r>
      <w:r>
        <w:rPr>
          <w:rFonts w:ascii="Arial" w:cs="Arial" w:eastAsia="Arial" w:hAnsi="Arial"/>
          <w:sz w:val="17"/>
          <w:szCs w:val="17"/>
          <w:color w:val="auto"/>
        </w:rPr>
        <w:t>, to calculate the expected term of options granted to employees and directors. The expected term of stock options granted to non-employees is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right="560" w:firstLine="518"/>
        <w:spacing w:after="0" w:line="264" w:lineRule="auto"/>
        <w:rPr>
          <w:sz w:val="20"/>
          <w:szCs w:val="20"/>
          <w:color w:val="auto"/>
        </w:rPr>
      </w:pPr>
      <w:r>
        <w:rPr>
          <w:rFonts w:ascii="Arial" w:cs="Arial" w:eastAsia="Arial" w:hAnsi="Arial"/>
          <w:sz w:val="18"/>
          <w:szCs w:val="18"/>
          <w:color w:val="auto"/>
        </w:rPr>
        <w:t>The Company adopted ASC 606 on January 1, 2018, using the modified retrospective method for all contracts not completed as of the date of adoption. The reported results for 2018 reflect the application of ASC 606 while the reported results for 2017 and 2016 were prepared under ASC 605, Revenue Recognition (“ASC 605”).</w:t>
      </w:r>
    </w:p>
    <w:p>
      <w:pPr>
        <w:spacing w:after="0" w:line="222"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 xml:space="preserve">The Company recognizes revenue in accordance with the guidance under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ASC 606 applies to all contracts with customers, except those contracts that are within the scope of other guidance, such as leases, insurance, and financial instruments. The Company enters into agreements that are within the scope of ASC 606, under which the Company licenses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 Under ASC 606, an entity recognizes revenue when its customer obtains control of promised goods or services, in an amount that reflects the consideration which the entity expects to receive in exchange for those goods or services. When determining the timing and extent of revenue recognition for arrangements that the Company determines are within the scope of ASC 606, the Company performs the following five steps:</w:t>
      </w:r>
    </w:p>
    <w:p>
      <w:pPr>
        <w:spacing w:after="0" w:line="74" w:lineRule="exact"/>
        <w:rPr>
          <w:sz w:val="20"/>
          <w:szCs w:val="20"/>
          <w:color w:val="auto"/>
        </w:rPr>
      </w:pPr>
    </w:p>
    <w:p>
      <w:pPr>
        <w:ind w:left="1040" w:hanging="51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52"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Company only applies the five-step model to contracts when it is probable that the entity will collect the consideration to which it is entitled in exchange for the goods or services transferred to the customer.</w:t>
      </w:r>
    </w:p>
    <w:p>
      <w:pPr>
        <w:spacing w:after="0" w:line="21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At contract inception, once the contract is determined to be within the scope of ASC 606, the Company assesses the goods or services promised within the contract to determine whether each promised good or service is a performance obligation. The promised goods or services in the Company’s arrangements typically consist of a license to the Company’s intellectual property and/or research and development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67"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The Company determines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92"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78"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for deferred revenue.</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does not assess whether a contract has a significant financing component if the expectation at contract inception is that the period between payment by the customer and the transfer of the promised goods or services to the customer will be one year or less. Incremental costs of obtaining a contract are expensed as and when incurred if the expected period over which the Company would have amortized the asset is one year or less, or the amount is immaterial.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Arrangements with collaborators may include licenses to intellectual property, research and development services, manufacturing services for clinical and commercial supply, and participation on joint steering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development of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spacing w:after="0" w:line="179"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When the Company concludes that a contract should be accounted for as a combined performance obligation and recognized over-time, the Company must then determine the period over which revenue should be recognized and the method by which to measure revenue. The Company generally recognizes revenue using a cost-based input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of intellectual property</w:t>
      </w:r>
    </w:p>
    <w:p>
      <w:pPr>
        <w:spacing w:after="0" w:line="11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If a license to the Company’s intellectual property is determined to be distinct from the other performance obligations identified in the arrangement, the Company recognizes revenue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associated with the bundled performance obligation. The Company evaluates the measure of progress each reporting period and, if necessary, adjusts the measure of progress and related revenue recognition.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At the inception of each arrangement that includes developmental and regulatory milestone payments, the Company evaluates 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otherwise it will be allocated to all performance obligations of the arrangement based on the initial allocation.</w:t>
      </w:r>
    </w:p>
    <w:p>
      <w:pPr>
        <w:spacing w:after="0" w:line="15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evaluates each milestone to determine when and how much of the milestone to include in the transaction price. The Company first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117" w:lineRule="exact"/>
        <w:rPr>
          <w:sz w:val="20"/>
          <w:szCs w:val="20"/>
          <w:color w:val="auto"/>
        </w:rPr>
      </w:pPr>
    </w:p>
    <w:p>
      <w:pPr>
        <w:ind w:right="440" w:firstLine="518"/>
        <w:spacing w:after="0" w:line="279" w:lineRule="auto"/>
        <w:rPr>
          <w:sz w:val="20"/>
          <w:szCs w:val="20"/>
          <w:color w:val="auto"/>
        </w:rPr>
      </w:pPr>
      <w:r>
        <w:rPr>
          <w:rFonts w:ascii="Arial" w:cs="Arial" w:eastAsia="Arial" w:hAnsi="Arial"/>
          <w:sz w:val="17"/>
          <w:szCs w:val="17"/>
          <w:color w:val="auto"/>
        </w:rPr>
        <w:t>For arrangements that include sales-based royalties, including milestone payments based on the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To date, the Company has not recognized any revenue related to sales-based royalties or milestone payments based on the level of sales.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supply services</w:t>
      </w:r>
    </w:p>
    <w:p>
      <w:pPr>
        <w:spacing w:after="0" w:line="117"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For arrangements that include a promise of supply of clinical or commercial product, the Company determines if the supply is a promise in the contract or a future obligation at the customer’s option. If determined to be a promise at inception of the contract, the Company evaluates the promise to determine whether it is a separate performance obligation or a component of a bundled performance obligation. If determined to be an option, the Company determines if the option provides a material right to the customer and if so, accounts for the option as a separate performance obligation. If determined to be an option but not a material right, the Company accounts for the option as a separate contract when the customer elects to exercise the option.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Revenue</w:t>
      </w:r>
    </w:p>
    <w:p>
      <w:pPr>
        <w:spacing w:after="0" w:line="135"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The Company generates revenue from government contracts that reimburse the Company for certain allowable costs for funded projects. For contracts with government agencies, when the Company has concluded that it is the principal in conducting the research and development expenses and where the funding arrangement is considered central to the Company’s ongoing operations, the Company classifies the recognized funding received as revenue.</w:t>
      </w:r>
    </w:p>
    <w:p>
      <w:pPr>
        <w:spacing w:after="0" w:line="18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Company has concluded to recognize funding received as revenue, rather than as a reduction of research and development expenses, because the Company is the principal in conducting the research and development activities and these contracts are central to its ongoing operations. Revenue is recognized as the qualifying expenses related to the contracts are incurred. Revenue recognized upon incurring qualifying expenses in advance of receipt of funding is recorded in the Company’s consolidated balance sheet as prepaid expenses and other current assets. The related costs incurred by the Company are included in research and development expense in the Company’s consolidated statements of operations and comprehensive loss.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w:t>
      </w:r>
    </w:p>
    <w:p>
      <w:pPr>
        <w:spacing w:after="0" w:line="189"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The Company manages its operations as a single segment for the purposes of assessing performance and making operating decisions. The Company’s singular focus is on developing Ecobiotic microbiome therapeutics to treat dysbiosis in the colonic microbiome. Revenue to date has been generated solely through the Company's collaboration with NHS, all of which has been earned in the United States. All tangible assets are held in the United States.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For the years ended December 31, 2018, 2017 and 2016, other comprehensive income (loss) consisted of changes in unrealized gains (losses) from available-for-sale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unvested restricted stock. The Company applies the two-class method to calculate its basic and diluted net loss per share attributable to common stockholders, as its convertible preferred stock was, and common stock is a participating security.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net loss position for each of the periods presented and preferred stockholders did not participate in losses.</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Company’s convertible preferred stock contractually entitled the holders of such shares to participate in dividends but did not contractually require the holders of such shares to participate in losses of the Company. Similarly, restricted stock awards granted by the Company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3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 xml:space="preserve">In May 2014, the Financial Accounting Standards Board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subsequently issued additional ASUs related to the new standard delaying the effective date and clarifying several aspects of the new revenue guidance, all of which collectively are herein referred to as “ASC 606.” The Company has adopted this standard as of the required effective date of January 1, 2018, using the modified retrospective transition method. See Note 9, “Revenue,” for discussion of the impact of adoption of this standard.</w:t>
      </w:r>
    </w:p>
    <w:p>
      <w:pPr>
        <w:spacing w:after="0" w:line="165" w:lineRule="exact"/>
        <w:rPr>
          <w:sz w:val="20"/>
          <w:szCs w:val="20"/>
          <w:color w:val="auto"/>
        </w:rPr>
      </w:pPr>
    </w:p>
    <w:p>
      <w:pPr>
        <w:ind w:right="240" w:firstLine="518"/>
        <w:spacing w:after="0" w:line="30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This standard addresses specific cash flow issues with the objective of reducing existing diversity in practice in how certain cash receipts and cash payments are presented in the statement of cash flows. The standard was effective for the Company on January 1, 2018. The Company adopted this standard as of the required effective date of January 1, 2018. The adoption of this standard did not have any impact on the Company’s financial statements.</w:t>
      </w:r>
    </w:p>
    <w:p>
      <w:pPr>
        <w:spacing w:after="0" w:line="154"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Restricted Cash</w:t>
      </w:r>
      <w:r>
        <w:rPr>
          <w:rFonts w:ascii="Arial" w:cs="Arial" w:eastAsia="Arial" w:hAnsi="Arial"/>
          <w:sz w:val="16"/>
          <w:szCs w:val="16"/>
          <w:color w:val="auto"/>
        </w:rPr>
        <w:t>. The new standard requires restricted cash and restricted cash equivalents be included with cash and cash equivalents when reconciling the total beginning and ending amounts for the periods shown on the statement of cash flows. The new standard was effective for the Company on January 1, 2018. The Company adopted the new standard as of the required effective date of January 1, 2018 and will reflect the adoption retrospectively to all periods presented. The Company’s statements of cash flows includes restricted cash with cash and cash equivalents when reconciling the beginning-of-period and end-of-period total amounts shown on such statements. A reconciliation of the cash, cash equivalents, and restricted cash reported within the balance sheet that sum to the total of the same amounts shown in the statement of cash flows is as follows: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4"/>
                <w:szCs w:val="14"/>
                <w:b w:val="1"/>
                <w:bCs w:val="1"/>
                <w:color w:val="auto"/>
                <w:w w:val="91"/>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76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85,820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54,539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73,933</w:t>
            </w:r>
          </w:p>
        </w:tc>
        <w:tc>
          <w:tcPr>
            <w:tcW w:w="80" w:type="dxa"/>
            <w:vAlign w:val="bottom"/>
            <w:shd w:val="clear" w:color="auto" w:fill="CFF0FC"/>
          </w:tcPr>
          <w:p>
            <w:pPr>
              <w:spacing w:after="0"/>
              <w:rPr>
                <w:sz w:val="19"/>
                <w:szCs w:val="19"/>
                <w:color w:val="auto"/>
              </w:rPr>
            </w:pPr>
          </w:p>
        </w:tc>
      </w:tr>
      <w:tr>
        <w:trPr>
          <w:trHeight w:val="243"/>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5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80" w:type="dxa"/>
            <w:vAlign w:val="bottom"/>
            <w:tcBorders>
              <w:bottom w:val="single" w:sz="8" w:color="CFF0FC"/>
            </w:tcBorders>
          </w:tcPr>
          <w:p>
            <w:pPr>
              <w:spacing w:after="0"/>
              <w:rPr>
                <w:sz w:val="21"/>
                <w:szCs w:val="21"/>
                <w:color w:val="auto"/>
              </w:rPr>
            </w:pPr>
          </w:p>
        </w:tc>
      </w:tr>
      <w:tr>
        <w:trPr>
          <w:trHeight w:val="209"/>
        </w:trPr>
        <w:tc>
          <w:tcPr>
            <w:tcW w:w="47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Total cash, cash equivalents and restricted cash as shown</w:t>
            </w: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 the statement of cash flows</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85,933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75,472</w:t>
            </w:r>
          </w:p>
        </w:tc>
        <w:tc>
          <w:tcPr>
            <w:tcW w:w="80" w:type="dxa"/>
            <w:vAlign w:val="bottom"/>
            <w:shd w:val="clear" w:color="auto" w:fill="CFF0FC"/>
          </w:tcPr>
          <w:p>
            <w:pPr>
              <w:spacing w:after="0"/>
              <w:rPr>
                <w:sz w:val="20"/>
                <w:szCs w:val="20"/>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standard established a right-of-use model that requires all lessees to recognize right-of-use assets and liabilities on their balance sheet that arise from leases with terms longer than 12 months as well as provide disclosures with respect to certain qualitative and quantitative information related to their leasing arrangements. This standard became effective for the Company on January 1, 2019.</w:t>
      </w:r>
    </w:p>
    <w:p>
      <w:pPr>
        <w:spacing w:after="0" w:line="22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FASB has subsequently issued the following amendments to ASU 2016-02, which have the same effective date and transition date of January 1, 2019, and which the Company collectively refers to as the new leasing standards:</w:t>
      </w:r>
    </w:p>
    <w:p>
      <w:pPr>
        <w:spacing w:after="0" w:line="76" w:lineRule="exact"/>
        <w:rPr>
          <w:sz w:val="20"/>
          <w:szCs w:val="20"/>
          <w:color w:val="auto"/>
        </w:rPr>
      </w:pPr>
    </w:p>
    <w:p>
      <w:pPr>
        <w:ind w:left="1040" w:right="200" w:hanging="519"/>
        <w:spacing w:after="0" w:line="264"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ASU No. 2018-01, </w:t>
      </w:r>
      <w:r>
        <w:rPr>
          <w:rFonts w:ascii="Arial" w:cs="Arial" w:eastAsia="Arial" w:hAnsi="Arial"/>
          <w:sz w:val="18"/>
          <w:szCs w:val="18"/>
          <w:i w:val="1"/>
          <w:iCs w:val="1"/>
          <w:color w:val="auto"/>
        </w:rPr>
        <w:t>Leases (Topic 842): Land Easement Practical Expedient for Transition to Topic 842,</w:t>
      </w:r>
      <w:r>
        <w:rPr>
          <w:rFonts w:ascii="Arial" w:cs="Arial" w:eastAsia="Arial" w:hAnsi="Arial"/>
          <w:sz w:val="18"/>
          <w:szCs w:val="18"/>
          <w:color w:val="auto"/>
        </w:rPr>
        <w:t xml:space="preserve"> which permits an entity to elect an optional transition practical expedient to not evaluate under Topic 842 land easements that exist or expired prior to adoption of Topic 842 and that were not previously accounted for as leases under the prior standard, ASC 840, </w:t>
      </w:r>
      <w:r>
        <w:rPr>
          <w:rFonts w:ascii="Arial" w:cs="Arial" w:eastAsia="Arial" w:hAnsi="Arial"/>
          <w:sz w:val="18"/>
          <w:szCs w:val="18"/>
          <w:i w:val="1"/>
          <w:iCs w:val="1"/>
          <w:color w:val="auto"/>
        </w:rPr>
        <w:t>Leases</w:t>
      </w:r>
    </w:p>
    <w:p>
      <w:pPr>
        <w:spacing w:after="0" w:line="7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amends certain narrow aspects of the guidance issued in ASU 2016-02</w:t>
      </w:r>
    </w:p>
    <w:p>
      <w:pPr>
        <w:spacing w:after="0" w:line="62" w:lineRule="exact"/>
        <w:rPr>
          <w:rFonts w:ascii="Arial" w:cs="Arial" w:eastAsia="Arial" w:hAnsi="Arial"/>
          <w:sz w:val="18"/>
          <w:szCs w:val="18"/>
          <w:color w:val="auto"/>
        </w:rPr>
      </w:pPr>
    </w:p>
    <w:p>
      <w:pPr>
        <w:ind w:left="1040" w:right="160" w:hanging="519"/>
        <w:spacing w:after="0" w:line="286" w:lineRule="auto"/>
        <w:tabs>
          <w:tab w:leader="none" w:pos="10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57"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ASU No. 2018-20, </w:t>
      </w:r>
      <w:r>
        <w:rPr>
          <w:rFonts w:ascii="Arial" w:cs="Arial" w:eastAsia="Arial" w:hAnsi="Arial"/>
          <w:sz w:val="18"/>
          <w:szCs w:val="18"/>
          <w:i w:val="1"/>
          <w:iCs w:val="1"/>
          <w:color w:val="auto"/>
        </w:rPr>
        <w:t>Narrow-Scope Improvements for Lessors</w:t>
      </w:r>
      <w:r>
        <w:rPr>
          <w:rFonts w:ascii="Arial" w:cs="Arial" w:eastAsia="Arial" w:hAnsi="Arial"/>
          <w:sz w:val="18"/>
          <w:szCs w:val="18"/>
          <w:color w:val="auto"/>
        </w:rPr>
        <w:t>, which contains certain narrow scope improvements to the guidance issued in ASU 2016-02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Company adopted the new leasing standards on January 1, 2019, using a modified retrospective transition approach to be applied to leases existing as of, or entered into after, January 1, 2019. The Company elected to apply the package of practical expedients which allows entities not to reassess whether contracts are or contain leases, lease classification, and whether initial direct costs qualify for capitalization. Additionally, the Company elected not to separate lease and non-lease components. The Company’s primary operating leases represent the lease of its corporate headquarters at 200 Sidney Street and a lease for additional research space at 215 First Street, both in Cambridge, Massachusetts. Upon adoption of the new leasing standards, the Company expects to recognize a lease liability of approximately $25,000 and a related right-of-use asset of approximately $14,000 on its consolidated balance sheet with the difference being due to the elimination of previously reported lease incentive obligations and deferred rent. The impact of adoption of the new leasing standards will have an immaterial impact to the Company’s consolidated statements of operations and comprehensive loss and cash flows.</w:t>
      </w:r>
    </w:p>
    <w:p>
      <w:pPr>
        <w:spacing w:after="0" w:line="166"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ASU 2018-07 simplifies the accounting for nonemployee share-based payment t awards and aligns the accounting for share-based payment awards issued to employees and non-employees. The ASU expands the scope of Topic 718 to apply to non-employee awards under which non-employee awards will be measured on the grant date and the associated compensation cost will be recognized over the vesting period.. This ASU is effective for public entities for interim and annual reporting periods beginning after December 15, 2018. The adoption of ASU 2018-17 is not expected to have a material impact on the Company’s financial statements.</w:t>
      </w:r>
    </w:p>
    <w:p>
      <w:pPr>
        <w:spacing w:after="0" w:line="18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xml:space="preserve"> (“ASU 2018-13”). This standard eliminates, adds and modifies certain disclosure requirements for fair value measurements as part of its disclosure framework project. ASU 2018-13 is effective for annual reporting periods beginning after December 15, 2019 and interim periods within those annual periods and early adoption is permitted. The Company is currently in the process of evaluating the impact of the adoption of ASU 2018-13 on its consolidated financial statements.</w:t>
      </w:r>
    </w:p>
    <w:p>
      <w:pPr>
        <w:spacing w:after="0" w:line="373"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as of December 31, 2018 and 2017 that are measured at fair value on a recurring basis and indicate the level of the fair value hierarchy utilized to determine such fair values: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1"/>
              </w:rPr>
              <w:t>Fair Value Measurements as of December 31, 2018 Using:</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2"/>
              </w:rPr>
              <w:t>Level 3</w:t>
            </w:r>
          </w:p>
        </w:tc>
        <w:tc>
          <w:tcPr>
            <w:tcW w:w="180" w:type="dxa"/>
            <w:vAlign w:val="bottom"/>
          </w:tcPr>
          <w:p>
            <w:pPr>
              <w:spacing w:after="0"/>
              <w:rPr>
                <w:sz w:val="11"/>
                <w:szCs w:val="11"/>
                <w:color w:val="auto"/>
              </w:rPr>
            </w:pPr>
          </w:p>
        </w:tc>
        <w:tc>
          <w:tcPr>
            <w:tcW w:w="112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Not Subject to</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Leveling </w:t>
            </w:r>
            <w:r>
              <w:rPr>
                <w:rFonts w:ascii="Arial" w:cs="Arial" w:eastAsia="Arial" w:hAnsi="Arial"/>
                <w:sz w:val="12"/>
                <w:szCs w:val="12"/>
                <w:b w:val="1"/>
                <w:bCs w:val="1"/>
                <w:color w:val="auto"/>
                <w:w w:val="92"/>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4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22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60" w:hanging="512"/>
        <w:spacing w:after="0" w:line="277"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cash equivalents and investments that are valued using the net asset value per share (or its equivalent) practical expedient have not been classified in the fair value hierarchy.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4"/>
              </w:rPr>
              <w:t>Fair Value Measurements as of December 31, 2017 Using:</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1"/>
                <w:szCs w:val="11"/>
                <w:color w:val="auto"/>
              </w:rPr>
            </w:pPr>
          </w:p>
        </w:tc>
        <w:tc>
          <w:tcPr>
            <w:tcW w:w="112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Not Subject to</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Leveling </w:t>
            </w:r>
            <w:r>
              <w:rPr>
                <w:rFonts w:ascii="Arial" w:cs="Arial" w:eastAsia="Arial" w:hAnsi="Arial"/>
                <w:sz w:val="12"/>
                <w:szCs w:val="12"/>
                <w:b w:val="1"/>
                <w:bCs w:val="1"/>
                <w:color w:val="auto"/>
                <w:w w:val="92"/>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88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25,964</w:t>
            </w:r>
          </w:p>
        </w:tc>
        <w:tc>
          <w:tcPr>
            <w:tcW w:w="10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Investments:</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Certificates of Deposit</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58,865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Government Securities</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500"/>
              <w:spacing w:after="0"/>
              <w:rPr>
                <w:sz w:val="20"/>
                <w:szCs w:val="20"/>
                <w:color w:val="auto"/>
              </w:rPr>
            </w:pPr>
            <w:r>
              <w:rPr>
                <w:rFonts w:ascii="Arial" w:cs="Arial" w:eastAsia="Arial" w:hAnsi="Arial"/>
                <w:sz w:val="18"/>
                <w:szCs w:val="18"/>
                <w:color w:val="auto"/>
              </w:rPr>
              <w:t>Treasury Bonds</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16,961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113,894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500" w:hanging="512"/>
        <w:spacing w:after="0" w:line="277"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cash equivalents and investments that are valued using the net asset value per share (or its equivalent) practical expedient have not been classified in the fair value hierarchy.</w:t>
      </w:r>
    </w:p>
    <w:p>
      <w:pPr>
        <w:spacing w:after="0" w:line="21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 of December 31, 2018 and 2017, the Company’s cash equivalents consisted of money market funds with original maturities of less than 90 days from the date of purchase.</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Excluded from the tables above are restricted cash and restricted investments as the cost approximates current fair value. The Company has a money market fund and certificate of deposit as security deposits on its two facility leases. As of both December 31, 2018 and 2017 the restricted cash and restricted investment balances were $113 and $1,400, respectively.</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fair value of the Company’s investments, which consisted of corporate bonds, commercial paper, certificates of deposit, government securities, and treasury bonds as of December 31, 2017 were determined using Level 2 inputs.</w:t>
      </w:r>
    </w:p>
    <w:p>
      <w:pPr>
        <w:spacing w:after="0" w:line="356"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As of December 31, 2018 the Company had no investments. As of December 31, 2017, the fair value of available-for-sale investments by type of security was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December 31, 2017</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36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71"/>
        </w:trPr>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6"/>
              </w:rPr>
              <w:t>Unrealized Gain</w:t>
            </w:r>
          </w:p>
        </w:tc>
        <w:tc>
          <w:tcPr>
            <w:tcW w:w="22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Unrealized Loss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6,198</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6,198</w:t>
            </w: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w:t>
            </w: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58,865</w:t>
            </w:r>
          </w:p>
        </w:tc>
        <w:tc>
          <w:tcPr>
            <w:tcW w:w="100" w:type="dxa"/>
            <w:vAlign w:val="bottom"/>
          </w:tcPr>
          <w:p>
            <w:pPr>
              <w:spacing w:after="0"/>
              <w:rPr>
                <w:sz w:val="19"/>
                <w:szCs w:val="19"/>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Securities</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22,954</w:t>
            </w:r>
          </w:p>
        </w:tc>
        <w:tc>
          <w:tcPr>
            <w:tcW w:w="100" w:type="dxa"/>
            <w:vAlign w:val="bottom"/>
            <w:shd w:val="clear" w:color="auto" w:fill="CFF0FC"/>
          </w:tcPr>
          <w:p>
            <w:pPr>
              <w:spacing w:after="0"/>
              <w:rPr>
                <w:sz w:val="19"/>
                <w:szCs w:val="19"/>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Treasury Bonds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16,961</w:t>
            </w:r>
          </w:p>
        </w:tc>
        <w:tc>
          <w:tcPr>
            <w:tcW w:w="100" w:type="dxa"/>
            <w:vAlign w:val="bottom"/>
          </w:tcPr>
          <w:p>
            <w:pPr>
              <w:spacing w:after="0"/>
              <w:rPr>
                <w:sz w:val="19"/>
                <w:szCs w:val="19"/>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62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114,040</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0"/>
              </w:rPr>
              <w:t>(146)</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113,894</w:t>
            </w:r>
          </w:p>
        </w:tc>
        <w:tc>
          <w:tcPr>
            <w:tcW w:w="100" w:type="dxa"/>
            <w:vAlign w:val="bottom"/>
            <w:shd w:val="clear" w:color="auto" w:fill="CFF0FC"/>
          </w:tcPr>
          <w:p>
            <w:pPr>
              <w:spacing w:after="0"/>
              <w:rPr>
                <w:sz w:val="20"/>
                <w:szCs w:val="20"/>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Investments with original maturities of less than 90 days are included in cash and cash equivalents on the consolidated balance sheets and are not included in the table above. Investments with maturities of less than 12 months are considered current and those investments with maturities greater than 12 months are considered non-current.</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Excluded from the table above are restricted investments of $1,400 as the cost approximates current fair value.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5.</w:t>
            </w:r>
          </w:p>
        </w:tc>
        <w:tc>
          <w:tcPr>
            <w:tcW w:w="682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 consisted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5"/>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13,181</w:t>
            </w:r>
          </w:p>
        </w:tc>
        <w:tc>
          <w:tcPr>
            <w:tcW w:w="8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2,832</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8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27,963</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FF0FC"/>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45,370</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(20,301)</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(12,439)</w:t>
            </w: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32,931</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was $7,862, $7,259 and $4,205 for the years ended December 31, 2018, 2017 and 2016, respectively.</w:t>
      </w:r>
    </w:p>
    <w:p>
      <w:pPr>
        <w:spacing w:after="0" w:line="200" w:lineRule="exact"/>
        <w:rPr>
          <w:sz w:val="20"/>
          <w:szCs w:val="20"/>
          <w:color w:val="auto"/>
        </w:rPr>
      </w:pPr>
    </w:p>
    <w:p>
      <w:pPr>
        <w:spacing w:after="0" w:line="222"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Development and clinical manufacturing costs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Payroll and payroll-related costs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Facility and other</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3,641</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12,513</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On July 1, 2015, in connection with the closing of the initial public offering of the Company’s common stock (“IPO”), the Company effected its Restated Certificate of Incorporation, which authorizes the Company to issue 10,000,000 shares of preferred stock, $0.001 par value per share.</w:t>
      </w:r>
    </w:p>
    <w:p>
      <w:pPr>
        <w:spacing w:after="0" w:line="309"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spacing w:after="0" w:line="12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On July 1, 2015, in connection with the closing of the IPO, the Company effected its Restated Certificate of Incorporation, which authorizes the Company to issue 200,000,000 shares of common stock, $0.001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Stock Incentive Plan</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Company’s 2012 Stock Incentive Plan, as amended, (the “2012 Plan”) provided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of directors.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 The Company generally granted stock-based awards with service conditions only (“service-based” awards).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Stock options granted under the 2012 Plan generally vest over four years and expire after ten years, although options have been granted with vesting terms less than four years. As of December 31, 2018, there were no shares available for future grant under the 2012 Plan.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Incentive Award Plan</w:t>
      </w:r>
    </w:p>
    <w:p>
      <w:pPr>
        <w:spacing w:after="0" w:line="12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On June 16, 2015, the Company’s stockholders approved the 2015 Incentive Award Plan (the “2015 Plan”), which became effective on June 25, 2015. The 2015 Plan provides for the grant of incentive stock options, nonqualified stock options, stock appreciation rights, restricted stock awards, restricted stock units and other stock-based awards. The number of shares initially reserved for issuance under the 2015 Plan was the sum of (i) 2,200,000 shares of common stock and (ii) the number of shares subject to awards outstanding under the 2012 Plan that expire, terminate or are otherwise surrendered, cancelled, forfeited or repurchased by the Company on or after the effective date of the 2015 Plan. In addition, the number of shares of common stock that may be issued under the 2015 Plan is subject to increase on the first day of each calendar year, beginning in 2016 and ending in 2025, equal to the lesser of (i) 4% of the number of shares of the Company’s common stock outstanding on the last day of the preceding applicable calendar year and (ii) an amount determined by the Company’s board of directors.</w:t>
      </w:r>
    </w:p>
    <w:p>
      <w:pPr>
        <w:spacing w:after="0" w:line="192"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Stock options granted under the 2015 Plan generally vest over four years and expire after ten years, although options have been granted with vesting terms less than four years. As of December 31, 2018, there were 1,353,580 shares available for future grant under the 2015 Plan.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Employee Stock Purchase Plan</w:t>
      </w:r>
    </w:p>
    <w:p>
      <w:pPr>
        <w:spacing w:after="0" w:line="121" w:lineRule="exact"/>
        <w:rPr>
          <w:sz w:val="20"/>
          <w:szCs w:val="20"/>
          <w:color w:val="auto"/>
        </w:rPr>
      </w:pPr>
    </w:p>
    <w:p>
      <w:pPr>
        <w:jc w:val="both"/>
        <w:ind w:right="60" w:firstLine="518"/>
        <w:spacing w:after="0" w:line="288" w:lineRule="auto"/>
        <w:rPr>
          <w:sz w:val="20"/>
          <w:szCs w:val="20"/>
          <w:color w:val="auto"/>
        </w:rPr>
      </w:pPr>
      <w:r>
        <w:rPr>
          <w:rFonts w:ascii="Arial" w:cs="Arial" w:eastAsia="Arial" w:hAnsi="Arial"/>
          <w:sz w:val="16"/>
          <w:szCs w:val="16"/>
          <w:color w:val="auto"/>
        </w:rPr>
        <w:t>On June 16, 2015, the Company’s stockholders approved the 2015 Employee Stock Purchase Plan (the “ESPP”), which became effective on June 25, 2015. A total of 365,000 shares of common stock were reserved for issuance under the ESPP. In addition, the number of shares of common stock that may be issued under the ESPP automatically increase on the first day of each calendar year, beginning in 2016 and ending in 2025, by an amount equal to the least of</w:t>
      </w: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400,000 shares, (ii) 1% of the number of shares of the Company’s common stock outstanding on the last day of the applicable preceding calendar year and</w:t>
      </w:r>
    </w:p>
    <w:p>
      <w:pPr>
        <w:spacing w:after="0" w:line="32" w:lineRule="exact"/>
        <w:rPr>
          <w:rFonts w:ascii="Arial" w:cs="Arial" w:eastAsia="Arial" w:hAnsi="Arial"/>
          <w:sz w:val="16"/>
          <w:szCs w:val="16"/>
          <w:color w:val="auto"/>
        </w:rPr>
      </w:pPr>
    </w:p>
    <w:p>
      <w:pPr>
        <w:ind w:firstLine="8"/>
        <w:spacing w:after="0" w:line="323" w:lineRule="auto"/>
        <w:tabs>
          <w:tab w:leader="none" w:pos="315"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 amount determined by the Company’s board of directors. Offering periods under the ESPP will commence when determined by the plan administrator. As of December 31, 2018, there were 33,332 shares issued under the ESPP and 1,522,488 shares were reserved and available for issuance under the ESPP.</w:t>
      </w:r>
    </w:p>
    <w:p>
      <w:pPr>
        <w:spacing w:after="0" w:line="139"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ESPP provides that eligible employees may contribute up to 15% of their eligible earnings toward the semi-annual purchase of the Company's common stock. The ESPP is qualified under Section 423 of the Internal Revenue Code. The employee's purchase price is derived from a formula based on the closing price of the common stock on the first day of the offering period versus the closing price on the date of purchase (or, if not a trading day, on the immediately preceding trading day). The offering period under the ESPP has a duration of six months, and the purchase price with respect to each offering period beginning on or after such date is, until otherwise amended, equal to 85% of the lesser of (i) the fair market value of the Company's common stock at the commencement of the applicable six-month offering period or (ii) the fair market value of the Company's common stock on the purchase date. The Company estimates the fair value of common stock under the ESPP using a Black-Scholes valuation model. The fair value was estimated on the date of grant using the Black-Scholes option valuation model and the straight-line attribution approach with the following weighted-average assumptions: risk-free interest rate (2.30%); expected term (0.5 years); expected volatility (60.2%); and an expected dividend yield (0%). The Company recorded $145 of stock-based compensation expense under the ESPP for the twelve months ended December 31, 2018. There was no stock-based compensation expense under the ESPP for the twelve months ended December 31, 2017, and 2016 respectively.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1" w:name="page112"/>
    <w:bookmarkEnd w:id="111"/>
    <w:p>
      <w:pPr>
        <w:jc w:val="center"/>
        <w:ind w:right="-5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Valuation</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24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2.39%</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2.20%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76.0%</w:t>
            </w:r>
          </w:p>
        </w:tc>
        <w:tc>
          <w:tcPr>
            <w:tcW w:w="6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3"/>
              </w:rPr>
              <w:t>80.9%</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84.2%</w:t>
            </w:r>
          </w:p>
        </w:tc>
      </w:tr>
      <w:tr>
        <w:trPr>
          <w:trHeight w:val="230"/>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twelve months ended December 31, 2018:</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55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2017</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6,125,692</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2,074,776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9.67</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(212,240)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(426,509)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15.99</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7,561,719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34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as of December 31, 2018</w:t>
            </w: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12.26</w:t>
            </w:r>
          </w:p>
        </w:tc>
        <w:tc>
          <w:tcPr>
            <w:tcW w:w="22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7.23</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7,561,719</w:t>
            </w:r>
          </w:p>
        </w:tc>
        <w:tc>
          <w:tcPr>
            <w:tcW w:w="1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gridSpan w:val="2"/>
            <w:vMerge w:val="continue"/>
          </w:tcPr>
          <w:p>
            <w:pPr>
              <w:spacing w:after="0"/>
              <w:rPr>
                <w:sz w:val="21"/>
                <w:szCs w:val="21"/>
                <w:color w:val="auto"/>
              </w:rPr>
            </w:pPr>
          </w:p>
        </w:tc>
        <w:tc>
          <w:tcPr>
            <w:tcW w:w="86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98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as of December 31, 2018</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4,386,848</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3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2018, 2017 and 2016 was $6.53, $7.07, and $18.45 per share, respectively. The total intrinsic value of stock options exercised during the years ended December 31, 2018, 2017, and 2016 was $1,801, $1,912, and $34,871.</w:t>
      </w:r>
    </w:p>
    <w:p>
      <w:pPr>
        <w:spacing w:after="0" w:line="18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7" w:lineRule="exact"/>
        <w:rPr>
          <w:sz w:val="20"/>
          <w:szCs w:val="20"/>
          <w:color w:val="auto"/>
        </w:rPr>
      </w:pPr>
    </w:p>
    <w:p>
      <w:pPr>
        <w:ind w:right="260" w:firstLine="518"/>
        <w:spacing w:after="0" w:line="302" w:lineRule="auto"/>
        <w:rPr>
          <w:sz w:val="20"/>
          <w:szCs w:val="20"/>
          <w:color w:val="auto"/>
        </w:rPr>
      </w:pPr>
      <w:r>
        <w:rPr>
          <w:rFonts w:ascii="Arial" w:cs="Arial" w:eastAsia="Arial" w:hAnsi="Arial"/>
          <w:sz w:val="16"/>
          <w:szCs w:val="16"/>
          <w:color w:val="auto"/>
        </w:rPr>
        <w:t>The Company granted performance-based stock options to certain employees. These stock options were exercisable only upon achievement of specified performance targets. During the year ended December 31, 2016, the Company determined that the achievement of specified performance targets occurred. Upon achievement of the performance targets, 60,000 options became immediately vested. The Company recorded stock-based compensation expense of $235 during the year ended December 31, 2016 related to these awards. The grant date fair value of these awards was $3.92 per share.</w:t>
      </w:r>
    </w:p>
    <w:p>
      <w:pPr>
        <w:spacing w:after="0" w:line="154"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December 31, 2018 and 2017, there were outstanding unvested service-based stock options held by non-employees for the purchase of 193,282 and 45,000 shares, respectively, of common stock.</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 has granted restricted stock units with time-based vesting conditions. The table below summarizes the Company’s restricted stock activity for the twelve months ended December 31, 2018:</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units as of December 31, 2017</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356,778</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30,900</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(22,730)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Vested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(138,048)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units as of December 31, 2018</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226,900</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aggregate intrinsic value of restricted stock units that vested during the years ended December 31, 2018, 2017 and 2016 was $1,206, $445, and $0,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and restricted stock units in the following expense categories of its consolidated statements of operations and comprehensive loss: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As of December 31, 2018, the Company had an aggregate of $21,554 of unrecognized stock-based compensation cost, which is expected to be recognized over a weighted average period of 2.19 years.</w:t>
      </w:r>
    </w:p>
    <w:p>
      <w:pPr>
        <w:spacing w:after="0" w:line="356"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Revenue</w:t>
      </w:r>
    </w:p>
    <w:p>
      <w:pPr>
        <w:spacing w:after="0" w:line="121" w:lineRule="exact"/>
        <w:rPr>
          <w:sz w:val="20"/>
          <w:szCs w:val="20"/>
          <w:color w:val="auto"/>
        </w:rPr>
      </w:pPr>
    </w:p>
    <w:p>
      <w:pPr>
        <w:ind w:right="560" w:firstLine="518"/>
        <w:spacing w:after="0" w:line="342" w:lineRule="auto"/>
        <w:rPr>
          <w:sz w:val="20"/>
          <w:szCs w:val="20"/>
          <w:color w:val="auto"/>
        </w:rPr>
      </w:pPr>
      <w:r>
        <w:rPr>
          <w:rFonts w:ascii="Arial" w:cs="Arial" w:eastAsia="Arial" w:hAnsi="Arial"/>
          <w:sz w:val="16"/>
          <w:szCs w:val="16"/>
          <w:color w:val="auto"/>
        </w:rPr>
        <w:t>The Company adopted ASC 606 on January 1, 2018, using the modified retrospective method for all contracts not completed as of the date of adoption. The reported results for 2018 reflect the application of ASC 606 while the reported results for 2017 and 2016 were prepared under ASC 605.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606, Revenue from Contracts with Customers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The adoption of ASC 606 changed the pattern and timing of revenue recognition under the Collaboration and License Agreement (“License Agreement”) with NHS. Under ASC 605, the upfront fee of $120,000 received by the Company in the first quarter of 2016 was deferred and recognized on a straight-line basis over the estimated performance period of ten years. In addition, the Company recognized revenue associated with substantive development milestones not considered probable at the inception of the License Agreement with NHS in their entirety in the period in which the milestone was achieved, in accordance with ASC 605-28, </w:t>
      </w:r>
      <w:r>
        <w:rPr>
          <w:rFonts w:ascii="Arial" w:cs="Arial" w:eastAsia="Arial" w:hAnsi="Arial"/>
          <w:sz w:val="18"/>
          <w:szCs w:val="18"/>
          <w:i w:val="1"/>
          <w:iCs w:val="1"/>
          <w:color w:val="auto"/>
        </w:rPr>
        <w:t>Revenue Recognition-Milestone Method</w:t>
      </w:r>
      <w:r>
        <w:rPr>
          <w:rFonts w:ascii="Arial" w:cs="Arial" w:eastAsia="Arial" w:hAnsi="Arial"/>
          <w:sz w:val="18"/>
          <w:szCs w:val="18"/>
          <w:color w:val="auto"/>
        </w:rPr>
        <w:t>.</w:t>
      </w:r>
    </w:p>
    <w:p>
      <w:pPr>
        <w:spacing w:after="0" w:line="18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Under ASC 606, the Company recognizes revenue using the cost-to-cost method which best depicts the transfer of control to the customer. Under the cost-to-cost method, the extent of progress towards completion is measured based on the ratio of actual costs incurred to the total estimated costs expected upon satisfying the identified performance obligation. Under this method, revenue will be recorded as a percentage of the estimated transaction price based on the extent of progress towards completion. The estimate of the Company’s measure of progress and estimate of transaction price will be updated at each reporting date, as a change in estimate, and will require judgement. The amount of consideration allocated to satisfied performance obligations, based on the Company’s measure of progress will be recognized immediately on a cumulative catch-up basis, resulting in an adjustment to revenue in the period of change. The amount related to the unsatisfied portion will be recognized as that portion is satisfied over time. In addition, substantive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development milestones, which were previously recognized in the period when the milestone was achieved, will be recognized over the remaining performance period under ASC 606.</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cumulative effect of applying ASC 606 as of the adoption date of January 1, 2018, was recorded as an adjustment to accumulated deficit in the statement of stockholders’ equity (deficit). As a result of applying the modified retrospective method to adopt ASC 606, the following adjustments were made to the consolidated balance sheet on January 1, 2018:</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 Reported at</w:t>
            </w:r>
          </w:p>
        </w:tc>
        <w:tc>
          <w:tcPr>
            <w:tcW w:w="15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Adjustments Due to</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Balance at</w:t>
            </w:r>
          </w:p>
        </w:tc>
      </w:tr>
      <w:tr>
        <w:trPr>
          <w:trHeight w:val="171"/>
        </w:trPr>
        <w:tc>
          <w:tcPr>
            <w:tcW w:w="608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December 31, 2017</w:t>
            </w:r>
          </w:p>
        </w:tc>
        <w:tc>
          <w:tcPr>
            <w:tcW w:w="8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ASC 606</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January 1, 2018</w:t>
            </w: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revenue - related party</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5,339</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Deferred revenue, net of current portion - related party</w:t>
            </w:r>
          </w:p>
        </w:tc>
        <w:tc>
          <w:tcPr>
            <w:tcW w:w="1200" w:type="dxa"/>
            <w:vAlign w:val="bottom"/>
          </w:tcPr>
          <w:p>
            <w:pPr>
              <w:jc w:val="right"/>
              <w:spacing w:after="0"/>
              <w:rPr>
                <w:sz w:val="20"/>
                <w:szCs w:val="20"/>
                <w:color w:val="auto"/>
              </w:rPr>
            </w:pPr>
            <w:r>
              <w:rPr>
                <w:rFonts w:ascii="Arial" w:cs="Arial" w:eastAsia="Arial" w:hAnsi="Arial"/>
                <w:sz w:val="18"/>
                <w:szCs w:val="18"/>
                <w:color w:val="auto"/>
              </w:rPr>
              <w:t>84,847</w:t>
            </w:r>
          </w:p>
        </w:tc>
        <w:tc>
          <w:tcPr>
            <w:tcW w:w="1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21,518</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106,365</w:t>
            </w:r>
          </w:p>
        </w:tc>
        <w:tc>
          <w:tcPr>
            <w:tcW w:w="100" w:type="dxa"/>
            <w:vAlign w:val="bottom"/>
          </w:tcPr>
          <w:p>
            <w:pPr>
              <w:spacing w:after="0"/>
              <w:rPr>
                <w:sz w:val="19"/>
                <w:szCs w:val="19"/>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(263,571)</w:t>
            </w:r>
          </w:p>
        </w:tc>
        <w:tc>
          <w:tcPr>
            <w:tcW w:w="15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(26,857)</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(290,428)</w:t>
            </w: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compares the reported consolidated balance sheet as of December 31, 2018 to the pro-forma amounts had ASC 605 been in effect:</w:t>
      </w:r>
    </w:p>
    <w:p>
      <w:pPr>
        <w:spacing w:after="0" w:line="33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20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33"/>
        </w:trPr>
        <w:tc>
          <w:tcPr>
            <w:tcW w:w="7080" w:type="dxa"/>
            <w:vAlign w:val="bottom"/>
          </w:tcPr>
          <w:p>
            <w:pPr>
              <w:spacing w:after="0"/>
              <w:rPr>
                <w:sz w:val="11"/>
                <w:szCs w:val="11"/>
                <w:color w:val="auto"/>
              </w:rPr>
            </w:pPr>
          </w:p>
        </w:tc>
        <w:tc>
          <w:tcPr>
            <w:tcW w:w="166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As Reported under</w:t>
            </w:r>
          </w:p>
        </w:tc>
        <w:tc>
          <w:tcPr>
            <w:tcW w:w="14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Pro forma as if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accounted for</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ASC 606</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under ASC 605</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revenue - related party</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20,419</w:t>
            </w:r>
          </w:p>
        </w:tc>
        <w:tc>
          <w:tcPr>
            <w:tcW w:w="2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Deferred revenue, net of current portion - related party</w:t>
            </w:r>
          </w:p>
        </w:tc>
        <w:tc>
          <w:tcPr>
            <w:tcW w:w="1420" w:type="dxa"/>
            <w:vAlign w:val="bottom"/>
          </w:tcPr>
          <w:p>
            <w:pPr>
              <w:jc w:val="right"/>
              <w:spacing w:after="0"/>
              <w:rPr>
                <w:sz w:val="20"/>
                <w:szCs w:val="20"/>
                <w:color w:val="auto"/>
              </w:rPr>
            </w:pPr>
            <w:r>
              <w:rPr>
                <w:rFonts w:ascii="Arial" w:cs="Arial" w:eastAsia="Arial" w:hAnsi="Arial"/>
                <w:sz w:val="18"/>
                <w:szCs w:val="18"/>
                <w:color w:val="auto"/>
              </w:rPr>
              <w:t>116,840</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(389,370)</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(337,233)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Total reported liabilities were $52,137 greater as reported under ASC 606 than would have been reported under ASC 605 as of December 31, 2018. This change consists of a $43,836 increase in deferred revenue, net of current portion, related party, and a $8,301 increase in deferred revenue - related parties.</w:t>
      </w:r>
    </w:p>
    <w:p>
      <w:pPr>
        <w:spacing w:after="0" w:line="222"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following table compares the reported consolidated statements of operations and comprehensive loss for the year ended December 31, 2018 to the pro forma amounts had ASC 605 been in effect:</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2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As Reported under</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58"/>
              <w:spacing w:after="0" w:line="133" w:lineRule="exact"/>
              <w:rPr>
                <w:sz w:val="20"/>
                <w:szCs w:val="20"/>
                <w:color w:val="auto"/>
              </w:rPr>
            </w:pPr>
            <w:r>
              <w:rPr>
                <w:rFonts w:ascii="Arial" w:cs="Arial" w:eastAsia="Arial" w:hAnsi="Arial"/>
                <w:sz w:val="14"/>
                <w:szCs w:val="14"/>
                <w:b w:val="1"/>
                <w:bCs w:val="1"/>
                <w:color w:val="auto"/>
                <w:w w:val="93"/>
              </w:rPr>
              <w:t>Pro forma as if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accounted for</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ASC 606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under ASC 605</w:t>
            </w:r>
          </w:p>
        </w:tc>
        <w:tc>
          <w:tcPr>
            <w:tcW w:w="0" w:type="dxa"/>
            <w:vAlign w:val="bottom"/>
          </w:tcPr>
          <w:p>
            <w:pPr>
              <w:spacing w:after="0"/>
              <w:rPr>
                <w:sz w:val="1"/>
                <w:szCs w:val="1"/>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 - related party</w:t>
            </w:r>
          </w:p>
        </w:tc>
        <w:tc>
          <w:tcPr>
            <w:tcW w:w="15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Loss from operations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(100,284)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(75,004)</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(98,942)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(73,662)</w:t>
            </w:r>
          </w:p>
        </w:tc>
        <w:tc>
          <w:tcPr>
            <w:tcW w:w="0" w:type="dxa"/>
            <w:vAlign w:val="bottom"/>
          </w:tcPr>
          <w:p>
            <w:pPr>
              <w:spacing w:after="0"/>
              <w:rPr>
                <w:sz w:val="1"/>
                <w:szCs w:val="1"/>
                <w:color w:val="auto"/>
              </w:rPr>
            </w:pPr>
          </w:p>
        </w:tc>
      </w:tr>
      <w:tr>
        <w:trPr>
          <w:trHeight w:val="215"/>
        </w:trPr>
        <w:tc>
          <w:tcPr>
            <w:tcW w:w="554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Collaboration revenue – related party decreased by approximately $25,280 as reported under ASC 606 when compared to what would have been reported under ASC 605 for the year ended December 31, 2018.</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compares the reported consolidated statements of cash flows for the year ended December 31, 2018 to the pro forma amounts had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ASC 605 been in effect: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20" w:type="dxa"/>
            <w:vAlign w:val="bottom"/>
            <w:gridSpan w:val="6"/>
          </w:tcPr>
          <w:p>
            <w:pPr>
              <w:ind w:left="480"/>
              <w:spacing w:after="0"/>
              <w:rPr>
                <w:sz w:val="20"/>
                <w:szCs w:val="20"/>
                <w:color w:val="auto"/>
              </w:rPr>
            </w:pPr>
            <w:r>
              <w:rPr>
                <w:rFonts w:ascii="Arial" w:cs="Arial" w:eastAsia="Arial" w:hAnsi="Arial"/>
                <w:sz w:val="14"/>
                <w:szCs w:val="14"/>
                <w:b w:val="1"/>
                <w:bCs w:val="1"/>
                <w:color w:val="auto"/>
              </w:rPr>
              <w:t>Year Ended December 31, 2018</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As Reported under</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01"/>
              <w:spacing w:after="0" w:line="133" w:lineRule="exact"/>
              <w:rPr>
                <w:sz w:val="20"/>
                <w:szCs w:val="20"/>
                <w:color w:val="auto"/>
              </w:rPr>
            </w:pPr>
            <w:r>
              <w:rPr>
                <w:rFonts w:ascii="Arial" w:cs="Arial" w:eastAsia="Arial" w:hAnsi="Arial"/>
                <w:sz w:val="14"/>
                <w:szCs w:val="14"/>
                <w:b w:val="1"/>
                <w:bCs w:val="1"/>
                <w:color w:val="auto"/>
                <w:w w:val="93"/>
              </w:rPr>
              <w:t>Pro forma as if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accounted for</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under ASC 605</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9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3"/>
              </w:rPr>
              <w:t>(73,662)</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Deferred revenue</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13,476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700"/>
              <w:spacing w:after="0"/>
              <w:rPr>
                <w:sz w:val="20"/>
                <w:szCs w:val="20"/>
                <w:color w:val="auto"/>
              </w:rPr>
            </w:pPr>
            <w:r>
              <w:rPr>
                <w:rFonts w:ascii="Arial" w:cs="Arial" w:eastAsia="Arial" w:hAnsi="Arial"/>
                <w:sz w:val="18"/>
                <w:szCs w:val="18"/>
                <w:color w:val="auto"/>
                <w:w w:val="98"/>
              </w:rPr>
              <w:t>(11,804)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40" w:type="dxa"/>
            <w:vAlign w:val="bottom"/>
            <w:gridSpan w:val="2"/>
          </w:tcPr>
          <w:p>
            <w:pPr>
              <w:jc w:val="right"/>
              <w:ind w:right="1785"/>
              <w:spacing w:after="0"/>
              <w:rPr>
                <w:sz w:val="20"/>
                <w:szCs w:val="20"/>
                <w:color w:val="auto"/>
              </w:rPr>
            </w:pPr>
            <w:r>
              <w:rPr>
                <w:rFonts w:ascii="Arial" w:cs="Arial" w:eastAsia="Arial" w:hAnsi="Arial"/>
                <w:sz w:val="18"/>
                <w:szCs w:val="18"/>
                <w:color w:val="auto"/>
              </w:rPr>
              <w:t>F-22</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The adoption of ASC 606 resulted in a $25,280 increase in net loss, due to a corresponding decrease in revenue and an increase of $25,280 in the change in deferred revenue for the year ended December 31, 2018. The adoption of ASC 606 did not change net cash used in operating activities.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NHS Collaboration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In January 2016, the Company entered into the License Agreement for the development and commercialization of certain product candidates in development for the treatment and management of CDI and IBD, including UC and Crohn’s disease. The License Agreement supports the development of the Company’s portfolio of products for CDI and IBD in markets outside of the United States and Canada (the “Licensed Territory”). The Company has retained full commercial rights to its entire portfolio of product candidates with respect to the United States and Canada.</w:t>
      </w:r>
    </w:p>
    <w:p>
      <w:pPr>
        <w:spacing w:after="0" w:line="17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Under the License Agreement, the Company granted to NHS an exclusive, royalty-bearing license to develop and commercialize, in the Licensed Territory, certain products based on its microbiome technology that are being developed for the treatment of CDI and IBD, including SER-109, SER-262, SER-287 and SER-301 (collectively, the “NHS Collaboration Products”). The License Agreement sets forth the Company’s and NHS’ respective obligations for development, commercialization, regulatory and manufacturing and supply activities for the NHS Collaboration Products with respect to the licensed fields and the Licensed Territory.</w:t>
      </w:r>
    </w:p>
    <w:p>
      <w:pPr>
        <w:spacing w:after="0" w:line="188"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Under the License Agreement, NHS agreed to pay the Company an upfront cash payment of $120,000, which the Company received in February 2016. The Company is eligible to receive up to $285,000 in development milestone payments, $375,000 in regulatory payments and up to an aggregate of $1,125,000 for the achievement of certain commercial milestones related to the sales of NHS Collaboration Products. NHS also agreed to pay the Company tiered royalties, at percentages ranging from the high single digits to high teens, of net sales of NHS Collaboration Products in the Licensed Territory.</w:t>
      </w:r>
    </w:p>
    <w:p>
      <w:pPr>
        <w:spacing w:after="0" w:line="154"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Under the License Agreement, the Company is entitled to receive a $20,000 milestone payment from NHS following initiation of a SER-287 Phase 2 study and a $20,000 milestone payment from NHS following the initiation of a SER-287 Phase 3 study. In November 2018, the Company entered into a letter agreement with NHS which modified the License Agreement to address the current clinical plans for SER-287. Through the letter agreement, the Company and NHS agreed that following initiation of the SER-287 Phase 2b study, the Company will receive $40,000 in milestone payments from NHS which represents the milestone due to the Company for the initiation of the SER-287 Phase 2 and Phase 3 studies. The SER-287 Phase 2b study was initiated and the $40,000 of milestone payments were received in December 2018. The letter agreement also provides scenarios under which NHS’ reimbursement to the Company for certain Phase 3 development costs would be reduced or delayed depending on the outcomes of the SER-287 Phase 2b study.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31"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The Company assessed the License Agreement in accordance with ASC 606 and concluded that NHS is a customer. The Company identified the following promises under the contract: (i) a license to develop and commercialize the NHS Collaboration Products in the Licensed Territory, (ii) obligation to perform research and development services, (iii) participation on a joint steering committee, and (iv) manufacturing services to provide clinical supply to complete future clinical trials. In addition, the Company identified a contingent obligation to perform manufacturing services to provide commercial supply if commercialization occurs, which is contingent upon regulatory approval. This contingent obligation is not a performance obligation at inception and has been excluded from the initial allocation as it represents a separate buying decision at market rates, rather than a material right in the contract. The Company assessed the promised goods and services to determine if they are distinct. Based on this assessment, the Company determined that NHS cannot benefit from the promised goods and services separately from the others as they are highly interrelated and therefore not distinct. Accordingly, the promised goods and services represent one combined performance obligation and the entire transaction price will be allocated to that single combined performance obligation.</w:t>
      </w:r>
    </w:p>
    <w:p>
      <w:pPr>
        <w:spacing w:after="0" w:line="16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At contract inception, the Company determined that the $120,000 non-refundable upfront amount constituted the entirety of the consideration to be included in the transaction price as the development, regulatory, and commercial milestones were fully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constrained. During the year ended December 31, 2016, the Company received $10,000 from NHS in connection with the initiation of the Phase 1b study for SER-262 in CDI. During the year ended December 31, 2017, the Company received $20,000 from NHS in connection with the initiation of the Phase 3 study for SER-109. Therefore, as of January 1, 2018, the aggregate amount of the transaction price allocated to the remaining performance obligation of the License Agreement was approximately $150,000.</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year ended December 31, 2018, the Company received $40,000 from NHS in connection with the initiation of the Phase 2b study for SER-</w:t>
      </w:r>
    </w:p>
    <w:p>
      <w:pPr>
        <w:spacing w:after="0" w:line="46" w:lineRule="exact"/>
        <w:rPr>
          <w:sz w:val="20"/>
          <w:szCs w:val="20"/>
          <w:color w:val="auto"/>
        </w:rPr>
      </w:pPr>
    </w:p>
    <w:p>
      <w:pPr>
        <w:ind w:right="20" w:firstLine="8"/>
        <w:spacing w:after="0" w:line="273" w:lineRule="auto"/>
        <w:tabs>
          <w:tab w:leader="none" w:pos="405"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the third quarter of 2018, the Company increased the transaction price by $20,000 associated with the Phase 2 milestone for SER-287. The Company estimated the $20,000 of variable consideration by using the most likely amount method which best predicts the amount of consideration to which the Company will be entitled. The Company included the $20,000 in the transaction price because it is probable that a significant reversal in the amount of cumulative revenue recognized will not occur when the uncertainty associated with the variable consideration is subsequently resolved.</w:t>
      </w:r>
    </w:p>
    <w:p>
      <w:pPr>
        <w:spacing w:after="0" w:line="17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the fourth quarter of 2018, the Company entered into a letter agreement with NHS which modified the License Agreement to address the current clinical plans for SER-287. As a result of this modification, the Company and NHS agreed that the $20,000 milestone payment due to the Company from NHS following the initiation of a Phase 3 study for SER-287 would now be due to the Company upon initiation of the SER-287 Phase 2b study. The Letter Agreement constituted a contract modification under ASC 606. The Company accounted for the contract modification through a cumulative catch-up adjustment because the contract modification did not add any additional goods or services and the remaining goods and services are not distinct. The SER-287 Phase 2b study was initiated in December 2018 and the Company included the $20,000 in the transaction price as of December 31, 2018. The transaction price as of December 31, 2018 was approximately $190,000.</w:t>
      </w:r>
    </w:p>
    <w:p>
      <w:pPr>
        <w:spacing w:after="0" w:line="189" w:lineRule="exact"/>
        <w:rPr>
          <w:sz w:val="20"/>
          <w:szCs w:val="20"/>
          <w:color w:val="auto"/>
        </w:rPr>
      </w:pPr>
    </w:p>
    <w:p>
      <w:pPr>
        <w:ind w:right="280" w:firstLine="518"/>
        <w:spacing w:after="0" w:line="302" w:lineRule="auto"/>
        <w:rPr>
          <w:sz w:val="20"/>
          <w:szCs w:val="20"/>
          <w:color w:val="auto"/>
        </w:rPr>
      </w:pPr>
      <w:r>
        <w:rPr>
          <w:rFonts w:ascii="Arial" w:cs="Arial" w:eastAsia="Arial" w:hAnsi="Arial"/>
          <w:sz w:val="16"/>
          <w:szCs w:val="16"/>
          <w:color w:val="auto"/>
        </w:rPr>
        <w:t>During the twelve months ended December 31, 2018, using the cost-to-cost method, which best depicts the transfer of control to the customer, the Company recognized $26,917 of Collaboration revenue – related party. Included in the revenue recognized during the twelve months ended December 31, 2018 were cumulative catch-up adjustments of approximately $5,020 and $5,517, related to including the $20,000 Phase 2 milestone for SER-287 in the transaction in the third quarter of 2018 and the $20,000 Phase 3 milestone for SER-287 in the transaction price in the fourth quarter of 2018.</w:t>
      </w:r>
    </w:p>
    <w:p>
      <w:pPr>
        <w:spacing w:after="0" w:line="154"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For the twelve months ended December 31, 2017, the Company recognized $32,100 of Collaboration revenue – related party under ASC 605 which comprised (i) a $20,000 milestone for the initiation of the Phase 3 study for SER-109, recognized in accordance with the milestone method of revenue recognition (ASC 605-28) and (ii) $12,100 of revenue from the upfront license fee. For the twelve months ended December 31, 2016, the Company recognized $21,766 of Collaboration revenue – related party under ASC 605 which comprised (i) a $10,000 milestone for the initiation of the Phase 3 study for SER-109, recorded in accordance with the milestone method of revenue recognition (ASC 605-28) and (ii) $11,766 of revenue from the upfront license fee.</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of December 31, 2018 and 2017, there was $137,259, and $96,926 of deferred revenue related to the unsatisfied portion of the performance obligation under the License Agreement. As of December 31, 2018, the deferred revenue is classified as current or non-current in the consolidated balance sheets based on the Company’s estimate of revenue that will be recognized within the next twelve months which is determined by the cost-to-cost method which measures the extent of progress towards completion based on the ratio of actual costs incurred to the total estimated costs expected upon satisfying the performance obligation. All costs associated with the License Agreement are recorded in research and development expense in the consolidated statements of operations and comprehensive loss.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580" w:firstLine="518"/>
        <w:spacing w:after="0" w:line="342" w:lineRule="auto"/>
        <w:rPr>
          <w:sz w:val="20"/>
          <w:szCs w:val="20"/>
          <w:color w:val="auto"/>
        </w:rPr>
      </w:pPr>
      <w:r>
        <w:rPr>
          <w:rFonts w:ascii="Arial" w:cs="Arial" w:eastAsia="Arial" w:hAnsi="Arial"/>
          <w:sz w:val="16"/>
          <w:szCs w:val="16"/>
          <w:color w:val="auto"/>
        </w:rPr>
        <w:t>The adoption of ASC 606 resulted in an increase to deferred revenue, which in turn generated an additional deferred tax asset that increased the Company’s net deferred tax asset position. As the Company fully reserves its net deferred tax assets, the impact was offset by the valuation allowance.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changes in the Company’s contract liabilities during the twelve months ended December 31, 2018:</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Balance as of</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Additions</w:t>
            </w: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Deductions</w:t>
            </w: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January 1, 2018</w:t>
            </w:r>
          </w:p>
        </w:tc>
        <w:tc>
          <w:tcPr>
            <w:tcW w:w="12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2018</w:t>
            </w: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Contract liabilities: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123,783</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40,393</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(26,917)</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During the twelve months ended December 31, 2018 we recognized the following revenues as a result of changes in the contract liability balances in the respective periods: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Year Ended December 31,</w:t>
            </w:r>
          </w:p>
        </w:tc>
      </w:tr>
      <w:tr>
        <w:trPr>
          <w:trHeight w:val="156"/>
        </w:trPr>
        <w:tc>
          <w:tcPr>
            <w:tcW w:w="8460" w:type="dxa"/>
            <w:vAlign w:val="bottom"/>
            <w:tcBorders>
              <w:bottom w:val="single" w:sz="8" w:color="CFF0FC"/>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64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8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8460" w:type="dxa"/>
            <w:vAlign w:val="bottom"/>
          </w:tcPr>
          <w:p>
            <w:pPr>
              <w:ind w:left="120"/>
              <w:spacing w:after="0"/>
              <w:rPr>
                <w:sz w:val="20"/>
                <w:szCs w:val="20"/>
                <w:color w:val="auto"/>
              </w:rPr>
            </w:pPr>
            <w:r>
              <w:rPr>
                <w:rFonts w:ascii="Arial" w:cs="Arial" w:eastAsia="Arial" w:hAnsi="Arial"/>
                <w:sz w:val="18"/>
                <w:szCs w:val="18"/>
                <w:color w:val="auto"/>
              </w:rPr>
              <w:t>Amounts included in the contract liability at the beginning</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60" w:type="dxa"/>
            <w:vAlign w:val="bottom"/>
          </w:tcPr>
          <w:p>
            <w:pPr>
              <w:ind w:left="260"/>
              <w:spacing w:after="0"/>
              <w:rPr>
                <w:sz w:val="20"/>
                <w:szCs w:val="20"/>
                <w:color w:val="auto"/>
              </w:rPr>
            </w:pPr>
            <w:r>
              <w:rPr>
                <w:rFonts w:ascii="Arial" w:cs="Arial" w:eastAsia="Arial" w:hAnsi="Arial"/>
                <w:sz w:val="18"/>
                <w:szCs w:val="18"/>
                <w:color w:val="auto"/>
              </w:rPr>
              <w:t>of the period</w:t>
            </w:r>
          </w:p>
        </w:tc>
        <w:tc>
          <w:tcPr>
            <w:tcW w:w="1720" w:type="dxa"/>
            <w:vAlign w:val="bottom"/>
          </w:tcPr>
          <w:p>
            <w:pPr>
              <w:jc w:val="right"/>
              <w:spacing w:after="0"/>
              <w:rPr>
                <w:sz w:val="20"/>
                <w:szCs w:val="20"/>
                <w:color w:val="auto"/>
              </w:rPr>
            </w:pPr>
            <w:r>
              <w:rPr>
                <w:rFonts w:ascii="Arial" w:cs="Arial" w:eastAsia="Arial" w:hAnsi="Arial"/>
                <w:sz w:val="18"/>
                <w:szCs w:val="18"/>
                <w:color w:val="auto"/>
              </w:rPr>
              <w:t>15,774</w:t>
            </w:r>
          </w:p>
        </w:tc>
        <w:tc>
          <w:tcPr>
            <w:tcW w:w="100" w:type="dxa"/>
            <w:vAlign w:val="bottom"/>
          </w:tcPr>
          <w:p>
            <w:pPr>
              <w:spacing w:after="0"/>
              <w:rPr>
                <w:sz w:val="20"/>
                <w:szCs w:val="20"/>
                <w:color w:val="auto"/>
              </w:rPr>
            </w:pPr>
          </w:p>
        </w:tc>
      </w:tr>
    </w:tbl>
    <w:p>
      <w:pPr>
        <w:spacing w:after="0" w:line="229"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When consideration is received, or such consideration is unconditionally due, from a customer prior to transferring goods or services to the customer under the terms of a contract, a contract liability is recorded. Revenue is recognized from the contract liability over time using the cost-to-cost method.</w:t>
      </w:r>
    </w:p>
    <w:p>
      <w:pPr>
        <w:spacing w:after="0" w:line="309"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common stockholders was calculated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70"/>
        </w:trPr>
        <w:tc>
          <w:tcPr>
            <w:tcW w:w="1160" w:type="dxa"/>
            <w:vAlign w:val="bottom"/>
          </w:tcPr>
          <w:p>
            <w:pPr>
              <w:spacing w:after="0"/>
              <w:rPr>
                <w:sz w:val="23"/>
                <w:szCs w:val="23"/>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(98,942)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(89,380)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(91,579)</w:t>
            </w:r>
          </w:p>
        </w:tc>
        <w:tc>
          <w:tcPr>
            <w:tcW w:w="1160" w:type="dxa"/>
            <w:vAlign w:val="bottom"/>
          </w:tcPr>
          <w:p>
            <w:pPr>
              <w:spacing w:after="0"/>
              <w:rPr>
                <w:sz w:val="23"/>
                <w:szCs w:val="23"/>
                <w:color w:val="auto"/>
              </w:rPr>
            </w:pPr>
          </w:p>
        </w:tc>
      </w:tr>
      <w:tr>
        <w:trPr>
          <w:trHeight w:val="210"/>
        </w:trPr>
        <w:tc>
          <w:tcPr>
            <w:tcW w:w="1160" w:type="dxa"/>
            <w:vAlign w:val="bottom"/>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3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1160" w:type="dxa"/>
            <w:vAlign w:val="bottom"/>
          </w:tcPr>
          <w:p>
            <w:pPr>
              <w:spacing w:after="0"/>
              <w:rPr>
                <w:sz w:val="18"/>
                <w:szCs w:val="18"/>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w w:val="97"/>
              </w:rPr>
              <w:t>Weighted average common shares outstanding,</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70"/>
        </w:trPr>
        <w:tc>
          <w:tcPr>
            <w:tcW w:w="1160" w:type="dxa"/>
            <w:vAlign w:val="bottom"/>
          </w:tcPr>
          <w:p>
            <w:pPr>
              <w:spacing w:after="0"/>
              <w:rPr>
                <w:sz w:val="23"/>
                <w:szCs w:val="23"/>
                <w:color w:val="auto"/>
              </w:rPr>
            </w:pPr>
          </w:p>
        </w:tc>
        <w:tc>
          <w:tcPr>
            <w:tcW w:w="40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basic and diluted</w:t>
            </w:r>
          </w:p>
        </w:tc>
        <w:tc>
          <w:tcPr>
            <w:tcW w:w="13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40,743,492</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40,449,410</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39,846,928</w:t>
            </w:r>
          </w:p>
        </w:tc>
        <w:tc>
          <w:tcPr>
            <w:tcW w:w="80" w:type="dxa"/>
            <w:vAlign w:val="bottom"/>
            <w:tcBorders>
              <w:bottom w:val="single" w:sz="8" w:color="CFF0FC"/>
            </w:tcBorders>
          </w:tcPr>
          <w:p>
            <w:pPr>
              <w:spacing w:after="0"/>
              <w:rPr>
                <w:sz w:val="23"/>
                <w:szCs w:val="23"/>
                <w:color w:val="auto"/>
              </w:rPr>
            </w:pPr>
          </w:p>
        </w:tc>
        <w:tc>
          <w:tcPr>
            <w:tcW w:w="1160" w:type="dxa"/>
            <w:vAlign w:val="bottom"/>
          </w:tcPr>
          <w:p>
            <w:pPr>
              <w:spacing w:after="0"/>
              <w:rPr>
                <w:sz w:val="23"/>
                <w:szCs w:val="23"/>
                <w:color w:val="auto"/>
              </w:rPr>
            </w:pPr>
          </w:p>
        </w:tc>
      </w:tr>
      <w:tr>
        <w:trPr>
          <w:trHeight w:val="196"/>
        </w:trPr>
        <w:tc>
          <w:tcPr>
            <w:tcW w:w="1160" w:type="dxa"/>
            <w:vAlign w:val="bottom"/>
          </w:tcPr>
          <w:p>
            <w:pPr>
              <w:spacing w:after="0"/>
              <w:rPr>
                <w:sz w:val="17"/>
                <w:szCs w:val="17"/>
                <w:color w:val="auto"/>
              </w:rPr>
            </w:pPr>
          </w:p>
        </w:tc>
        <w:tc>
          <w:tcPr>
            <w:tcW w:w="4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attributable to common</w:t>
            </w: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 basic and diluted</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(2.43)</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(2.21)</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w:t>
            </w:r>
          </w:p>
        </w:tc>
        <w:tc>
          <w:tcPr>
            <w:tcW w:w="116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8"/>
                <w:szCs w:val="18"/>
                <w:color w:val="auto"/>
              </w:rPr>
              <w:t>F-25</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6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The Company’s potential dilutive securities, which include stock options, unvested restricted common stock and shares issuable under the ESPP,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 attributable to common stockholders for the periods indicated because including them would have had an anti-dilutive effect:</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72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9"/>
              </w:rPr>
              <w:t>Year Ended 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7,561,719</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6,125,692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5,069,133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226,900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356,778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Shares issuable under ESPP</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49,495</w:t>
            </w:r>
          </w:p>
        </w:tc>
        <w:tc>
          <w:tcPr>
            <w:tcW w:w="20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7,838,114</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6,482,470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5,184,633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ind w:left="520" w:hanging="512"/>
        <w:spacing w:after="0"/>
        <w:tabs>
          <w:tab w:leader="none" w:pos="5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Company previously leased office and laboratory space with a lease term expiring in January 2018 and no extension periods. In May 2016, upon mutual agreement with the landlord, the Company accelerated the termination of the operating lease to June 30, 2016. Upon termination of the lease, the Company recorded a benefit to rent expense of $136 to write off amounts previously recorded as deferred rent. The outstanding security deposit of $119, which was secured by a cash collateralized letter of credit, was released in September 2016.</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April 1, 2015, the Company entered into a lease for additional office and laboratory space with a term expiring in April 2020.</w:t>
      </w:r>
    </w:p>
    <w:p>
      <w:pPr>
        <w:spacing w:after="0" w:line="225"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On November 11, 2015, the Company entered into a non-cancelable property lease with BMR-Sidney Research Campus LLC (“BMR”) for 83,396 square feet of office, laboratory and pilot manufacturing space at 200 Sidney Street, Cambridge, Massachusetts. The lease term commenced in March 2016 and ends in November 2023. The Company has the option to extend the lease twice, each for a five-year period. The Company moved its corporate headquarters to this location in April 2016. BMR has contributed a total of $12,509 toward the cost of tenant improvements. BMR’s contributions toward the cost of tenant improvements is recorded as a lease incentive obligation on the Company’s consolidated balance sheet. The lease incentive obligation is amortized to the Company’s consolidated statement of operations as reductions to rent expense over the lease term. As of December 31, 2018, the Company recorded a lease incentive obligation of $8,544. During the year ended December 31, 2018, the Company amortized $1,768 of this lease incentive obligation as a reduction to rent expense.</w:t>
      </w:r>
    </w:p>
    <w:p>
      <w:pPr>
        <w:spacing w:after="0" w:line="192"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During the years ended December 31, 2018, 2017 and 2016, the Company recognized $4,377, $4,458, and $3,826, respectively, of rental expense related to office and laboratory space.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for these operating leases as of December 31,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tcPr>
          <w:p>
            <w:pPr>
              <w:ind w:left="2300"/>
              <w:spacing w:after="0"/>
              <w:rPr>
                <w:sz w:val="20"/>
                <w:szCs w:val="20"/>
                <w:color w:val="auto"/>
              </w:rPr>
            </w:pPr>
            <w:r>
              <w:rPr>
                <w:rFonts w:ascii="Arial" w:cs="Arial" w:eastAsia="Arial" w:hAnsi="Arial"/>
                <w:sz w:val="14"/>
                <w:szCs w:val="14"/>
                <w:b w:val="1"/>
                <w:bCs w:val="1"/>
                <w:color w:val="auto"/>
              </w:rPr>
              <w:t>Year Ending December 31,</w:t>
            </w: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23"/>
        </w:trPr>
        <w:tc>
          <w:tcPr>
            <w:tcW w:w="2300" w:type="dxa"/>
            <w:vAlign w:val="bottom"/>
          </w:tcPr>
          <w:p>
            <w:pPr>
              <w:spacing w:after="0"/>
              <w:rPr>
                <w:sz w:val="19"/>
                <w:szCs w:val="19"/>
                <w:color w:val="auto"/>
              </w:rPr>
            </w:pPr>
          </w:p>
        </w:tc>
        <w:tc>
          <w:tcPr>
            <w:tcW w:w="2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30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CFF0FC"/>
            </w:tcBorders>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6,342</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2020</w:t>
            </w: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6,120</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6,221</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2022</w:t>
            </w: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6,372</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2024 and thereafter</w:t>
            </w: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2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0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30,213</w:t>
            </w:r>
          </w:p>
        </w:tc>
        <w:tc>
          <w:tcPr>
            <w:tcW w:w="230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629"/>
        </w:trPr>
        <w:tc>
          <w:tcPr>
            <w:tcW w:w="2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520" w:type="dxa"/>
            <w:vAlign w:val="bottom"/>
            <w:gridSpan w:val="3"/>
          </w:tcPr>
          <w:p>
            <w:pPr>
              <w:jc w:val="right"/>
              <w:ind w:right="2290"/>
              <w:spacing w:after="0"/>
              <w:rPr>
                <w:sz w:val="20"/>
                <w:szCs w:val="20"/>
                <w:color w:val="auto"/>
              </w:rPr>
            </w:pPr>
            <w:r>
              <w:rPr>
                <w:rFonts w:ascii="Arial" w:cs="Arial" w:eastAsia="Arial" w:hAnsi="Arial"/>
                <w:sz w:val="18"/>
                <w:szCs w:val="18"/>
                <w:color w:val="auto"/>
              </w:rPr>
              <w:t>F-26</w:t>
            </w:r>
          </w:p>
        </w:tc>
        <w:tc>
          <w:tcPr>
            <w:tcW w:w="8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2018 or 2017.</w:t>
      </w:r>
    </w:p>
    <w:p>
      <w:pPr>
        <w:spacing w:after="0" w:line="351"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During the years ended December 31, 2018, 2017 and 2016, the Company recorded no income tax benefits for the net operating losses incurred in each year or interim period, due to its uncertainty of realizing a benefit from those items.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5"/>
              </w:rPr>
              <w:t>Year Ended December 31,</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08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0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(21.0)%</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Research and development tax credits</w:t>
            </w:r>
          </w:p>
        </w:tc>
        <w:tc>
          <w:tcPr>
            <w:tcW w:w="2420" w:type="dxa"/>
            <w:vAlign w:val="bottom"/>
            <w:gridSpan w:val="3"/>
          </w:tcPr>
          <w:p>
            <w:pPr>
              <w:jc w:val="right"/>
              <w:ind w:right="228"/>
              <w:spacing w:after="0"/>
              <w:rPr>
                <w:sz w:val="20"/>
                <w:szCs w:val="20"/>
                <w:color w:val="auto"/>
              </w:rPr>
            </w:pPr>
            <w:r>
              <w:rPr>
                <w:rFonts w:ascii="Arial" w:cs="Arial" w:eastAsia="Arial" w:hAnsi="Arial"/>
                <w:sz w:val="18"/>
                <w:szCs w:val="18"/>
                <w:color w:val="auto"/>
              </w:rPr>
              <w:t>(7.2)</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taxes, net of federal benefit</w:t>
            </w:r>
          </w:p>
        </w:tc>
        <w:tc>
          <w:tcPr>
            <w:tcW w:w="2420" w:type="dxa"/>
            <w:vAlign w:val="bottom"/>
            <w:gridSpan w:val="3"/>
            <w:shd w:val="clear" w:color="auto" w:fill="CFF0FC"/>
          </w:tcPr>
          <w:p>
            <w:pPr>
              <w:jc w:val="right"/>
              <w:ind w:right="228"/>
              <w:spacing w:after="0"/>
              <w:rPr>
                <w:sz w:val="20"/>
                <w:szCs w:val="20"/>
                <w:color w:val="auto"/>
              </w:rPr>
            </w:pPr>
            <w:r>
              <w:rPr>
                <w:rFonts w:ascii="Arial" w:cs="Arial" w:eastAsia="Arial" w:hAnsi="Arial"/>
                <w:sz w:val="18"/>
                <w:szCs w:val="18"/>
                <w:color w:val="auto"/>
              </w:rPr>
              <w:t>(7.2)</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(4.8)</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Revaluation of preferred stock warrant liability</w:t>
            </w:r>
          </w:p>
        </w:tc>
        <w:tc>
          <w:tcPr>
            <w:tcW w:w="10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Other</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Change in deferred tax asset valuation allowance</w:t>
            </w:r>
          </w:p>
        </w:tc>
        <w:tc>
          <w:tcPr>
            <w:tcW w:w="10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3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22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240" w:type="dxa"/>
            <w:vAlign w:val="bottom"/>
            <w:gridSpan w:val="2"/>
          </w:tcPr>
          <w:p>
            <w:pPr>
              <w:ind w:left="1140"/>
              <w:spacing w:after="0"/>
              <w:rPr>
                <w:sz w:val="20"/>
                <w:szCs w:val="20"/>
                <w:color w:val="auto"/>
              </w:rPr>
            </w:pPr>
            <w:r>
              <w:rPr>
                <w:rFonts w:ascii="Arial" w:cs="Arial" w:eastAsia="Arial" w:hAnsi="Arial"/>
                <w:sz w:val="18"/>
                <w:szCs w:val="18"/>
                <w:color w:val="auto"/>
              </w:rPr>
              <w:t>Effective income tax rate</w:t>
            </w:r>
          </w:p>
        </w:tc>
        <w:tc>
          <w:tcPr>
            <w:tcW w:w="1040" w:type="dxa"/>
            <w:vAlign w:val="bottom"/>
          </w:tcPr>
          <w:p>
            <w:pPr>
              <w:spacing w:after="0"/>
              <w:rPr>
                <w:sz w:val="19"/>
                <w:szCs w:val="19"/>
                <w:color w:val="auto"/>
              </w:rPr>
            </w:pPr>
          </w:p>
        </w:tc>
        <w:tc>
          <w:tcPr>
            <w:tcW w:w="13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20" w:type="dxa"/>
            <w:vAlign w:val="bottom"/>
            <w:gridSpan w:val="3"/>
          </w:tcPr>
          <w:p>
            <w:pPr>
              <w:jc w:val="right"/>
              <w:ind w:right="1708"/>
              <w:spacing w:after="0"/>
              <w:rPr>
                <w:sz w:val="20"/>
                <w:szCs w:val="20"/>
                <w:color w:val="auto"/>
              </w:rPr>
            </w:pPr>
            <w:r>
              <w:rPr>
                <w:rFonts w:ascii="Arial" w:cs="Arial" w:eastAsia="Arial" w:hAnsi="Arial"/>
                <w:sz w:val="18"/>
                <w:szCs w:val="18"/>
                <w:color w:val="auto"/>
              </w:rPr>
              <w:t>F-27</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9" w:name="page120"/>
    <w:bookmarkEnd w:id="119"/>
    <w:p>
      <w:pPr>
        <w:jc w:val="center"/>
        <w:ind w:right="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6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As permitted by SEC Staff Accounting Bulletin 118, Income Tax Accounting Implications of the Tax Cuts and Jobs Act (“TCJA”), the Company recorded provisional estimates during the year ended December 31, 2017 and have subsequently finalized its accounting analysis based on the guidance, interpretations, and data available as of December 31, 2018. The Company finalized its accounting for the income tax effects of the TCJA during 2018, with no adjustment to the provisional amounts previously recorded.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deferred tax assets as of December 31, 2018 and 2017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50,723</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32,997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 carryforwards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25,405</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Capitalized organization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Charitable Contributions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4,613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Capitalized research and development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134,553</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97,596</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(2,544)</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(3,470)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ind w:left="172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(132,009)</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(94,126)</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vMerge w:val="restart"/>
          </w:tcPr>
          <w:p>
            <w:pPr>
              <w:ind w:left="3820"/>
              <w:spacing w:after="0"/>
              <w:rPr>
                <w:sz w:val="20"/>
                <w:szCs w:val="20"/>
                <w:color w:val="auto"/>
              </w:rPr>
            </w:pPr>
            <w:r>
              <w:rPr>
                <w:rFonts w:ascii="Arial" w:cs="Arial" w:eastAsia="Arial" w:hAnsi="Arial"/>
                <w:sz w:val="18"/>
                <w:szCs w:val="18"/>
                <w:color w:val="auto"/>
              </w:rPr>
              <w:t>F-28</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As of December 31, 2018, the Company had net operating loss carryforwards (“NOLs”) for federal and state income tax purposes of $185,583 and $185,927, respectively. Federal NOLs of $119,781, generated before 2018, will begin expiring in varying amounts in 2035 unless utilized. The remaining federal NOLs of $65,801, generated after 2017, will be carried forward indefinitely and could be used to offset up to 80% of taxable income of each future tax year. Massachusetts does not follow federal time periods for NOLs and as such the Company’s Massachusetts NOLs of $185,927 will expire in at various times starting in 2035. As of December 31, 2018, the Company also had available research and development tax credit carryforwards for federal and state income tax purposes of $28,638 and $4,916, respectively, which begin to expire in 2031 and 2028, respectively. The federal research and development tax credits include an orphan drug credit carryforward of $17,552. Utilization of the NOLs and research and development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Since our formation, the Company has raised capital through the issuance of capital stock on several occasions. These financings, combined with the purchasing shareholders' subsequent disposition of those shares, may have resulted in a change of control as defined by Section 382 or could result in a change of control in the future upon subsequent disposition. The Company conducted an analysis under Section 382 to determine if historical changes in ownership through August 31, 2015 would limit or otherwise restrict its ability to utilize these NOLs and research and development credit carryforwards. As a result of this analysis, the Company does not believe there are any significant limitations on its ability to utilize these carryforwards. However, future changes in ownership after August 31, 2015 could affect the limitation in future years. Any limitation may result in expiration of a portion of the NOLs or research and development credit carryforwards before utilization.</w:t>
      </w:r>
    </w:p>
    <w:p>
      <w:pPr>
        <w:spacing w:after="0" w:line="175" w:lineRule="exact"/>
        <w:rPr>
          <w:sz w:val="20"/>
          <w:szCs w:val="20"/>
          <w:color w:val="auto"/>
        </w:rPr>
      </w:pPr>
    </w:p>
    <w:p>
      <w:pPr>
        <w:jc w:val="both"/>
        <w:ind w:right="120" w:firstLine="518"/>
        <w:spacing w:after="0" w:line="288"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w:t>
      </w:r>
    </w:p>
    <w:p>
      <w:pPr>
        <w:ind w:right="160"/>
        <w:spacing w:after="0" w:line="261" w:lineRule="auto"/>
        <w:rPr>
          <w:sz w:val="20"/>
          <w:szCs w:val="20"/>
          <w:color w:val="auto"/>
        </w:rPr>
      </w:pPr>
      <w:r>
        <w:rPr>
          <w:rFonts w:ascii="Arial" w:cs="Arial" w:eastAsia="Arial" w:hAnsi="Arial"/>
          <w:sz w:val="18"/>
          <w:szCs w:val="18"/>
          <w:color w:val="auto"/>
        </w:rPr>
        <w:t>Accordingly, a full valuation allowance has been established against the deferred tax assets as of December 31, 2018 and 2017. Management reevaluates the positive and negative evidence at each reporting period.</w:t>
      </w:r>
    </w:p>
    <w:p>
      <w:pPr>
        <w:spacing w:after="0" w:line="184"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Changes in the valuation allowance for deferred tax assets during the years ended December 31, 2018, 2017 and 2016 related primarily to the increases in NOLs, research and development tax credit carryforwards, stock-based compensation and decrease of the deferred rate due to tax reform were as follows: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at beginning of year</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(94,126)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(82,994)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Decreases recorded as benefit to income tax provision</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Increases recorded to income tax provision</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(37,883)</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(40,678)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(50,217)</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Valuation allowance as of end of year</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(132,009)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(94,126)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(82,994)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December 31, 2018, 2017, and 2016, the Company had no unrecognized tax benefits. Interest and penalty charges, if any, related to unrecognized tax benefits would be classified as income tax expense. The Company does not expect any significant change in its uncertain tax positions in the next 12 months.</w:t>
      </w:r>
    </w:p>
    <w:p>
      <w:pPr>
        <w:spacing w:after="0" w:line="18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During the year ended December 31, 2016, the Company was awarded a tax incentive for job creation from the Massachusetts Life Sciences Center. The program was established in 2008 in order to incentivize life sciences companies to create new sustained jobs in Massachusetts. Jobs must be maintained for at least five years, during which time the grant proceeds can be recovered by the Massachusetts Department of Revenue if the Company does not meet and maintain its job creation commitments. The award was received in 2016 and recorded in other current liabilities as of December 31, 2016 as the Company did not meet the job creation commitments. During the year ended December 31, 2018, the Company met the job creation commitments and recorded $170 as other income in the consolidated statement of operations for the portion of the award earned through the year ended December 31, 2018. The balance of the incentive award has been recorded in the Company’s consolidated balance sheet as a liability until such time that the award is fully earned.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21"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The following table contains quarterly financial information for 2018 and 2017.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11"/>
                <w:szCs w:val="11"/>
                <w:color w:val="auto"/>
              </w:rPr>
            </w:pPr>
          </w:p>
        </w:tc>
        <w:tc>
          <w:tcPr>
            <w:tcW w:w="9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1"/>
                <w:szCs w:val="11"/>
                <w:color w:val="auto"/>
              </w:rPr>
            </w:pPr>
          </w:p>
        </w:tc>
        <w:tc>
          <w:tcPr>
            <w:tcW w:w="10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9"/>
              </w:rPr>
              <w:t>Fourth</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Collaboration revenue - related party </w:t>
            </w:r>
            <w:r>
              <w:rPr>
                <w:rFonts w:ascii="Arial" w:cs="Arial" w:eastAsia="Arial" w:hAnsi="Arial"/>
                <w:sz w:val="15"/>
                <w:szCs w:val="15"/>
                <w:color w:val="auto"/>
              </w:rPr>
              <w:t>(1)</w:t>
            </w:r>
          </w:p>
        </w:tc>
        <w:tc>
          <w:tcPr>
            <w:tcW w:w="1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Grant revenue</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Loss from operations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(28,266)</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(28,136)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(22,211)</w:t>
            </w: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(21,671)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(100,284)</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(27,919)</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(27,787)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(21,949)</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(21,287)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(98,942)</w:t>
            </w:r>
          </w:p>
        </w:tc>
        <w:tc>
          <w:tcPr>
            <w:tcW w:w="0" w:type="dxa"/>
            <w:vAlign w:val="bottom"/>
          </w:tcPr>
          <w:p>
            <w:pPr>
              <w:spacing w:after="0"/>
              <w:rPr>
                <w:sz w:val="1"/>
                <w:szCs w:val="1"/>
                <w:color w:val="auto"/>
              </w:rPr>
            </w:pP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rPr>
              <w:t>Net loss per share applicable to common</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stockholders - basic and diluted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(0.54)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(0.52)</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446"/>
        </w:trPr>
        <w:tc>
          <w:tcPr>
            <w:tcW w:w="4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First</w:t>
            </w:r>
          </w:p>
        </w:tc>
        <w:tc>
          <w:tcPr>
            <w:tcW w:w="180" w:type="dxa"/>
            <w:vAlign w:val="bottom"/>
          </w:tcPr>
          <w:p>
            <w:pPr>
              <w:spacing w:after="0"/>
              <w:rPr>
                <w:sz w:val="11"/>
                <w:szCs w:val="11"/>
                <w:color w:val="auto"/>
              </w:rPr>
            </w:pPr>
          </w:p>
        </w:tc>
        <w:tc>
          <w:tcPr>
            <w:tcW w:w="9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1"/>
                <w:szCs w:val="11"/>
                <w:color w:val="auto"/>
              </w:rPr>
            </w:pPr>
          </w:p>
        </w:tc>
        <w:tc>
          <w:tcPr>
            <w:tcW w:w="10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9"/>
              </w:rPr>
              <w:t>Fourth</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Collaboration revenue - related party </w:t>
            </w:r>
            <w:r>
              <w:rPr>
                <w:rFonts w:ascii="Arial" w:cs="Arial" w:eastAsia="Arial" w:hAnsi="Arial"/>
                <w:sz w:val="15"/>
                <w:szCs w:val="15"/>
                <w:color w:val="auto"/>
              </w:rPr>
              <w:t>(1)</w:t>
            </w:r>
          </w:p>
        </w:tc>
        <w:tc>
          <w:tcPr>
            <w:tcW w:w="1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30,329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(25,890)</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(28,416)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(7,314)</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(29,775)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(91,395)</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(25,474)</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(28,018)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(6,935)</w:t>
            </w: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(28,953)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(89,380)</w:t>
            </w: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applicable to common</w:t>
            </w: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 basic and diluted</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(0.63)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(0.72)</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right="420" w:hanging="512"/>
        <w:spacing w:after="0" w:line="264" w:lineRule="auto"/>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adopted ASC 606 on January 1, 2018, using the modified retrospective method for all contracts not completed as of the date of adoption. The Company’s reported results for 2018 reflect the application of ASC 606 guidance while its reported results for 2017 and 2016 were prepared under the guidance outlined in ASC 605. Refer to Note 9 for further details.</w:t>
      </w:r>
    </w:p>
    <w:p>
      <w:pPr>
        <w:spacing w:after="0" w:line="380"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right="40" w:firstLine="518"/>
        <w:spacing w:after="0" w:line="297" w:lineRule="auto"/>
        <w:rPr>
          <w:sz w:val="20"/>
          <w:szCs w:val="20"/>
          <w:color w:val="auto"/>
        </w:rPr>
      </w:pPr>
      <w:r>
        <w:rPr>
          <w:rFonts w:ascii="Arial" w:cs="Arial" w:eastAsia="Arial" w:hAnsi="Arial"/>
          <w:sz w:val="16"/>
          <w:szCs w:val="16"/>
          <w:color w:val="auto"/>
        </w:rPr>
        <w:t>In October 2010, the Company entered into a services agreement with Flagship Ventures Management, Inc., an affiliate of one of its stockholders (and now known as Flagship Pioneering), Flagship Venture Funds, to provide general and administrative services to the Company, including the employer portions of employee health and dental benefit plans for the Company’s employees and consulting services. The Company made payments under the agreement of $17 during the year ended December 31, 2016. There were no payments made during the year ended December 31, 2018 and 2017. There were no amounts due to Flagship Pioneering related to the services agreement as of December 31, 2018 and 2017.</w:t>
      </w:r>
    </w:p>
    <w:p>
      <w:pPr>
        <w:spacing w:after="0" w:line="158"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As described in Note 9, in January 2016 the Company entered into a License Agreement and, in November 2018, a letter agreement with NHS for the development and commercialization of certain product candidates in development for the treatment and management of CDI and IBD, including UC and Crohn’s disease. NHS is a related party since NHS is an affiliate of Nestlé Health Science, one of the Company’s significant stockholders. During the year ended December 31, 2018, 2017, and 2016, the Company recognized $26,917, $32,100, and $21,766, respectively, of related party revenue associated with the License Agreement. As of December 31, 2018 and 2017, there was $137,259 and $96,926, respectively, of deferred revenue related to the License Agreement, which is classified as current or non-current in the consolidated balance sheets. The Company has made no payments to NHS during the year ended December 31, 2018. There is no amount due from NHS as of December 31, 2018.</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23"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401(k) Savings Plan</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has a defined contribution savings plan under Section 401(k) of the Internal Revenue Code. This plan covers substantially all employees who meet minimum age and service requirements and allows participants to defer a portion of their annual compensation on a pre-tax basis. Effective January 1, 2016, the Company elected to match 50% of the first 6% of an employee’s deferral. Company contributions are expensed in the year for which they are declared. During the year ended December 31, 2018, 2017, and 2016 the Company recorded expense of $604, $484, and $457, respectively for 401(k) match contributions.</w:t>
      </w:r>
    </w:p>
    <w:p>
      <w:pPr>
        <w:spacing w:after="0" w:line="373" w:lineRule="exact"/>
        <w:rPr>
          <w:sz w:val="20"/>
          <w:szCs w:val="20"/>
          <w:color w:val="auto"/>
        </w:rPr>
      </w:pPr>
    </w:p>
    <w:p>
      <w:pPr>
        <w:ind w:left="580" w:hanging="572"/>
        <w:spacing w:after="0"/>
        <w:tabs>
          <w:tab w:leader="none" w:pos="5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5"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On January 14, 2019, Roger J. Pomerantz, M.D. notified the Company of his resignation from his position as President and Chief Executive Officer of the Company effective immediately. In connection with his resignation, Dr. Pomerantz entered into a separation agreement and release (the “Separation Agreement”) with the Company pursuant to which Dr. Pomerantz will receive the severance payments and benefits described in his existing employment agreement with the Company upon his involuntary or constructive termination, subject to and in accordance with the previously disclosed terms of his employment agreement. Dr. Pomerantz will continue to serve as a director and as Chairman of the Board of Directors (the “Board”) of the Company. The Company expects to record a liability in the first quarter of 2019 to reflect its obligations to Dr. Pomerantz under the Separation Agreement.</w:t>
      </w:r>
    </w:p>
    <w:p>
      <w:pPr>
        <w:spacing w:after="0" w:line="205"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On January 15, 2019, the Company announced that the Board had appointed Eric D. Shaff, as the Company’s President and Chief Executive Officer and as a member of the Board.</w:t>
      </w:r>
    </w:p>
    <w:p>
      <w:pPr>
        <w:spacing w:after="0" w:line="19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On February 7, 2019, the Company announced corporate changes to focus its resources on advancing its clinical-stage therapeutics candidates. As a result, the Company will now concentrate on completing the recently-initiated SER-287 Phase 2b study in mild-to-moderate UC, obtaining results from the ongoing SER-109 Phase 3 study for recurrent CDI and advancing the SER-401 Phase 1b study, in collaboration with the Parker Institute for Cancer Immunotherapy and MD Anderson Cancer Center, to evaluate augmenting checkpoint inhibitor response in patients with metastatic melanoma. In connection with the prioritization of these therapeutics candidates, the Company made changes to its management team and committed to a workforce reduction plan to reduce headcount by approximately 30 employees. Accordingly, the Company expects to incur one-time costs related primarily to employee termination benefits between $1,500 and $2,000.</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200"/>
              <w:spacing w:after="0"/>
              <w:rPr>
                <w:sz w:val="20"/>
                <w:szCs w:val="20"/>
                <w:color w:val="auto"/>
              </w:rPr>
            </w:pPr>
            <w:r>
              <w:rPr>
                <w:rFonts w:ascii="Arial" w:cs="Arial" w:eastAsia="Arial" w:hAnsi="Arial"/>
                <w:sz w:val="18"/>
                <w:szCs w:val="18"/>
                <w:b w:val="1"/>
                <w:bCs w:val="1"/>
                <w:color w:val="auto"/>
              </w:rPr>
              <w:t>SERES THERAPEUTICS, INC.</w:t>
            </w:r>
          </w:p>
        </w:tc>
      </w:tr>
      <w:tr>
        <w:trPr>
          <w:trHeight w:val="459"/>
        </w:trPr>
        <w:tc>
          <w:tcPr>
            <w:tcW w:w="3720" w:type="dxa"/>
            <w:vAlign w:val="bottom"/>
          </w:tcPr>
          <w:p>
            <w:pPr>
              <w:spacing w:after="0"/>
              <w:rPr>
                <w:sz w:val="20"/>
                <w:szCs w:val="20"/>
                <w:color w:val="auto"/>
              </w:rPr>
            </w:pPr>
            <w:r>
              <w:rPr>
                <w:rFonts w:ascii="Arial" w:cs="Arial" w:eastAsia="Arial" w:hAnsi="Arial"/>
                <w:sz w:val="18"/>
                <w:szCs w:val="18"/>
                <w:color w:val="auto"/>
              </w:rPr>
              <w:t>Date: March 6, 2019</w:t>
            </w:r>
          </w:p>
        </w:tc>
        <w:tc>
          <w:tcPr>
            <w:tcW w:w="7700" w:type="dxa"/>
            <w:vAlign w:val="bottom"/>
            <w:gridSpan w:val="2"/>
          </w:tcPr>
          <w:p>
            <w:pPr>
              <w:ind w:left="2200"/>
              <w:spacing w:after="0"/>
              <w:rPr>
                <w:sz w:val="20"/>
                <w:szCs w:val="20"/>
                <w:color w:val="auto"/>
              </w:rPr>
            </w:pPr>
            <w:r>
              <w:rPr>
                <w:rFonts w:ascii="Arial" w:cs="Arial" w:eastAsia="Arial" w:hAnsi="Arial"/>
                <w:sz w:val="18"/>
                <w:szCs w:val="18"/>
                <w:color w:val="auto"/>
              </w:rPr>
              <w:t>By:  /s/ Eric D. Shaff</w:t>
            </w:r>
          </w:p>
        </w:tc>
      </w:tr>
      <w:tr>
        <w:trPr>
          <w:trHeight w:val="195"/>
        </w:trPr>
        <w:tc>
          <w:tcPr>
            <w:tcW w:w="37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Eric D. Shaff</w:t>
            </w:r>
          </w:p>
        </w:tc>
      </w:tr>
      <w:tr>
        <w:trPr>
          <w:trHeight w:val="230"/>
        </w:trPr>
        <w:tc>
          <w:tcPr>
            <w:tcW w:w="3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Director</w:t>
            </w:r>
          </w:p>
        </w:tc>
      </w:tr>
    </w:tbl>
    <w:p>
      <w:pPr>
        <w:spacing w:after="0" w:line="229"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jc w:val="center"/>
              <w:spacing w:after="0"/>
              <w:rPr>
                <w:sz w:val="20"/>
                <w:szCs w:val="20"/>
                <w:color w:val="auto"/>
              </w:rPr>
            </w:pPr>
            <w:r>
              <w:rPr>
                <w:rFonts w:ascii="Arial" w:cs="Arial" w:eastAsia="Arial" w:hAnsi="Arial"/>
                <w:sz w:val="14"/>
                <w:szCs w:val="14"/>
                <w:b w:val="1"/>
                <w:bCs w:val="1"/>
                <w:color w:val="231F20"/>
                <w:w w:val="92"/>
              </w:rPr>
              <w:t>Signature</w:t>
            </w:r>
          </w:p>
        </w:tc>
        <w:tc>
          <w:tcPr>
            <w:tcW w:w="4780" w:type="dxa"/>
            <w:vAlign w:val="bottom"/>
          </w:tcPr>
          <w:p>
            <w:pPr>
              <w:ind w:left="1980"/>
              <w:spacing w:after="0"/>
              <w:rPr>
                <w:sz w:val="20"/>
                <w:szCs w:val="20"/>
                <w:color w:val="auto"/>
              </w:rPr>
            </w:pPr>
            <w:r>
              <w:rPr>
                <w:rFonts w:ascii="Arial" w:cs="Arial" w:eastAsia="Arial" w:hAnsi="Arial"/>
                <w:sz w:val="14"/>
                <w:szCs w:val="14"/>
                <w:b w:val="1"/>
                <w:bCs w:val="1"/>
                <w:color w:val="231F20"/>
              </w:rPr>
              <w:t>Title</w:t>
            </w:r>
          </w:p>
        </w:tc>
        <w:tc>
          <w:tcPr>
            <w:tcW w:w="2640" w:type="dxa"/>
            <w:vAlign w:val="bottom"/>
          </w:tcPr>
          <w:p>
            <w:pPr>
              <w:ind w:left="900"/>
              <w:spacing w:after="0"/>
              <w:rPr>
                <w:sz w:val="20"/>
                <w:szCs w:val="20"/>
                <w:color w:val="auto"/>
              </w:rPr>
            </w:pPr>
            <w:r>
              <w:rPr>
                <w:rFonts w:ascii="Arial" w:cs="Arial" w:eastAsia="Arial" w:hAnsi="Arial"/>
                <w:sz w:val="14"/>
                <w:szCs w:val="14"/>
                <w:b w:val="1"/>
                <w:bCs w:val="1"/>
                <w:color w:val="231F20"/>
              </w:rPr>
              <w:t>Date</w:t>
            </w:r>
          </w:p>
        </w:tc>
      </w:tr>
      <w:tr>
        <w:trPr>
          <w:trHeight w:val="35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D. Shaff</w:t>
            </w:r>
          </w:p>
        </w:tc>
        <w:tc>
          <w:tcPr>
            <w:tcW w:w="4780" w:type="dxa"/>
            <w:vAlign w:val="bottom"/>
          </w:tcPr>
          <w:p>
            <w:pPr>
              <w:ind w:left="120"/>
              <w:spacing w:after="0"/>
              <w:rPr>
                <w:sz w:val="20"/>
                <w:szCs w:val="20"/>
                <w:color w:val="auto"/>
              </w:rPr>
            </w:pPr>
            <w:r>
              <w:rPr>
                <w:rFonts w:ascii="Arial" w:cs="Arial" w:eastAsia="Arial" w:hAnsi="Arial"/>
                <w:sz w:val="18"/>
                <w:szCs w:val="18"/>
                <w:color w:val="231F20"/>
              </w:rPr>
              <w:t>President, Chief Executive Officer</w:t>
            </w:r>
          </w:p>
        </w:tc>
        <w:tc>
          <w:tcPr>
            <w:tcW w:w="2640" w:type="dxa"/>
            <w:vAlign w:val="bottom"/>
          </w:tcPr>
          <w:p>
            <w:pPr>
              <w:ind w:left="1580"/>
              <w:spacing w:after="0"/>
              <w:rPr>
                <w:sz w:val="20"/>
                <w:szCs w:val="20"/>
                <w:color w:val="auto"/>
              </w:rPr>
            </w:pPr>
            <w:r>
              <w:rPr>
                <w:rFonts w:ascii="Arial" w:cs="Arial" w:eastAsia="Arial" w:hAnsi="Arial"/>
                <w:sz w:val="18"/>
                <w:szCs w:val="18"/>
                <w:color w:val="231F20"/>
                <w:w w:val="90"/>
              </w:rPr>
              <w:t>March 6, 2019</w:t>
            </w:r>
          </w:p>
        </w:tc>
      </w:tr>
      <w:tr>
        <w:trPr>
          <w:trHeight w:val="195"/>
        </w:trPr>
        <w:tc>
          <w:tcPr>
            <w:tcW w:w="4000" w:type="dxa"/>
            <w:vAlign w:val="bottom"/>
          </w:tcPr>
          <w:p>
            <w:pPr>
              <w:jc w:val="center"/>
              <w:spacing w:after="0" w:line="195" w:lineRule="exact"/>
              <w:rPr>
                <w:sz w:val="20"/>
                <w:szCs w:val="20"/>
                <w:color w:val="auto"/>
              </w:rPr>
            </w:pPr>
            <w:r>
              <w:rPr>
                <w:rFonts w:ascii="Arial" w:cs="Arial" w:eastAsia="Arial" w:hAnsi="Arial"/>
                <w:sz w:val="18"/>
                <w:szCs w:val="18"/>
                <w:color w:val="auto"/>
                <w:w w:val="92"/>
              </w:rPr>
              <w:t>Eric D. Shaff</w:t>
            </w:r>
          </w:p>
        </w:tc>
        <w:tc>
          <w:tcPr>
            <w:tcW w:w="4780" w:type="dxa"/>
            <w:vAlign w:val="bottom"/>
          </w:tcPr>
          <w:p>
            <w:pPr>
              <w:ind w:left="120"/>
              <w:spacing w:after="0" w:line="195" w:lineRule="exact"/>
              <w:rPr>
                <w:sz w:val="20"/>
                <w:szCs w:val="20"/>
                <w:color w:val="auto"/>
              </w:rPr>
            </w:pPr>
            <w:r>
              <w:rPr>
                <w:rFonts w:ascii="Arial" w:cs="Arial" w:eastAsia="Arial" w:hAnsi="Arial"/>
                <w:sz w:val="18"/>
                <w:szCs w:val="18"/>
                <w:color w:val="231F20"/>
              </w:rPr>
              <w:t>and Director</w:t>
            </w:r>
          </w:p>
        </w:tc>
        <w:tc>
          <w:tcPr>
            <w:tcW w:w="264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231F20"/>
              </w:rPr>
              <w:t>(Principal Executive Officer and Principal Financial</w:t>
            </w:r>
          </w:p>
        </w:tc>
        <w:tc>
          <w:tcPr>
            <w:tcW w:w="264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231F20"/>
              </w:rPr>
              <w:t>and Accounting Officer)</w:t>
            </w:r>
          </w:p>
        </w:tc>
        <w:tc>
          <w:tcPr>
            <w:tcW w:w="2640" w:type="dxa"/>
            <w:vAlign w:val="bottom"/>
          </w:tcPr>
          <w:p>
            <w:pPr>
              <w:spacing w:after="0"/>
              <w:rPr>
                <w:sz w:val="20"/>
                <w:szCs w:val="20"/>
                <w:color w:val="auto"/>
              </w:rPr>
            </w:pPr>
          </w:p>
        </w:tc>
      </w:tr>
      <w:tr>
        <w:trPr>
          <w:trHeight w:val="392"/>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color w:val="231F20"/>
              </w:rPr>
              <w:t>Roger J. Pomerantz</w:t>
            </w:r>
          </w:p>
        </w:tc>
        <w:tc>
          <w:tcPr>
            <w:tcW w:w="4780" w:type="dxa"/>
            <w:vAlign w:val="bottom"/>
          </w:tcPr>
          <w:p>
            <w:pPr>
              <w:ind w:left="120"/>
              <w:spacing w:after="0"/>
              <w:rPr>
                <w:sz w:val="20"/>
                <w:szCs w:val="20"/>
                <w:color w:val="auto"/>
              </w:rPr>
            </w:pPr>
            <w:r>
              <w:rPr>
                <w:rFonts w:ascii="Arial" w:cs="Arial" w:eastAsia="Arial" w:hAnsi="Arial"/>
                <w:sz w:val="18"/>
                <w:szCs w:val="18"/>
                <w:color w:val="231F20"/>
              </w:rPr>
              <w:t>Chairman of the Board</w:t>
            </w:r>
          </w:p>
        </w:tc>
        <w:tc>
          <w:tcPr>
            <w:tcW w:w="2640" w:type="dxa"/>
            <w:vAlign w:val="bottom"/>
          </w:tcPr>
          <w:p>
            <w:pPr>
              <w:ind w:left="1580"/>
              <w:spacing w:after="0"/>
              <w:rPr>
                <w:sz w:val="20"/>
                <w:szCs w:val="20"/>
                <w:color w:val="auto"/>
              </w:rPr>
            </w:pPr>
            <w:r>
              <w:rPr>
                <w:rFonts w:ascii="Arial" w:cs="Arial" w:eastAsia="Arial" w:hAnsi="Arial"/>
                <w:sz w:val="18"/>
                <w:szCs w:val="18"/>
                <w:color w:val="231F20"/>
                <w:w w:val="90"/>
              </w:rPr>
              <w:t>March 6, 2019</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231F20"/>
                <w:w w:val="90"/>
              </w:rPr>
              <w:t>Roger J. Pomerantz, M.D.</w:t>
            </w:r>
          </w:p>
        </w:tc>
        <w:tc>
          <w:tcPr>
            <w:tcW w:w="47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3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Noubar B. Afeyan</w:t>
            </w:r>
          </w:p>
        </w:tc>
        <w:tc>
          <w:tcPr>
            <w:tcW w:w="4780" w:type="dxa"/>
            <w:vAlign w:val="bottom"/>
          </w:tcPr>
          <w:p>
            <w:pPr>
              <w:ind w:left="120"/>
              <w:spacing w:after="0"/>
              <w:rPr>
                <w:sz w:val="20"/>
                <w:szCs w:val="20"/>
                <w:color w:val="auto"/>
              </w:rPr>
            </w:pPr>
            <w:r>
              <w:rPr>
                <w:rFonts w:ascii="Arial" w:cs="Arial" w:eastAsia="Arial" w:hAnsi="Arial"/>
                <w:sz w:val="18"/>
                <w:szCs w:val="18"/>
                <w:color w:val="231F20"/>
              </w:rPr>
              <w:t>Director</w:t>
            </w:r>
          </w:p>
        </w:tc>
        <w:tc>
          <w:tcPr>
            <w:tcW w:w="2640" w:type="dxa"/>
            <w:vAlign w:val="bottom"/>
          </w:tcPr>
          <w:p>
            <w:pPr>
              <w:ind w:left="1580"/>
              <w:spacing w:after="0"/>
              <w:rPr>
                <w:sz w:val="20"/>
                <w:szCs w:val="20"/>
                <w:color w:val="auto"/>
              </w:rPr>
            </w:pPr>
            <w:r>
              <w:rPr>
                <w:rFonts w:ascii="Arial" w:cs="Arial" w:eastAsia="Arial" w:hAnsi="Arial"/>
                <w:sz w:val="18"/>
                <w:szCs w:val="18"/>
                <w:color w:val="231F20"/>
                <w:w w:val="90"/>
              </w:rPr>
              <w:t>March 6, 2019</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231F20"/>
                <w:w w:val="92"/>
              </w:rPr>
              <w:t>Noubar B. Afeyan, Ph.D.</w:t>
            </w:r>
          </w:p>
        </w:tc>
        <w:tc>
          <w:tcPr>
            <w:tcW w:w="47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3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Ausiello</w:t>
            </w:r>
          </w:p>
        </w:tc>
        <w:tc>
          <w:tcPr>
            <w:tcW w:w="4780" w:type="dxa"/>
            <w:vAlign w:val="bottom"/>
          </w:tcPr>
          <w:p>
            <w:pPr>
              <w:ind w:left="120"/>
              <w:spacing w:after="0"/>
              <w:rPr>
                <w:sz w:val="20"/>
                <w:szCs w:val="20"/>
                <w:color w:val="auto"/>
              </w:rPr>
            </w:pPr>
            <w:r>
              <w:rPr>
                <w:rFonts w:ascii="Arial" w:cs="Arial" w:eastAsia="Arial" w:hAnsi="Arial"/>
                <w:sz w:val="18"/>
                <w:szCs w:val="18"/>
                <w:color w:val="231F20"/>
              </w:rPr>
              <w:t>Director</w:t>
            </w:r>
          </w:p>
        </w:tc>
        <w:tc>
          <w:tcPr>
            <w:tcW w:w="2640" w:type="dxa"/>
            <w:vAlign w:val="bottom"/>
          </w:tcPr>
          <w:p>
            <w:pPr>
              <w:ind w:left="1580"/>
              <w:spacing w:after="0"/>
              <w:rPr>
                <w:sz w:val="20"/>
                <w:szCs w:val="20"/>
                <w:color w:val="auto"/>
              </w:rPr>
            </w:pPr>
            <w:r>
              <w:rPr>
                <w:rFonts w:ascii="Arial" w:cs="Arial" w:eastAsia="Arial" w:hAnsi="Arial"/>
                <w:sz w:val="18"/>
                <w:szCs w:val="18"/>
                <w:color w:val="231F20"/>
                <w:w w:val="90"/>
              </w:rPr>
              <w:t>March 6, 2019</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231F20"/>
                <w:w w:val="95"/>
              </w:rPr>
              <w:t>Dennis Ausiello, M.D.</w:t>
            </w:r>
          </w:p>
        </w:tc>
        <w:tc>
          <w:tcPr>
            <w:tcW w:w="47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3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Willard Dere</w:t>
            </w:r>
          </w:p>
        </w:tc>
        <w:tc>
          <w:tcPr>
            <w:tcW w:w="4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40" w:type="dxa"/>
            <w:vAlign w:val="bottom"/>
          </w:tcPr>
          <w:p>
            <w:pPr>
              <w:ind w:left="1580"/>
              <w:spacing w:after="0"/>
              <w:rPr>
                <w:sz w:val="20"/>
                <w:szCs w:val="20"/>
                <w:color w:val="auto"/>
              </w:rPr>
            </w:pPr>
            <w:r>
              <w:rPr>
                <w:rFonts w:ascii="Arial" w:cs="Arial" w:eastAsia="Arial" w:hAnsi="Arial"/>
                <w:sz w:val="18"/>
                <w:szCs w:val="18"/>
                <w:color w:val="231F20"/>
                <w:w w:val="90"/>
              </w:rPr>
              <w:t>March 6, 2019</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231F20"/>
                <w:w w:val="94"/>
              </w:rPr>
              <w:t>Willard Dere</w:t>
            </w:r>
          </w:p>
        </w:tc>
        <w:tc>
          <w:tcPr>
            <w:tcW w:w="47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3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Grégory Behar</w:t>
            </w:r>
          </w:p>
        </w:tc>
        <w:tc>
          <w:tcPr>
            <w:tcW w:w="4780" w:type="dxa"/>
            <w:vAlign w:val="bottom"/>
          </w:tcPr>
          <w:p>
            <w:pPr>
              <w:ind w:left="120"/>
              <w:spacing w:after="0"/>
              <w:rPr>
                <w:sz w:val="20"/>
                <w:szCs w:val="20"/>
                <w:color w:val="auto"/>
              </w:rPr>
            </w:pPr>
            <w:r>
              <w:rPr>
                <w:rFonts w:ascii="Arial" w:cs="Arial" w:eastAsia="Arial" w:hAnsi="Arial"/>
                <w:sz w:val="18"/>
                <w:szCs w:val="18"/>
                <w:color w:val="231F20"/>
              </w:rPr>
              <w:t>Director</w:t>
            </w:r>
          </w:p>
        </w:tc>
        <w:tc>
          <w:tcPr>
            <w:tcW w:w="2640" w:type="dxa"/>
            <w:vAlign w:val="bottom"/>
          </w:tcPr>
          <w:p>
            <w:pPr>
              <w:ind w:left="1580"/>
              <w:spacing w:after="0"/>
              <w:rPr>
                <w:sz w:val="20"/>
                <w:szCs w:val="20"/>
                <w:color w:val="auto"/>
              </w:rPr>
            </w:pPr>
            <w:r>
              <w:rPr>
                <w:rFonts w:ascii="Arial" w:cs="Arial" w:eastAsia="Arial" w:hAnsi="Arial"/>
                <w:sz w:val="18"/>
                <w:szCs w:val="18"/>
                <w:color w:val="231F20"/>
                <w:w w:val="90"/>
              </w:rPr>
              <w:t>March 6, 2019</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231F20"/>
                <w:w w:val="91"/>
              </w:rPr>
              <w:t>Grégory Behar</w:t>
            </w:r>
          </w:p>
        </w:tc>
        <w:tc>
          <w:tcPr>
            <w:tcW w:w="47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3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231F20"/>
              </w:rPr>
              <w:t>/s/ Kurt C. Graves</w:t>
            </w:r>
          </w:p>
        </w:tc>
        <w:tc>
          <w:tcPr>
            <w:tcW w:w="4780" w:type="dxa"/>
            <w:vAlign w:val="bottom"/>
          </w:tcPr>
          <w:p>
            <w:pPr>
              <w:ind w:left="120"/>
              <w:spacing w:after="0"/>
              <w:rPr>
                <w:sz w:val="20"/>
                <w:szCs w:val="20"/>
                <w:color w:val="auto"/>
              </w:rPr>
            </w:pPr>
            <w:r>
              <w:rPr>
                <w:rFonts w:ascii="Arial" w:cs="Arial" w:eastAsia="Arial" w:hAnsi="Arial"/>
                <w:sz w:val="18"/>
                <w:szCs w:val="18"/>
                <w:color w:val="231F20"/>
              </w:rPr>
              <w:t>Director</w:t>
            </w:r>
          </w:p>
        </w:tc>
        <w:tc>
          <w:tcPr>
            <w:tcW w:w="2640" w:type="dxa"/>
            <w:vAlign w:val="bottom"/>
          </w:tcPr>
          <w:p>
            <w:pPr>
              <w:ind w:left="1580"/>
              <w:spacing w:after="0"/>
              <w:rPr>
                <w:sz w:val="20"/>
                <w:szCs w:val="20"/>
                <w:color w:val="auto"/>
              </w:rPr>
            </w:pPr>
            <w:r>
              <w:rPr>
                <w:rFonts w:ascii="Arial" w:cs="Arial" w:eastAsia="Arial" w:hAnsi="Arial"/>
                <w:sz w:val="18"/>
                <w:szCs w:val="18"/>
                <w:color w:val="231F20"/>
                <w:w w:val="90"/>
              </w:rPr>
              <w:t>March 6, 2019</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231F20"/>
                <w:w w:val="92"/>
              </w:rPr>
              <w:t>Kurt C. Graves</w:t>
            </w:r>
          </w:p>
        </w:tc>
        <w:tc>
          <w:tcPr>
            <w:tcW w:w="47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3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 Kender</w:t>
            </w:r>
          </w:p>
        </w:tc>
        <w:tc>
          <w:tcPr>
            <w:tcW w:w="4780" w:type="dxa"/>
            <w:vAlign w:val="bottom"/>
          </w:tcPr>
          <w:p>
            <w:pPr>
              <w:ind w:left="120"/>
              <w:spacing w:after="0"/>
              <w:rPr>
                <w:sz w:val="20"/>
                <w:szCs w:val="20"/>
                <w:color w:val="auto"/>
              </w:rPr>
            </w:pPr>
            <w:r>
              <w:rPr>
                <w:rFonts w:ascii="Arial" w:cs="Arial" w:eastAsia="Arial" w:hAnsi="Arial"/>
                <w:sz w:val="18"/>
                <w:szCs w:val="18"/>
                <w:color w:val="231F20"/>
              </w:rPr>
              <w:t>Director</w:t>
            </w:r>
          </w:p>
        </w:tc>
        <w:tc>
          <w:tcPr>
            <w:tcW w:w="2640" w:type="dxa"/>
            <w:vAlign w:val="bottom"/>
          </w:tcPr>
          <w:p>
            <w:pPr>
              <w:ind w:left="1580"/>
              <w:spacing w:after="0"/>
              <w:rPr>
                <w:sz w:val="20"/>
                <w:szCs w:val="20"/>
                <w:color w:val="auto"/>
              </w:rPr>
            </w:pPr>
            <w:r>
              <w:rPr>
                <w:rFonts w:ascii="Arial" w:cs="Arial" w:eastAsia="Arial" w:hAnsi="Arial"/>
                <w:sz w:val="18"/>
                <w:szCs w:val="18"/>
                <w:color w:val="231F20"/>
                <w:w w:val="90"/>
              </w:rPr>
              <w:t>March 6, 2019</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231F20"/>
                <w:w w:val="91"/>
              </w:rPr>
              <w:t>Richard N. Kender</w:t>
            </w:r>
          </w:p>
        </w:tc>
        <w:tc>
          <w:tcPr>
            <w:tcW w:w="47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323"/>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Lorence H. Kim</w:t>
            </w:r>
          </w:p>
        </w:tc>
        <w:tc>
          <w:tcPr>
            <w:tcW w:w="4780" w:type="dxa"/>
            <w:vAlign w:val="bottom"/>
          </w:tcPr>
          <w:p>
            <w:pPr>
              <w:ind w:left="120"/>
              <w:spacing w:after="0"/>
              <w:rPr>
                <w:sz w:val="20"/>
                <w:szCs w:val="20"/>
                <w:color w:val="auto"/>
              </w:rPr>
            </w:pPr>
            <w:r>
              <w:rPr>
                <w:rFonts w:ascii="Arial" w:cs="Arial" w:eastAsia="Arial" w:hAnsi="Arial"/>
                <w:sz w:val="18"/>
                <w:szCs w:val="18"/>
                <w:color w:val="231F20"/>
              </w:rPr>
              <w:t>Director</w:t>
            </w:r>
          </w:p>
        </w:tc>
        <w:tc>
          <w:tcPr>
            <w:tcW w:w="2640" w:type="dxa"/>
            <w:vAlign w:val="bottom"/>
          </w:tcPr>
          <w:p>
            <w:pPr>
              <w:ind w:left="1580"/>
              <w:spacing w:after="0"/>
              <w:rPr>
                <w:sz w:val="20"/>
                <w:szCs w:val="20"/>
                <w:color w:val="auto"/>
              </w:rPr>
            </w:pPr>
            <w:r>
              <w:rPr>
                <w:rFonts w:ascii="Arial" w:cs="Arial" w:eastAsia="Arial" w:hAnsi="Arial"/>
                <w:sz w:val="18"/>
                <w:szCs w:val="18"/>
                <w:color w:val="231F20"/>
                <w:w w:val="90"/>
              </w:rPr>
              <w:t>March 6, 2019</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231F20"/>
                <w:w w:val="95"/>
              </w:rPr>
              <w:t>Lorence H. Kim, M.D.</w:t>
            </w:r>
          </w:p>
        </w:tc>
        <w:tc>
          <w:tcPr>
            <w:tcW w:w="478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Meryl Zausner</w:t>
            </w:r>
          </w:p>
        </w:tc>
        <w:tc>
          <w:tcPr>
            <w:tcW w:w="4780" w:type="dxa"/>
            <w:vAlign w:val="bottom"/>
          </w:tcPr>
          <w:p>
            <w:pPr>
              <w:ind w:left="120"/>
              <w:spacing w:after="0"/>
              <w:rPr>
                <w:sz w:val="20"/>
                <w:szCs w:val="20"/>
                <w:color w:val="auto"/>
              </w:rPr>
            </w:pPr>
            <w:r>
              <w:rPr>
                <w:rFonts w:ascii="Arial" w:cs="Arial" w:eastAsia="Arial" w:hAnsi="Arial"/>
                <w:sz w:val="18"/>
                <w:szCs w:val="18"/>
                <w:color w:val="231F20"/>
              </w:rPr>
              <w:t>Director</w:t>
            </w:r>
          </w:p>
        </w:tc>
        <w:tc>
          <w:tcPr>
            <w:tcW w:w="2640" w:type="dxa"/>
            <w:vAlign w:val="bottom"/>
          </w:tcPr>
          <w:p>
            <w:pPr>
              <w:ind w:left="1580"/>
              <w:spacing w:after="0"/>
              <w:rPr>
                <w:sz w:val="20"/>
                <w:szCs w:val="20"/>
                <w:color w:val="auto"/>
              </w:rPr>
            </w:pPr>
            <w:r>
              <w:rPr>
                <w:rFonts w:ascii="Arial" w:cs="Arial" w:eastAsia="Arial" w:hAnsi="Arial"/>
                <w:sz w:val="18"/>
                <w:szCs w:val="18"/>
                <w:color w:val="231F20"/>
                <w:w w:val="90"/>
              </w:rPr>
              <w:t>March 6, 2019</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231F20"/>
                <w:w w:val="92"/>
              </w:rPr>
              <w:t>Meryl Zausner</w:t>
            </w:r>
          </w:p>
        </w:tc>
        <w:tc>
          <w:tcPr>
            <w:tcW w:w="4780" w:type="dxa"/>
            <w:vAlign w:val="bottom"/>
          </w:tcPr>
          <w:p>
            <w:pPr>
              <w:spacing w:after="0"/>
              <w:rPr>
                <w:sz w:val="19"/>
                <w:szCs w:val="19"/>
                <w:color w:val="auto"/>
              </w:rPr>
            </w:pPr>
          </w:p>
        </w:tc>
        <w:tc>
          <w:tcPr>
            <w:tcW w:w="2640" w:type="dxa"/>
            <w:vAlign w:val="bottom"/>
          </w:tcPr>
          <w:p>
            <w:pPr>
              <w:spacing w:after="0"/>
              <w:rPr>
                <w:sz w:val="19"/>
                <w:szCs w:val="19"/>
                <w:color w:val="auto"/>
              </w:rPr>
            </w:pPr>
          </w:p>
        </w:tc>
      </w:tr>
    </w:tbl>
    <w:p>
      <w:pPr>
        <w:sectPr>
          <w:pgSz w:w="11900" w:h="16838" w:orient="portrait"/>
          <w:cols w:equalWidth="0" w:num="1">
            <w:col w:w="11420"/>
          </w:cols>
          <w:pgMar w:left="240" w:top="553"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color w:val="auto"/>
        </w:rPr>
        <w:t>EXHIBIT 10.22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#1 TO THE COLLABORATION AND LICENSE AGREEMENT</w:t>
      </w:r>
    </w:p>
    <w:p>
      <w:pPr>
        <w:spacing w:after="0" w:line="206" w:lineRule="exact"/>
        <w:rPr>
          <w:sz w:val="20"/>
          <w:szCs w:val="20"/>
          <w:color w:val="auto"/>
        </w:rPr>
      </w:pPr>
    </w:p>
    <w:p>
      <w:pPr>
        <w:ind w:right="220" w:firstLine="518"/>
        <w:spacing w:after="0" w:line="282" w:lineRule="auto"/>
        <w:rPr>
          <w:sz w:val="20"/>
          <w:szCs w:val="20"/>
          <w:color w:val="auto"/>
        </w:rPr>
      </w:pPr>
      <w:r>
        <w:rPr>
          <w:rFonts w:ascii="Arial" w:cs="Arial" w:eastAsia="Arial" w:hAnsi="Arial"/>
          <w:sz w:val="19"/>
          <w:szCs w:val="19"/>
          <w:color w:val="auto"/>
        </w:rPr>
        <w:t>This AMENDMENT #1 TO THE COLLABORATION AND LICENSE AGREEMENT (the "Amendment") is entered into this tenth day of August, 2016 by and between NESTEC LTD., a limited company organized and existing under the laws of Switzerland, having an office located at Avenue Nestle 55, 1800 Vevey, Switzerland ("NHSc"), and Seres Therapeutics, Inc., a corporation incorporated and existing under the laws of the State of Delaware, having an office located at 200 Sydney Street, Cambridge MA 02139, USA ("Seres"). NHSc and Seres are sometimes referred to herein as the "Parties".</w:t>
      </w:r>
    </w:p>
    <w:p>
      <w:pPr>
        <w:spacing w:after="0" w:line="148" w:lineRule="exact"/>
        <w:rPr>
          <w:sz w:val="20"/>
          <w:szCs w:val="20"/>
          <w:color w:val="auto"/>
        </w:rPr>
      </w:pPr>
    </w:p>
    <w:p>
      <w:pPr>
        <w:ind w:right="20" w:firstLine="518"/>
        <w:spacing w:after="0" w:line="238" w:lineRule="auto"/>
        <w:rPr>
          <w:sz w:val="20"/>
          <w:szCs w:val="20"/>
          <w:color w:val="auto"/>
        </w:rPr>
      </w:pPr>
      <w:r>
        <w:rPr>
          <w:rFonts w:ascii="Arial" w:cs="Arial" w:eastAsia="Arial" w:hAnsi="Arial"/>
          <w:sz w:val="22"/>
          <w:szCs w:val="22"/>
          <w:color w:val="auto"/>
        </w:rPr>
        <w:t>WHEREAS, the Parties entered into a COLLABORATION AND LICENSE AGREEMENT dated January 9, 2016 (the "Agreement") whereby Seres granted to NHSc certain licenses under intellectual property controlled by Seres relating to a new class of medicinal microbiome products to treat and manage inflammatory bowel disease, and treat and prevent the recurrence of C. difficile infections (the "Products"), outside the US and Canada;</w:t>
      </w:r>
    </w:p>
    <w:p>
      <w:pPr>
        <w:spacing w:after="0" w:line="185" w:lineRule="exact"/>
        <w:rPr>
          <w:sz w:val="20"/>
          <w:szCs w:val="20"/>
          <w:color w:val="auto"/>
        </w:rPr>
      </w:pPr>
    </w:p>
    <w:p>
      <w:pPr>
        <w:ind w:right="660" w:firstLine="518"/>
        <w:spacing w:after="0" w:line="328" w:lineRule="auto"/>
        <w:rPr>
          <w:sz w:val="20"/>
          <w:szCs w:val="20"/>
          <w:color w:val="auto"/>
        </w:rPr>
      </w:pPr>
      <w:r>
        <w:rPr>
          <w:rFonts w:ascii="Arial" w:cs="Arial" w:eastAsia="Arial" w:hAnsi="Arial"/>
          <w:sz w:val="19"/>
          <w:szCs w:val="19"/>
          <w:color w:val="auto"/>
        </w:rPr>
        <w:t>WHEREAS, in the course of the collaboration under the Agreement, Seres conducted a Phase 2 study for the initial C. difficile product SER-109, and recently determined that the primary endpoint of such study was not achieved;</w:t>
      </w:r>
    </w:p>
    <w:p>
      <w:pPr>
        <w:spacing w:after="0" w:line="105" w:lineRule="exact"/>
        <w:rPr>
          <w:sz w:val="20"/>
          <w:szCs w:val="20"/>
          <w:color w:val="auto"/>
        </w:rPr>
      </w:pPr>
    </w:p>
    <w:p>
      <w:pPr>
        <w:ind w:right="1020" w:firstLine="518"/>
        <w:spacing w:after="0" w:line="274" w:lineRule="auto"/>
        <w:rPr>
          <w:sz w:val="20"/>
          <w:szCs w:val="20"/>
          <w:color w:val="auto"/>
        </w:rPr>
      </w:pPr>
      <w:r>
        <w:rPr>
          <w:rFonts w:ascii="Arial" w:cs="Arial" w:eastAsia="Arial" w:hAnsi="Arial"/>
          <w:sz w:val="21"/>
          <w:szCs w:val="21"/>
          <w:color w:val="auto"/>
        </w:rPr>
        <w:t>WHEREAS, Seres has begun to gather and analyze data relating to the Phase 2 study in order to make appropriate adjustments to the SER-109 development plan, and NHSc would like to assist Seres therewith;</w:t>
      </w:r>
    </w:p>
    <w:p>
      <w:pPr>
        <w:spacing w:after="0" w:line="151" w:lineRule="exact"/>
        <w:rPr>
          <w:sz w:val="20"/>
          <w:szCs w:val="20"/>
          <w:color w:val="auto"/>
        </w:rPr>
      </w:pPr>
    </w:p>
    <w:p>
      <w:pPr>
        <w:ind w:right="20" w:firstLine="518"/>
        <w:spacing w:after="0" w:line="236" w:lineRule="auto"/>
        <w:rPr>
          <w:sz w:val="20"/>
          <w:szCs w:val="20"/>
          <w:color w:val="auto"/>
        </w:rPr>
      </w:pPr>
      <w:r>
        <w:rPr>
          <w:rFonts w:ascii="Arial" w:cs="Arial" w:eastAsia="Arial" w:hAnsi="Arial"/>
          <w:sz w:val="22"/>
          <w:szCs w:val="22"/>
          <w:color w:val="auto"/>
        </w:rPr>
        <w:t>WHEREAS, in order to facilitate NHSc so-assisting Seres, Seres will share with NHSc highly confidential information which the Parties agree will require a higher level of confidential treatment by NHSc than is currently provided for in ARTICLE 11 of the Agreement, and hence the Parties wish to provide for such higher level of confidential treatment in accordance with this Amendment, for this currently contemplated exchange of highly confidential information, and for potential future exchanges of other highly confidential information.</w:t>
      </w:r>
    </w:p>
    <w:p>
      <w:pPr>
        <w:spacing w:after="0" w:line="188" w:lineRule="exact"/>
        <w:rPr>
          <w:sz w:val="20"/>
          <w:szCs w:val="20"/>
          <w:color w:val="auto"/>
        </w:rPr>
      </w:pPr>
    </w:p>
    <w:p>
      <w:pPr>
        <w:ind w:right="380" w:firstLine="518"/>
        <w:spacing w:after="0"/>
        <w:rPr>
          <w:sz w:val="20"/>
          <w:szCs w:val="20"/>
          <w:color w:val="auto"/>
        </w:rPr>
      </w:pPr>
      <w:r>
        <w:rPr>
          <w:rFonts w:ascii="Arial" w:cs="Arial" w:eastAsia="Arial" w:hAnsi="Arial"/>
          <w:sz w:val="22"/>
          <w:szCs w:val="22"/>
          <w:color w:val="auto"/>
        </w:rPr>
        <w:t>NOW, THEREFORE in consideration of the foregoing and the terms below, the Parties agree to amend the Agreement by adding the following new section 11.7 (capitalized terms below not defined herein shall have the meanings set forth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5" w:name="page126"/>
    <w:bookmarkEnd w:id="125"/>
    <w:p>
      <w:pPr>
        <w:ind w:left="900" w:hanging="377"/>
        <w:spacing w:after="0" w:line="270" w:lineRule="auto"/>
        <w:rPr>
          <w:sz w:val="20"/>
          <w:szCs w:val="20"/>
          <w:color w:val="auto"/>
        </w:rPr>
      </w:pPr>
      <w:r>
        <w:rPr>
          <w:rFonts w:ascii="Arial" w:cs="Arial" w:eastAsia="Arial" w:hAnsi="Arial"/>
          <w:sz w:val="19"/>
          <w:szCs w:val="19"/>
          <w:color w:val="auto"/>
        </w:rPr>
        <w:t>11.7</w:t>
      </w:r>
      <w:r>
        <w:rPr>
          <w:rFonts w:ascii="Arial" w:cs="Arial" w:eastAsia="Arial" w:hAnsi="Arial"/>
          <w:sz w:val="19"/>
          <w:szCs w:val="19"/>
          <w:u w:val="single" w:color="auto"/>
          <w:color w:val="auto"/>
        </w:rPr>
        <w:t>Special Treatment of Highly Confidential Information.</w:t>
      </w:r>
      <w:r>
        <w:rPr>
          <w:rFonts w:ascii="Arial" w:cs="Arial" w:eastAsia="Arial" w:hAnsi="Arial"/>
          <w:sz w:val="19"/>
          <w:szCs w:val="19"/>
          <w:color w:val="auto"/>
        </w:rPr>
        <w:t xml:space="preserve"> A Party may from time to time be in possession of information which such party desires to disclose to the other Party under more restrictive terms than otherwise provided for in this ARTICLE 11 ("Highly Confidential Information"). In such case, the party desiring to make such disclosure ("Disclosing Party") shall notify the other Party ("Receiving Party") in writing of the general category of information proposed to be so disclosed in order to allow the Receiving Party the opportunity to agree to receive the Highly Confidential Information from the Receiving Party under the terms of this section 11.7. If the Receiving Party elects not to receive such Highly Confidential Information on such terms, the Disclosing Party may elect to either not disclose the information at all, or to disclose the information under the terms of sections 11.1 through 11.6 of this ARTICLE 11. If the Receiving Party elects to receive such Highly Confidential Information under the terms of this section 11.7, then each Party shall select no more than four (4) people agreeable to the other Party to be participants in the exchange of, and discussions concerning, Highly Confidential Information ("Section 11.7 Participants") unless, on a case by case basis, the Parties agree in writing to a number greater than four (4). The Section 11.7 Participants shall agree upon a process to exchange and discuss Highly Confidential Information, and the Parties shall arrange for the recording of minutes of such exchanges and discussions. All such minutes, and other materials such as agendas, slide presentations, Webex content, handouts, etc. used as part of such exchanges and discussions, shall be clearly marked as "Highly Confidential Information", and all such materials including the information contained therein shall be held in strict confidence by the Section 11.7 Participants, including to the exclusion of other employees, agents and Affiliates of their respective Party. Each Section 11.7 Participant will promptly notify the other Party upon becoming aware of any use or disclosure of Highly Confidential Information not permitted pursuant to this section 11.7. Sections 11.1.1 and 11.2 shall not apply to Highly Confidential Information, and sections 11.4, 11.5 and 11.6 shall apply to Highly Confidential Information.</w:t>
      </w:r>
    </w:p>
    <w:p>
      <w:pPr>
        <w:spacing w:after="0" w:line="162" w:lineRule="exact"/>
        <w:rPr>
          <w:sz w:val="20"/>
          <w:szCs w:val="20"/>
          <w:color w:val="auto"/>
        </w:rPr>
      </w:pPr>
    </w:p>
    <w:p>
      <w:pPr>
        <w:ind w:right="640" w:firstLine="518"/>
        <w:spacing w:after="0" w:line="251" w:lineRule="auto"/>
        <w:rPr>
          <w:sz w:val="20"/>
          <w:szCs w:val="20"/>
          <w:color w:val="auto"/>
        </w:rPr>
      </w:pPr>
      <w:r>
        <w:rPr>
          <w:rFonts w:ascii="Arial" w:cs="Arial" w:eastAsia="Arial" w:hAnsi="Arial"/>
          <w:sz w:val="22"/>
          <w:szCs w:val="22"/>
          <w:color w:val="auto"/>
        </w:rPr>
        <w:t>IN WITNESS WHEREOF, the Parties have caused this Amendment to be executed by their respective duly authorized officers.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SERES THERAPEUTICS, INC.</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Roger J. Pomerantz, M.D.</w:t>
            </w:r>
          </w:p>
        </w:tc>
      </w:tr>
      <w:tr>
        <w:trPr>
          <w:trHeight w:val="466"/>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Roger J. Pomerantz, M.D., F.A.C.P.</w:t>
            </w:r>
          </w:p>
        </w:tc>
      </w:tr>
      <w:tr>
        <w:trPr>
          <w:trHeight w:val="466"/>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President, CEO and Chairman</w:t>
            </w:r>
          </w:p>
        </w:tc>
      </w:tr>
      <w:tr>
        <w:trPr>
          <w:trHeight w:val="706"/>
        </w:trPr>
        <w:tc>
          <w:tcPr>
            <w:tcW w:w="5620" w:type="dxa"/>
            <w:vAlign w:val="bottom"/>
            <w:gridSpan w:val="2"/>
          </w:tcPr>
          <w:p>
            <w:pPr>
              <w:spacing w:after="0"/>
              <w:rPr>
                <w:sz w:val="20"/>
                <w:szCs w:val="20"/>
                <w:color w:val="auto"/>
              </w:rPr>
            </w:pPr>
            <w:r>
              <w:rPr>
                <w:rFonts w:ascii="Arial" w:cs="Arial" w:eastAsia="Arial" w:hAnsi="Arial"/>
                <w:sz w:val="22"/>
                <w:szCs w:val="22"/>
                <w:color w:val="auto"/>
              </w:rPr>
              <w:t>NESTEC LTD.</w:t>
            </w:r>
          </w:p>
        </w:tc>
      </w:tr>
      <w:tr>
        <w:trPr>
          <w:trHeight w:val="449"/>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Claudio Vuoni</w:t>
            </w:r>
          </w:p>
        </w:tc>
      </w:tr>
      <w:tr>
        <w:trPr>
          <w:trHeight w:val="466"/>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Claudio Vuoni</w:t>
            </w:r>
          </w:p>
        </w:tc>
      </w:tr>
      <w:tr>
        <w:trPr>
          <w:trHeight w:val="466"/>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General Counsel NHSc</w:t>
            </w:r>
          </w:p>
        </w:tc>
      </w:tr>
    </w:tbl>
    <w:p>
      <w:pPr>
        <w:sectPr>
          <w:pgSz w:w="11900" w:h="16838" w:orient="portrait"/>
          <w:cols w:equalWidth="0" w:num="1">
            <w:col w:w="11420"/>
          </w:cols>
          <w:pgMar w:left="240" w:top="118" w:right="239" w:bottom="1440" w:gutter="0" w:footer="0" w:header="0"/>
        </w:sectPr>
      </w:pPr>
    </w:p>
    <w:bookmarkStart w:id="126" w:name="page127"/>
    <w:bookmarkEnd w:id="126"/>
    <w:p>
      <w:pPr>
        <w:spacing w:after="0"/>
        <w:tabs>
          <w:tab w:leader="none" w:pos="9940" w:val="left"/>
        </w:tabs>
        <w:rPr>
          <w:sz w:val="20"/>
          <w:szCs w:val="20"/>
          <w:color w:val="auto"/>
        </w:rPr>
      </w:pPr>
      <w:r>
        <w:rPr>
          <w:rFonts w:ascii="Arial" w:cs="Arial" w:eastAsia="Arial" w:hAnsi="Arial"/>
          <w:sz w:val="21"/>
          <w:szCs w:val="21"/>
          <w:color w:val="auto"/>
        </w:rPr>
        <w:t>CONFIDENTIAL</w:t>
      </w:r>
      <w:r>
        <w:rPr>
          <w:sz w:val="20"/>
          <w:szCs w:val="20"/>
          <w:color w:val="auto"/>
        </w:rPr>
        <w:tab/>
      </w:r>
      <w:r>
        <w:rPr>
          <w:rFonts w:ascii="Arial" w:cs="Arial" w:eastAsia="Arial" w:hAnsi="Arial"/>
          <w:sz w:val="21"/>
          <w:szCs w:val="21"/>
          <w:b w:val="1"/>
          <w:bCs w:val="1"/>
          <w:color w:val="auto"/>
        </w:rPr>
        <w:t>EXHIBIT 10.23</w:t>
      </w:r>
    </w:p>
    <w:p>
      <w:pPr>
        <w:spacing w:after="0" w:line="231" w:lineRule="exact"/>
        <w:rPr>
          <w:sz w:val="20"/>
          <w:szCs w:val="20"/>
          <w:color w:val="auto"/>
        </w:rPr>
      </w:pPr>
    </w:p>
    <w:p>
      <w:pPr>
        <w:jc w:val="both"/>
        <w:ind w:right="340" w:firstLine="8"/>
        <w:spacing w:after="0" w:line="239" w:lineRule="auto"/>
        <w:tabs>
          <w:tab w:leader="none" w:pos="378"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INDICATES MATERIAL THAT WAS OMITTED AND FOR WHICH CONFIDENTIAL TREATMENT WAS REQUESTED. ALL SUCH OMITTED MATERIAL WAS FILED SEPARATELY WITH THE SECURITIES AND EXCHANGE COMMISION PURUSANT TO RULE 24b-2 PROMULGATED UNDER THE SECURITIES ECHANGE ACT OF 1934, AS AMENDED.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NESTEC LTD.</w:t>
      </w:r>
    </w:p>
    <w:p>
      <w:pPr>
        <w:spacing w:after="0" w:line="238" w:lineRule="auto"/>
        <w:rPr>
          <w:sz w:val="20"/>
          <w:szCs w:val="20"/>
          <w:color w:val="auto"/>
        </w:rPr>
      </w:pPr>
      <w:r>
        <w:rPr>
          <w:rFonts w:ascii="Arial" w:cs="Arial" w:eastAsia="Arial" w:hAnsi="Arial"/>
          <w:sz w:val="22"/>
          <w:szCs w:val="22"/>
          <w:color w:val="auto"/>
        </w:rPr>
        <w:t>Attention: General Counsel, Nestlè Health Science</w:t>
      </w:r>
    </w:p>
    <w:p>
      <w:pPr>
        <w:spacing w:after="0" w:line="230" w:lineRule="auto"/>
        <w:rPr>
          <w:sz w:val="20"/>
          <w:szCs w:val="20"/>
          <w:color w:val="auto"/>
        </w:rPr>
      </w:pPr>
      <w:r>
        <w:rPr>
          <w:rFonts w:ascii="Arial" w:cs="Arial" w:eastAsia="Arial" w:hAnsi="Arial"/>
          <w:sz w:val="22"/>
          <w:szCs w:val="22"/>
          <w:color w:val="auto"/>
        </w:rPr>
        <w:t>Avenue Nestle 55</w:t>
      </w:r>
    </w:p>
    <w:p>
      <w:pPr>
        <w:spacing w:after="0" w:line="231" w:lineRule="auto"/>
        <w:rPr>
          <w:sz w:val="20"/>
          <w:szCs w:val="20"/>
          <w:color w:val="auto"/>
        </w:rPr>
      </w:pPr>
      <w:r>
        <w:rPr>
          <w:rFonts w:ascii="Arial" w:cs="Arial" w:eastAsia="Arial" w:hAnsi="Arial"/>
          <w:sz w:val="22"/>
          <w:szCs w:val="22"/>
          <w:color w:val="auto"/>
        </w:rPr>
        <w:t>1800 Vevey</w:t>
      </w:r>
    </w:p>
    <w:p>
      <w:pPr>
        <w:spacing w:after="0" w:line="231" w:lineRule="auto"/>
        <w:rPr>
          <w:sz w:val="20"/>
          <w:szCs w:val="20"/>
          <w:color w:val="auto"/>
        </w:rPr>
      </w:pPr>
      <w:r>
        <w:rPr>
          <w:rFonts w:ascii="Arial" w:cs="Arial" w:eastAsia="Arial" w:hAnsi="Arial"/>
          <w:sz w:val="22"/>
          <w:szCs w:val="22"/>
          <w:color w:val="auto"/>
        </w:rPr>
        <w:t>Switzerland</w:t>
      </w:r>
    </w:p>
    <w:p>
      <w:pPr>
        <w:spacing w:after="0"/>
        <w:rPr>
          <w:sz w:val="20"/>
          <w:szCs w:val="20"/>
          <w:color w:val="auto"/>
        </w:rPr>
      </w:pPr>
      <w:r>
        <w:rPr>
          <w:rFonts w:ascii="Arial" w:cs="Arial" w:eastAsia="Arial" w:hAnsi="Arial"/>
          <w:sz w:val="22"/>
          <w:szCs w:val="22"/>
          <w:color w:val="auto"/>
        </w:rPr>
        <w:t>October 30, 2018</w:t>
      </w:r>
    </w:p>
    <w:p>
      <w:pPr>
        <w:spacing w:after="0" w:line="182" w:lineRule="exact"/>
        <w:rPr>
          <w:sz w:val="20"/>
          <w:szCs w:val="20"/>
          <w:color w:val="auto"/>
        </w:rPr>
      </w:pPr>
    </w:p>
    <w:p>
      <w:pPr>
        <w:jc w:val="both"/>
        <w:spacing w:after="0" w:line="253" w:lineRule="exact"/>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color w:val="auto"/>
        </w:rPr>
        <w:t>Letter Agreement</w:t>
      </w:r>
      <w:r>
        <w:rPr>
          <w:rFonts w:ascii="Arial" w:cs="Arial" w:eastAsia="Arial" w:hAnsi="Arial"/>
          <w:sz w:val="19"/>
          <w:szCs w:val="19"/>
          <w:color w:val="auto"/>
        </w:rPr>
        <w:t>”) sets forth the agreement between NESTEC LTD. (“</w:t>
      </w:r>
      <w:r>
        <w:rPr>
          <w:rFonts w:ascii="Arial" w:cs="Arial" w:eastAsia="Arial" w:hAnsi="Arial"/>
          <w:sz w:val="19"/>
          <w:szCs w:val="19"/>
          <w:b w:val="1"/>
          <w:bCs w:val="1"/>
          <w:color w:val="auto"/>
        </w:rPr>
        <w:t>NHSc</w:t>
      </w:r>
      <w:r>
        <w:rPr>
          <w:rFonts w:ascii="Arial" w:cs="Arial" w:eastAsia="Arial" w:hAnsi="Arial"/>
          <w:sz w:val="19"/>
          <w:szCs w:val="19"/>
          <w:color w:val="auto"/>
        </w:rPr>
        <w:t>”) and Seres Therapeutics, Inc. (“</w:t>
      </w:r>
      <w:r>
        <w:rPr>
          <w:rFonts w:ascii="Arial" w:cs="Arial" w:eastAsia="Arial" w:hAnsi="Arial"/>
          <w:sz w:val="19"/>
          <w:szCs w:val="19"/>
          <w:b w:val="1"/>
          <w:bCs w:val="1"/>
          <w:color w:val="auto"/>
        </w:rPr>
        <w:t>Seres</w:t>
      </w:r>
      <w:r>
        <w:rPr>
          <w:rFonts w:ascii="Arial" w:cs="Arial" w:eastAsia="Arial" w:hAnsi="Arial"/>
          <w:sz w:val="19"/>
          <w:szCs w:val="19"/>
          <w:color w:val="auto"/>
        </w:rPr>
        <w:t>”) (each of NHSc and Seres, a “</w:t>
      </w:r>
      <w:r>
        <w:rPr>
          <w:rFonts w:ascii="Arial" w:cs="Arial" w:eastAsia="Arial" w:hAnsi="Arial"/>
          <w:sz w:val="19"/>
          <w:szCs w:val="19"/>
          <w:b w:val="1"/>
          <w:bCs w:val="1"/>
          <w:color w:val="auto"/>
        </w:rPr>
        <w:t>Party</w:t>
      </w:r>
      <w:r>
        <w:rPr>
          <w:rFonts w:ascii="Arial" w:cs="Arial" w:eastAsia="Arial" w:hAnsi="Arial"/>
          <w:sz w:val="19"/>
          <w:szCs w:val="19"/>
          <w:color w:val="auto"/>
        </w:rPr>
        <w:t>”, and together, the “</w:t>
      </w:r>
      <w:r>
        <w:rPr>
          <w:rFonts w:ascii="Arial" w:cs="Arial" w:eastAsia="Arial" w:hAnsi="Arial"/>
          <w:sz w:val="19"/>
          <w:szCs w:val="19"/>
          <w:b w:val="1"/>
          <w:bCs w:val="1"/>
          <w:color w:val="auto"/>
        </w:rPr>
        <w:t>Parties</w:t>
      </w:r>
      <w:r>
        <w:rPr>
          <w:rFonts w:ascii="Arial" w:cs="Arial" w:eastAsia="Arial" w:hAnsi="Arial"/>
          <w:sz w:val="19"/>
          <w:szCs w:val="19"/>
          <w:color w:val="auto"/>
        </w:rPr>
        <w:t>”), pursuant to which certain terms of the Collaboration and License Agreement between Seres and NHSc dated January 9, 2016 (the “</w:t>
      </w:r>
      <w:r>
        <w:rPr>
          <w:rFonts w:ascii="Arial" w:cs="Arial" w:eastAsia="Arial" w:hAnsi="Arial"/>
          <w:sz w:val="19"/>
          <w:szCs w:val="19"/>
          <w:b w:val="1"/>
          <w:bCs w:val="1"/>
          <w:color w:val="auto"/>
        </w:rPr>
        <w:t>Agreement</w:t>
      </w:r>
      <w:r>
        <w:rPr>
          <w:rFonts w:ascii="Arial" w:cs="Arial" w:eastAsia="Arial" w:hAnsi="Arial"/>
          <w:sz w:val="19"/>
          <w:szCs w:val="19"/>
          <w:color w:val="auto"/>
        </w:rPr>
        <w:t>”) will be amended and clarified with respect to the conduct of a particular clinical study of the product designated as SER</w:t>
      </w:r>
      <w:r>
        <w:rPr>
          <w:rFonts w:ascii="MS PGothic" w:cs="MS PGothic" w:eastAsia="MS PGothic" w:hAnsi="MS PGothic"/>
          <w:sz w:val="19"/>
          <w:szCs w:val="19"/>
          <w:color w:val="auto"/>
        </w:rPr>
        <w:t>‑</w:t>
      </w:r>
      <w:r>
        <w:rPr>
          <w:rFonts w:ascii="Arial" w:cs="Arial" w:eastAsia="Arial" w:hAnsi="Arial"/>
          <w:sz w:val="19"/>
          <w:szCs w:val="19"/>
          <w:color w:val="auto"/>
        </w:rPr>
        <w:t>287.</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Capitalized terms used but not defined herein shall have the meanings ascribed to them in the Agreement.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Notwithstanding anything to the contrary in the Agreement (including without limitation all Development Plans thereunder), the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Parties hereby agree as follows, effective as of the date of this Letter Agreement (the “</w:t>
      </w:r>
      <w:r>
        <w:rPr>
          <w:rFonts w:ascii="Arial" w:cs="Arial" w:eastAsia="Arial" w:hAnsi="Arial"/>
          <w:sz w:val="21"/>
          <w:szCs w:val="21"/>
          <w:b w:val="1"/>
          <w:bCs w:val="1"/>
          <w:color w:val="auto"/>
        </w:rPr>
        <w:t>Letter Agreement Effective Date</w:t>
      </w:r>
      <w:r>
        <w:rPr>
          <w:rFonts w:ascii="Arial" w:cs="Arial" w:eastAsia="Arial" w:hAnsi="Arial"/>
          <w:sz w:val="21"/>
          <w:szCs w:val="21"/>
          <w:color w:val="auto"/>
        </w:rPr>
        <w:t>”):</w:t>
      </w:r>
    </w:p>
    <w:p>
      <w:pPr>
        <w:spacing w:after="0" w:line="200" w:lineRule="exact"/>
        <w:rPr>
          <w:sz w:val="20"/>
          <w:szCs w:val="20"/>
          <w:color w:val="auto"/>
        </w:rPr>
      </w:pPr>
    </w:p>
    <w:p>
      <w:pPr>
        <w:jc w:val="both"/>
        <w:ind w:left="880" w:hanging="872"/>
        <w:spacing w:after="0" w:line="238" w:lineRule="auto"/>
        <w:tabs>
          <w:tab w:leader="none" w:pos="8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Seres recognizes that its obligation under Section 4.1 to use Diligent Efforts to Develop Collaboration Products and obtain approval of a BLA thereon in the European Union includes an obligation to Develop Products that are commercially viable, i.e., that such obligation should take into consideration the “profit potential” of Collaboration Products per the definition of Diligent Efforts in the Agreement.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27" w:name="page128"/>
    <w:bookmarkEnd w:id="127"/>
    <w:p>
      <w:pPr>
        <w:jc w:val="both"/>
        <w:ind w:left="880" w:hanging="872"/>
        <w:spacing w:after="0" w:line="249" w:lineRule="exact"/>
        <w:tabs>
          <w:tab w:leader="none" w:pos="8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Upon commencement of the 3</w:t>
      </w:r>
      <w:r>
        <w:rPr>
          <w:rFonts w:ascii="MS PGothic" w:cs="MS PGothic" w:eastAsia="MS PGothic" w:hAnsi="MS PGothic"/>
          <w:sz w:val="22"/>
          <w:szCs w:val="22"/>
          <w:color w:val="auto"/>
        </w:rPr>
        <w:t>‑</w:t>
      </w:r>
      <w:r>
        <w:rPr>
          <w:rFonts w:ascii="Arial" w:cs="Arial" w:eastAsia="Arial" w:hAnsi="Arial"/>
          <w:sz w:val="22"/>
          <w:szCs w:val="22"/>
          <w:color w:val="auto"/>
        </w:rPr>
        <w:t>Arm SER</w:t>
      </w:r>
      <w:r>
        <w:rPr>
          <w:rFonts w:ascii="MS PGothic" w:cs="MS PGothic" w:eastAsia="MS PGothic" w:hAnsi="MS PGothic"/>
          <w:sz w:val="22"/>
          <w:szCs w:val="22"/>
          <w:color w:val="auto"/>
        </w:rPr>
        <w:t>‑</w:t>
      </w:r>
      <w:r>
        <w:rPr>
          <w:rFonts w:ascii="Arial" w:cs="Arial" w:eastAsia="Arial" w:hAnsi="Arial"/>
          <w:sz w:val="22"/>
          <w:szCs w:val="22"/>
          <w:color w:val="auto"/>
        </w:rPr>
        <w:t>287 Clinical Trial (as defined below), NHSc shall pay to Seres an amount equal to forty million US dollars ($40,000,000) (the “</w:t>
      </w:r>
      <w:r>
        <w:rPr>
          <w:rFonts w:ascii="Arial" w:cs="Arial" w:eastAsia="Arial" w:hAnsi="Arial"/>
          <w:sz w:val="22"/>
          <w:szCs w:val="22"/>
          <w:b w:val="1"/>
          <w:bCs w:val="1"/>
          <w:color w:val="auto"/>
        </w:rPr>
        <w:t>Total Phase II/III SER</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287 Milestone Payment</w:t>
      </w:r>
      <w:r>
        <w:rPr>
          <w:rFonts w:ascii="Arial" w:cs="Arial" w:eastAsia="Arial" w:hAnsi="Arial"/>
          <w:sz w:val="22"/>
          <w:szCs w:val="22"/>
          <w:color w:val="auto"/>
        </w:rPr>
        <w:t>”) in connection with the following two milestone payments set forth in the Agreement as listed as the first and second milestone payments in the table in Section 8.2.1 of the Agreement (respectively, the “</w:t>
      </w:r>
      <w:r>
        <w:rPr>
          <w:rFonts w:ascii="Arial" w:cs="Arial" w:eastAsia="Arial" w:hAnsi="Arial"/>
          <w:sz w:val="22"/>
          <w:szCs w:val="22"/>
          <w:b w:val="1"/>
          <w:bCs w:val="1"/>
          <w:color w:val="auto"/>
        </w:rPr>
        <w:t>Applicable Milestone Payments</w:t>
      </w:r>
      <w:r>
        <w:rPr>
          <w:rFonts w:ascii="Arial" w:cs="Arial" w:eastAsia="Arial" w:hAnsi="Arial"/>
          <w:sz w:val="22"/>
          <w:szCs w:val="22"/>
          <w:color w:val="auto"/>
        </w:rPr>
        <w:t>”, and the “</w:t>
      </w:r>
      <w:r>
        <w:rPr>
          <w:rFonts w:ascii="Arial" w:cs="Arial" w:eastAsia="Arial" w:hAnsi="Arial"/>
          <w:sz w:val="22"/>
          <w:szCs w:val="22"/>
          <w:b w:val="1"/>
          <w:bCs w:val="1"/>
          <w:color w:val="auto"/>
        </w:rPr>
        <w:t>Applicable</w:t>
      </w:r>
      <w:r>
        <w:rPr>
          <w:rFonts w:ascii="Arial" w:cs="Arial" w:eastAsia="Arial" w:hAnsi="Arial"/>
          <w:sz w:val="22"/>
          <w:szCs w:val="22"/>
          <w:color w:val="auto"/>
        </w:rPr>
        <w:t xml:space="preserve"> </w:t>
      </w:r>
      <w:r>
        <w:rPr>
          <w:rFonts w:ascii="Arial" w:cs="Arial" w:eastAsia="Arial" w:hAnsi="Arial"/>
          <w:sz w:val="22"/>
          <w:szCs w:val="22"/>
          <w:b w:val="1"/>
          <w:bCs w:val="1"/>
          <w:color w:val="auto"/>
        </w:rPr>
        <w:t>Milestone Events</w:t>
      </w:r>
      <w:r>
        <w:rPr>
          <w:rFonts w:ascii="Arial" w:cs="Arial" w:eastAsia="Arial" w:hAnsi="Arial"/>
          <w:sz w:val="22"/>
          <w:szCs w:val="22"/>
          <w:color w:val="auto"/>
        </w:rPr>
        <w:t>”):</w:t>
      </w:r>
    </w:p>
    <w:p>
      <w:pPr>
        <w:spacing w:after="0" w:line="203" w:lineRule="exact"/>
        <w:rPr>
          <w:sz w:val="20"/>
          <w:szCs w:val="20"/>
          <w:color w:val="auto"/>
        </w:rPr>
      </w:pPr>
    </w:p>
    <w:tbl>
      <w:tblPr>
        <w:tblLayout w:type="fixed"/>
        <w:tblInd w:w="890" w:type="dxa"/>
        <w:tblCellMar>
          <w:top w:w="0" w:type="dxa"/>
          <w:left w:w="0" w:type="dxa"/>
          <w:bottom w:w="0" w:type="dxa"/>
          <w:right w:w="0" w:type="dxa"/>
        </w:tblCellMar>
      </w:tblPr>
      <w:tr>
        <w:trPr>
          <w:trHeight w:val="324"/>
        </w:trPr>
        <w:tc>
          <w:tcPr>
            <w:tcW w:w="200" w:type="dxa"/>
            <w:vAlign w:val="bottom"/>
            <w:tcBorders>
              <w:top w:val="single" w:sz="8" w:color="auto"/>
              <w:left w:val="single" w:sz="8" w:color="auto"/>
            </w:tcBorders>
          </w:tcPr>
          <w:p>
            <w:pPr>
              <w:spacing w:after="0"/>
              <w:rPr>
                <w:sz w:val="24"/>
                <w:szCs w:val="24"/>
                <w:color w:val="auto"/>
              </w:rPr>
            </w:pPr>
          </w:p>
        </w:tc>
        <w:tc>
          <w:tcPr>
            <w:tcW w:w="56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b w:val="1"/>
                <w:bCs w:val="1"/>
                <w:color w:val="auto"/>
              </w:rPr>
              <w:t>Applicable Milestone Event</w:t>
            </w:r>
          </w:p>
        </w:tc>
        <w:tc>
          <w:tcPr>
            <w:tcW w:w="470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22"/>
                <w:szCs w:val="22"/>
                <w:b w:val="1"/>
                <w:bCs w:val="1"/>
                <w:color w:val="auto"/>
              </w:rPr>
              <w:t>Applicable Milestone Payment</w:t>
            </w:r>
          </w:p>
        </w:tc>
      </w:tr>
      <w:tr>
        <w:trPr>
          <w:trHeight w:val="129"/>
        </w:trPr>
        <w:tc>
          <w:tcPr>
            <w:tcW w:w="200" w:type="dxa"/>
            <w:vAlign w:val="bottom"/>
            <w:tcBorders>
              <w:left w:val="single" w:sz="8" w:color="auto"/>
              <w:bottom w:val="single" w:sz="8" w:color="auto"/>
            </w:tcBorders>
          </w:tcPr>
          <w:p>
            <w:pPr>
              <w:spacing w:after="0"/>
              <w:rPr>
                <w:sz w:val="11"/>
                <w:szCs w:val="11"/>
                <w:color w:val="auto"/>
              </w:rPr>
            </w:pPr>
          </w:p>
        </w:tc>
        <w:tc>
          <w:tcPr>
            <w:tcW w:w="2540" w:type="dxa"/>
            <w:vAlign w:val="bottom"/>
            <w:tcBorders>
              <w:top w:val="single" w:sz="8" w:color="auto"/>
              <w:bottom w:val="single" w:sz="8" w:color="auto"/>
            </w:tcBorders>
          </w:tcPr>
          <w:p>
            <w:pPr>
              <w:spacing w:after="0"/>
              <w:rPr>
                <w:sz w:val="11"/>
                <w:szCs w:val="11"/>
                <w:color w:val="auto"/>
              </w:rPr>
            </w:pPr>
          </w:p>
        </w:tc>
        <w:tc>
          <w:tcPr>
            <w:tcW w:w="31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20" w:type="dxa"/>
            <w:vAlign w:val="bottom"/>
            <w:tcBorders>
              <w:top w:val="single" w:sz="8" w:color="auto"/>
              <w:bottom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r>
      <w:tr>
        <w:trPr>
          <w:trHeight w:val="323"/>
        </w:trPr>
        <w:tc>
          <w:tcPr>
            <w:tcW w:w="200" w:type="dxa"/>
            <w:vAlign w:val="bottom"/>
            <w:tcBorders>
              <w:left w:val="single" w:sz="8" w:color="auto"/>
            </w:tcBorders>
          </w:tcPr>
          <w:p>
            <w:pPr>
              <w:spacing w:after="0"/>
              <w:rPr>
                <w:sz w:val="24"/>
                <w:szCs w:val="24"/>
                <w:color w:val="auto"/>
              </w:rPr>
            </w:pPr>
          </w:p>
        </w:tc>
        <w:tc>
          <w:tcPr>
            <w:tcW w:w="564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w w:val="91"/>
              </w:rPr>
              <w:t>Commencement of a Phase II Clinical Trial, as contemplated in</w:t>
            </w:r>
          </w:p>
        </w:tc>
        <w:tc>
          <w:tcPr>
            <w:tcW w:w="2980" w:type="dxa"/>
            <w:vAlign w:val="bottom"/>
            <w:gridSpan w:val="2"/>
          </w:tcPr>
          <w:p>
            <w:pPr>
              <w:ind w:left="160"/>
              <w:spacing w:after="0"/>
              <w:rPr>
                <w:sz w:val="20"/>
                <w:szCs w:val="20"/>
                <w:color w:val="auto"/>
              </w:rPr>
            </w:pPr>
            <w:r>
              <w:rPr>
                <w:rFonts w:ascii="Arial" w:cs="Arial" w:eastAsia="Arial" w:hAnsi="Arial"/>
                <w:sz w:val="22"/>
                <w:szCs w:val="22"/>
                <w:color w:val="auto"/>
              </w:rPr>
              <w:t>$20,000,000</w:t>
            </w:r>
          </w:p>
        </w:tc>
        <w:tc>
          <w:tcPr>
            <w:tcW w:w="1720" w:type="dxa"/>
            <w:vAlign w:val="bottom"/>
            <w:tcBorders>
              <w:right w:val="single" w:sz="8" w:color="auto"/>
            </w:tcBorders>
          </w:tcPr>
          <w:p>
            <w:pPr>
              <w:spacing w:after="0"/>
              <w:rPr>
                <w:sz w:val="24"/>
                <w:szCs w:val="24"/>
                <w:color w:val="auto"/>
              </w:rPr>
            </w:pPr>
          </w:p>
        </w:tc>
      </w:tr>
      <w:tr>
        <w:trPr>
          <w:trHeight w:val="243"/>
        </w:trPr>
        <w:tc>
          <w:tcPr>
            <w:tcW w:w="200" w:type="dxa"/>
            <w:vAlign w:val="bottom"/>
            <w:tcBorders>
              <w:left w:val="single" w:sz="8" w:color="auto"/>
            </w:tcBorders>
          </w:tcPr>
          <w:p>
            <w:pPr>
              <w:spacing w:after="0"/>
              <w:rPr>
                <w:sz w:val="21"/>
                <w:szCs w:val="21"/>
                <w:color w:val="auto"/>
              </w:rPr>
            </w:pPr>
          </w:p>
        </w:tc>
        <w:tc>
          <w:tcPr>
            <w:tcW w:w="564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the Global Development Plan, in respect of the First IBD</w:t>
            </w:r>
          </w:p>
        </w:tc>
        <w:tc>
          <w:tcPr>
            <w:tcW w:w="1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r>
      <w:tr>
        <w:trPr>
          <w:trHeight w:val="275"/>
        </w:trPr>
        <w:tc>
          <w:tcPr>
            <w:tcW w:w="200" w:type="dxa"/>
            <w:vAlign w:val="bottom"/>
            <w:tcBorders>
              <w:left w:val="single" w:sz="8" w:color="auto"/>
            </w:tcBorders>
          </w:tcPr>
          <w:p>
            <w:pPr>
              <w:spacing w:after="0"/>
              <w:rPr>
                <w:sz w:val="23"/>
                <w:szCs w:val="23"/>
                <w:color w:val="auto"/>
              </w:rPr>
            </w:pPr>
          </w:p>
        </w:tc>
        <w:tc>
          <w:tcPr>
            <w:tcW w:w="564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Product for UC (Induction).</w:t>
            </w:r>
          </w:p>
        </w:tc>
        <w:tc>
          <w:tcPr>
            <w:tcW w:w="1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98"/>
        </w:trPr>
        <w:tc>
          <w:tcPr>
            <w:tcW w:w="200" w:type="dxa"/>
            <w:vAlign w:val="bottom"/>
            <w:tcBorders>
              <w:left w:val="single" w:sz="8" w:color="auto"/>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310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r>
      <w:tr>
        <w:trPr>
          <w:trHeight w:val="323"/>
        </w:trPr>
        <w:tc>
          <w:tcPr>
            <w:tcW w:w="200" w:type="dxa"/>
            <w:vAlign w:val="bottom"/>
            <w:tcBorders>
              <w:left w:val="single" w:sz="8" w:color="auto"/>
            </w:tcBorders>
          </w:tcPr>
          <w:p>
            <w:pPr>
              <w:spacing w:after="0"/>
              <w:rPr>
                <w:sz w:val="24"/>
                <w:szCs w:val="24"/>
                <w:color w:val="auto"/>
              </w:rPr>
            </w:pPr>
          </w:p>
        </w:tc>
        <w:tc>
          <w:tcPr>
            <w:tcW w:w="564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w w:val="93"/>
              </w:rPr>
              <w:t>Commencement of a Phase III Clinical Trial, as contemplated</w:t>
            </w:r>
          </w:p>
        </w:tc>
        <w:tc>
          <w:tcPr>
            <w:tcW w:w="2980" w:type="dxa"/>
            <w:vAlign w:val="bottom"/>
            <w:gridSpan w:val="2"/>
          </w:tcPr>
          <w:p>
            <w:pPr>
              <w:ind w:left="160"/>
              <w:spacing w:after="0"/>
              <w:rPr>
                <w:sz w:val="20"/>
                <w:szCs w:val="20"/>
                <w:color w:val="auto"/>
              </w:rPr>
            </w:pPr>
            <w:r>
              <w:rPr>
                <w:rFonts w:ascii="Arial" w:cs="Arial" w:eastAsia="Arial" w:hAnsi="Arial"/>
                <w:sz w:val="22"/>
                <w:szCs w:val="22"/>
                <w:color w:val="auto"/>
              </w:rPr>
              <w:t>$20,000,000</w:t>
            </w:r>
          </w:p>
        </w:tc>
        <w:tc>
          <w:tcPr>
            <w:tcW w:w="1720" w:type="dxa"/>
            <w:vAlign w:val="bottom"/>
            <w:tcBorders>
              <w:right w:val="single" w:sz="8" w:color="auto"/>
            </w:tcBorders>
          </w:tcPr>
          <w:p>
            <w:pPr>
              <w:spacing w:after="0"/>
              <w:rPr>
                <w:sz w:val="24"/>
                <w:szCs w:val="24"/>
                <w:color w:val="auto"/>
              </w:rPr>
            </w:pPr>
          </w:p>
        </w:tc>
      </w:tr>
      <w:tr>
        <w:trPr>
          <w:trHeight w:val="243"/>
        </w:trPr>
        <w:tc>
          <w:tcPr>
            <w:tcW w:w="200" w:type="dxa"/>
            <w:vAlign w:val="bottom"/>
            <w:tcBorders>
              <w:left w:val="single" w:sz="8" w:color="auto"/>
            </w:tcBorders>
          </w:tcPr>
          <w:p>
            <w:pPr>
              <w:spacing w:after="0"/>
              <w:rPr>
                <w:sz w:val="21"/>
                <w:szCs w:val="21"/>
                <w:color w:val="auto"/>
              </w:rPr>
            </w:pPr>
          </w:p>
        </w:tc>
        <w:tc>
          <w:tcPr>
            <w:tcW w:w="564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w w:val="98"/>
              </w:rPr>
              <w:t>in the Global Development Plan, in respect of the First IBD</w:t>
            </w:r>
          </w:p>
        </w:tc>
        <w:tc>
          <w:tcPr>
            <w:tcW w:w="1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r>
      <w:tr>
        <w:trPr>
          <w:trHeight w:val="275"/>
        </w:trPr>
        <w:tc>
          <w:tcPr>
            <w:tcW w:w="200" w:type="dxa"/>
            <w:vAlign w:val="bottom"/>
            <w:tcBorders>
              <w:left w:val="single" w:sz="8" w:color="auto"/>
            </w:tcBorders>
          </w:tcPr>
          <w:p>
            <w:pPr>
              <w:spacing w:after="0"/>
              <w:rPr>
                <w:sz w:val="23"/>
                <w:szCs w:val="23"/>
                <w:color w:val="auto"/>
              </w:rPr>
            </w:pPr>
          </w:p>
        </w:tc>
        <w:tc>
          <w:tcPr>
            <w:tcW w:w="564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Product for UC (Induction).</w:t>
            </w:r>
          </w:p>
        </w:tc>
        <w:tc>
          <w:tcPr>
            <w:tcW w:w="1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98"/>
        </w:trPr>
        <w:tc>
          <w:tcPr>
            <w:tcW w:w="200" w:type="dxa"/>
            <w:vAlign w:val="bottom"/>
            <w:tcBorders>
              <w:left w:val="single" w:sz="8" w:color="auto"/>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310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r>
    </w:tbl>
    <w:p>
      <w:pPr>
        <w:spacing w:after="0" w:line="208" w:lineRule="exact"/>
        <w:rPr>
          <w:sz w:val="20"/>
          <w:szCs w:val="20"/>
          <w:color w:val="auto"/>
        </w:rPr>
      </w:pPr>
    </w:p>
    <w:p>
      <w:pPr>
        <w:jc w:val="both"/>
        <w:ind w:left="880"/>
        <w:spacing w:after="0" w:line="247" w:lineRule="exact"/>
        <w:rPr>
          <w:sz w:val="20"/>
          <w:szCs w:val="20"/>
          <w:color w:val="auto"/>
        </w:rPr>
      </w:pPr>
      <w:r>
        <w:rPr>
          <w:rFonts w:ascii="Arial" w:cs="Arial" w:eastAsia="Arial" w:hAnsi="Arial"/>
          <w:sz w:val="21"/>
          <w:szCs w:val="21"/>
          <w:color w:val="auto"/>
        </w:rPr>
        <w:t>In the event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287 Clinical Trial commences before December 15, 2018, NHSc will pay the Total Phase II/III SER</w:t>
      </w:r>
      <w:r>
        <w:rPr>
          <w:rFonts w:ascii="MS PGothic" w:cs="MS PGothic" w:eastAsia="MS PGothic" w:hAnsi="MS PGothic"/>
          <w:sz w:val="21"/>
          <w:szCs w:val="21"/>
          <w:color w:val="auto"/>
        </w:rPr>
        <w:t>‑</w:t>
      </w:r>
      <w:r>
        <w:rPr>
          <w:rFonts w:ascii="Arial" w:cs="Arial" w:eastAsia="Arial" w:hAnsi="Arial"/>
          <w:sz w:val="21"/>
          <w:szCs w:val="21"/>
          <w:color w:val="auto"/>
        </w:rPr>
        <w:t>287 Milestone Payment before December 31, 2018. In the event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287 Clinical Trial commences between December 16, 2018 and December 27, NHSc will use commercially reasonable efforts to pay the Total Phase II/III SER</w:t>
      </w:r>
      <w:r>
        <w:rPr>
          <w:rFonts w:ascii="MS PGothic" w:cs="MS PGothic" w:eastAsia="MS PGothic" w:hAnsi="MS PGothic"/>
          <w:sz w:val="21"/>
          <w:szCs w:val="21"/>
          <w:color w:val="auto"/>
        </w:rPr>
        <w:t>‑</w:t>
      </w:r>
      <w:r>
        <w:rPr>
          <w:rFonts w:ascii="Arial" w:cs="Arial" w:eastAsia="Arial" w:hAnsi="Arial"/>
          <w:sz w:val="21"/>
          <w:szCs w:val="21"/>
          <w:color w:val="auto"/>
        </w:rPr>
        <w:t>287 Milestone Payment before December 31, 2018. In order to facilitate logistics of such a payment, Seres will regularly inform NHSc about the expected commencement of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287 Clinical Trial. For clarity, the Applicable Milestone Payments for the achievement of the Applicable Milestone Events set forth in this paragraph b) shall replace the first and second milestone payments that are set forth in Section 8.2.1 of the Agreement, upon Seres’s receipt of the Total Phase II/III SER</w:t>
      </w:r>
      <w:r>
        <w:rPr>
          <w:rFonts w:ascii="MS PGothic" w:cs="MS PGothic" w:eastAsia="MS PGothic" w:hAnsi="MS PGothic"/>
          <w:sz w:val="21"/>
          <w:szCs w:val="21"/>
          <w:color w:val="auto"/>
        </w:rPr>
        <w:t>‑</w:t>
      </w:r>
      <w:r>
        <w:rPr>
          <w:rFonts w:ascii="Arial" w:cs="Arial" w:eastAsia="Arial" w:hAnsi="Arial"/>
          <w:sz w:val="21"/>
          <w:szCs w:val="21"/>
          <w:color w:val="auto"/>
        </w:rPr>
        <w:t>287 Milestone Payment.</w:t>
      </w:r>
    </w:p>
    <w:p>
      <w:pPr>
        <w:spacing w:after="0" w:line="189" w:lineRule="exact"/>
        <w:rPr>
          <w:sz w:val="20"/>
          <w:szCs w:val="20"/>
          <w:color w:val="auto"/>
        </w:rPr>
      </w:pPr>
    </w:p>
    <w:p>
      <w:pPr>
        <w:jc w:val="both"/>
        <w:ind w:left="880" w:hanging="872"/>
        <w:spacing w:after="0" w:line="248" w:lineRule="exact"/>
        <w:tabs>
          <w:tab w:leader="none" w:pos="880" w:val="left"/>
        </w:tabs>
        <w:numPr>
          <w:ilvl w:val="0"/>
          <w:numId w:val="93"/>
        </w:numPr>
        <w:rPr>
          <w:rFonts w:ascii="Arial" w:cs="Arial" w:eastAsia="Arial" w:hAnsi="Arial"/>
          <w:sz w:val="21"/>
          <w:szCs w:val="21"/>
          <w:color w:val="auto"/>
        </w:rPr>
      </w:pPr>
      <w:r>
        <w:rPr>
          <w:rFonts w:ascii="Arial" w:cs="Arial" w:eastAsia="Arial" w:hAnsi="Arial"/>
          <w:sz w:val="21"/>
          <w:szCs w:val="21"/>
          <w:color w:val="auto"/>
        </w:rPr>
        <w:t>Seres shall conduct a Clinical Trial with respect to the First IBD Product for the treatment of UC, which Clinical Trial will consist of three (3) arms, 67 patients per arm for a total of 201 subjects, the arms being P/P, [***] in accordance with the protocol therefor as to be approved by the JSC (the “</w:t>
      </w:r>
      <w:r>
        <w:rPr>
          <w:rFonts w:ascii="Arial" w:cs="Arial" w:eastAsia="Arial" w:hAnsi="Arial"/>
          <w:sz w:val="21"/>
          <w:szCs w:val="21"/>
          <w:b w:val="1"/>
          <w:bCs w:val="1"/>
          <w:color w:val="auto"/>
        </w:rPr>
        <w:t>Protocol Amendment</w:t>
      </w:r>
      <w:r>
        <w:rPr>
          <w:rFonts w:ascii="Arial" w:cs="Arial" w:eastAsia="Arial" w:hAnsi="Arial"/>
          <w:sz w:val="21"/>
          <w:szCs w:val="21"/>
          <w:color w:val="auto"/>
        </w:rPr>
        <w:t>”) (the “</w:t>
      </w:r>
      <w:r>
        <w:rPr>
          <w:rFonts w:ascii="Arial" w:cs="Arial" w:eastAsia="Arial" w:hAnsi="Arial"/>
          <w:sz w:val="21"/>
          <w:szCs w:val="21"/>
          <w:b w:val="1"/>
          <w:bCs w:val="1"/>
          <w:color w:val="auto"/>
        </w:rPr>
        <w:t>3</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Arm SER</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287 Clinical</w:t>
      </w:r>
      <w:r>
        <w:rPr>
          <w:rFonts w:ascii="Arial" w:cs="Arial" w:eastAsia="Arial" w:hAnsi="Arial"/>
          <w:sz w:val="21"/>
          <w:szCs w:val="21"/>
          <w:color w:val="auto"/>
        </w:rPr>
        <w:t xml:space="preserve"> </w:t>
      </w:r>
      <w:r>
        <w:rPr>
          <w:rFonts w:ascii="Arial" w:cs="Arial" w:eastAsia="Arial" w:hAnsi="Arial"/>
          <w:sz w:val="21"/>
          <w:szCs w:val="21"/>
          <w:b w:val="1"/>
          <w:bCs w:val="1"/>
          <w:color w:val="auto"/>
        </w:rPr>
        <w:t>Trial</w:t>
      </w:r>
      <w:r>
        <w:rPr>
          <w:rFonts w:ascii="Arial" w:cs="Arial" w:eastAsia="Arial" w:hAnsi="Arial"/>
          <w:sz w:val="21"/>
          <w:szCs w:val="21"/>
          <w:color w:val="auto"/>
        </w:rPr>
        <w:t>”). The JSC shall update the applicable Development Plan to account for the conduct of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287</w:t>
      </w:r>
      <w:r>
        <w:rPr>
          <w:rFonts w:ascii="Arial" w:cs="Arial" w:eastAsia="Arial" w:hAnsi="Arial"/>
          <w:sz w:val="21"/>
          <w:szCs w:val="21"/>
          <w:b w:val="1"/>
          <w:bCs w:val="1"/>
          <w:color w:val="auto"/>
        </w:rPr>
        <w:t xml:space="preserve"> </w:t>
      </w:r>
      <w:r>
        <w:rPr>
          <w:rFonts w:ascii="Arial" w:cs="Arial" w:eastAsia="Arial" w:hAnsi="Arial"/>
          <w:sz w:val="21"/>
          <w:szCs w:val="21"/>
          <w:color w:val="auto"/>
        </w:rPr>
        <w:t>Clinical Trial by Seres promptly after the Letter Agreement Effective Date. For purposes of this Letter Agreement, the treatment arm of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287 Clinical Trial designed to include a [***] of the First IBD Product shall be referred to herein as the “</w:t>
      </w:r>
      <w:r>
        <w:rPr>
          <w:rFonts w:ascii="Arial" w:cs="Arial" w:eastAsia="Arial" w:hAnsi="Arial"/>
          <w:sz w:val="21"/>
          <w:szCs w:val="21"/>
          <w:b w:val="1"/>
          <w:bCs w:val="1"/>
          <w:color w:val="auto"/>
        </w:rPr>
        <w:t>Lower Dose</w:t>
      </w:r>
      <w:r>
        <w:rPr>
          <w:rFonts w:ascii="Arial" w:cs="Arial" w:eastAsia="Arial" w:hAnsi="Arial"/>
          <w:sz w:val="21"/>
          <w:szCs w:val="21"/>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8" w:lineRule="exact"/>
        <w:rPr>
          <w:sz w:val="20"/>
          <w:szCs w:val="20"/>
          <w:color w:val="auto"/>
        </w:rPr>
      </w:pPr>
    </w:p>
    <w:p>
      <w:pPr>
        <w:jc w:val="both"/>
        <w:ind w:right="60" w:firstLine="8"/>
        <w:spacing w:after="0" w:line="233" w:lineRule="auto"/>
        <w:tabs>
          <w:tab w:leader="none" w:pos="378"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128" w:name="page129"/>
    <w:bookmarkEnd w:id="128"/>
    <w:p>
      <w:pPr>
        <w:jc w:val="both"/>
        <w:ind w:left="880" w:hanging="872"/>
        <w:spacing w:after="0" w:line="246" w:lineRule="exact"/>
        <w:tabs>
          <w:tab w:leader="none" w:pos="8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If after submission by or on behalf of Seres of the Protocol Amendment for the 3</w:t>
      </w:r>
      <w:r>
        <w:rPr>
          <w:rFonts w:ascii="MS PGothic" w:cs="MS PGothic" w:eastAsia="MS PGothic" w:hAnsi="MS PGothic"/>
          <w:sz w:val="22"/>
          <w:szCs w:val="22"/>
          <w:color w:val="auto"/>
        </w:rPr>
        <w:t>‑</w:t>
      </w:r>
      <w:r>
        <w:rPr>
          <w:rFonts w:ascii="Arial" w:cs="Arial" w:eastAsia="Arial" w:hAnsi="Arial"/>
          <w:sz w:val="22"/>
          <w:szCs w:val="22"/>
          <w:color w:val="auto"/>
        </w:rPr>
        <w:t>Arm SER</w:t>
      </w:r>
      <w:r>
        <w:rPr>
          <w:rFonts w:ascii="MS PGothic" w:cs="MS PGothic" w:eastAsia="MS PGothic" w:hAnsi="MS PGothic"/>
          <w:sz w:val="22"/>
          <w:szCs w:val="22"/>
          <w:color w:val="auto"/>
        </w:rPr>
        <w:t>‑</w:t>
      </w:r>
      <w:r>
        <w:rPr>
          <w:rFonts w:ascii="Arial" w:cs="Arial" w:eastAsia="Arial" w:hAnsi="Arial"/>
          <w:sz w:val="22"/>
          <w:szCs w:val="22"/>
          <w:color w:val="auto"/>
        </w:rPr>
        <w:t>287 Clinical Trial to the FDA, (i) FDA provides feedback indicating that the 3</w:t>
      </w:r>
      <w:r>
        <w:rPr>
          <w:rFonts w:ascii="MS PGothic" w:cs="MS PGothic" w:eastAsia="MS PGothic" w:hAnsi="MS PGothic"/>
          <w:sz w:val="22"/>
          <w:szCs w:val="22"/>
          <w:color w:val="auto"/>
        </w:rPr>
        <w:t>‑</w:t>
      </w:r>
      <w:r>
        <w:rPr>
          <w:rFonts w:ascii="Arial" w:cs="Arial" w:eastAsia="Arial" w:hAnsi="Arial"/>
          <w:sz w:val="22"/>
          <w:szCs w:val="22"/>
          <w:color w:val="auto"/>
        </w:rPr>
        <w:t>Arm SER</w:t>
      </w:r>
      <w:r>
        <w:rPr>
          <w:rFonts w:ascii="MS PGothic" w:cs="MS PGothic" w:eastAsia="MS PGothic" w:hAnsi="MS PGothic"/>
          <w:sz w:val="22"/>
          <w:szCs w:val="22"/>
          <w:color w:val="auto"/>
        </w:rPr>
        <w:t>‑</w:t>
      </w:r>
      <w:r>
        <w:rPr>
          <w:rFonts w:ascii="Arial" w:cs="Arial" w:eastAsia="Arial" w:hAnsi="Arial"/>
          <w:sz w:val="22"/>
          <w:szCs w:val="22"/>
          <w:color w:val="auto"/>
        </w:rPr>
        <w:t xml:space="preserve">287 Clinical Trial could </w:t>
      </w:r>
      <w:r>
        <w:rPr>
          <w:rFonts w:ascii="Arial" w:cs="Arial" w:eastAsia="Arial" w:hAnsi="Arial"/>
          <w:sz w:val="22"/>
          <w:szCs w:val="22"/>
          <w:i w:val="1"/>
          <w:iCs w:val="1"/>
          <w:color w:val="auto"/>
        </w:rPr>
        <w:t>not</w:t>
      </w:r>
      <w:r>
        <w:rPr>
          <w:rFonts w:ascii="Arial" w:cs="Arial" w:eastAsia="Arial" w:hAnsi="Arial"/>
          <w:sz w:val="22"/>
          <w:szCs w:val="22"/>
          <w:color w:val="auto"/>
        </w:rPr>
        <w:t xml:space="preserve"> be used as one of the two necessary Phase III Clinical Trials for the First IBD Product for the treatment of UC (i.e., the data from the 3</w:t>
      </w:r>
      <w:r>
        <w:rPr>
          <w:rFonts w:ascii="MS PGothic" w:cs="MS PGothic" w:eastAsia="MS PGothic" w:hAnsi="MS PGothic"/>
          <w:sz w:val="22"/>
          <w:szCs w:val="22"/>
          <w:color w:val="auto"/>
        </w:rPr>
        <w:t>‑</w:t>
      </w:r>
      <w:r>
        <w:rPr>
          <w:rFonts w:ascii="Arial" w:cs="Arial" w:eastAsia="Arial" w:hAnsi="Arial"/>
          <w:sz w:val="22"/>
          <w:szCs w:val="22"/>
          <w:color w:val="auto"/>
        </w:rPr>
        <w:t>Arm SER</w:t>
      </w:r>
      <w:r>
        <w:rPr>
          <w:rFonts w:ascii="MS PGothic" w:cs="MS PGothic" w:eastAsia="MS PGothic" w:hAnsi="MS PGothic"/>
          <w:sz w:val="22"/>
          <w:szCs w:val="22"/>
          <w:color w:val="auto"/>
        </w:rPr>
        <w:t>‑</w:t>
      </w:r>
      <w:r>
        <w:rPr>
          <w:rFonts w:ascii="Arial" w:cs="Arial" w:eastAsia="Arial" w:hAnsi="Arial"/>
          <w:sz w:val="22"/>
          <w:szCs w:val="22"/>
          <w:color w:val="auto"/>
        </w:rPr>
        <w:t xml:space="preserve">287 Clinical Trial, even if it shows statistically compelling efficacy, could not be used in a BLA submission as one of two such Phase III Clinical Trials)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(ii) the results of the 3</w:t>
      </w:r>
      <w:r>
        <w:rPr>
          <w:rFonts w:ascii="MS PGothic" w:cs="MS PGothic" w:eastAsia="MS PGothic" w:hAnsi="MS PGothic"/>
          <w:sz w:val="22"/>
          <w:szCs w:val="22"/>
          <w:color w:val="auto"/>
        </w:rPr>
        <w:t>‑</w:t>
      </w:r>
      <w:r>
        <w:rPr>
          <w:rFonts w:ascii="Arial" w:cs="Arial" w:eastAsia="Arial" w:hAnsi="Arial"/>
          <w:sz w:val="22"/>
          <w:szCs w:val="22"/>
          <w:color w:val="auto"/>
        </w:rPr>
        <w:t>Arm SER</w:t>
      </w:r>
      <w:r>
        <w:rPr>
          <w:rFonts w:ascii="MS PGothic" w:cs="MS PGothic" w:eastAsia="MS PGothic" w:hAnsi="MS PGothic"/>
          <w:sz w:val="22"/>
          <w:szCs w:val="22"/>
          <w:color w:val="auto"/>
        </w:rPr>
        <w:t>‑</w:t>
      </w:r>
      <w:r>
        <w:rPr>
          <w:rFonts w:ascii="Arial" w:cs="Arial" w:eastAsia="Arial" w:hAnsi="Arial"/>
          <w:sz w:val="22"/>
          <w:szCs w:val="22"/>
          <w:color w:val="auto"/>
        </w:rPr>
        <w:t>287 Clinical Trial are sufficient to allow Seres to proceed to conduct the first of the two Phase III Clinical Trials in respect of the Lower Dose, then (X) [***] and (Y) Section 4.8 and Section 4.8.1(b) of the Agreement shall continue to apply with respect to the sharing of Development Costs for both the first and second Phase III Clinical Trials to be conducted by Seres for the First IBD Product for the treatment of UC.</w:t>
      </w:r>
    </w:p>
    <w:p>
      <w:pPr>
        <w:spacing w:after="0" w:line="193" w:lineRule="exact"/>
        <w:rPr>
          <w:rFonts w:ascii="Arial" w:cs="Arial" w:eastAsia="Arial" w:hAnsi="Arial"/>
          <w:sz w:val="22"/>
          <w:szCs w:val="22"/>
          <w:color w:val="auto"/>
        </w:rPr>
      </w:pPr>
    </w:p>
    <w:p>
      <w:pPr>
        <w:jc w:val="both"/>
        <w:ind w:left="880" w:hanging="872"/>
        <w:spacing w:after="0" w:line="247" w:lineRule="exact"/>
        <w:tabs>
          <w:tab w:leader="none" w:pos="8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If after submission by or on behalf of Seres of the Protocol Amendment for the 3</w:t>
      </w:r>
      <w:r>
        <w:rPr>
          <w:rFonts w:ascii="MS PGothic" w:cs="MS PGothic" w:eastAsia="MS PGothic" w:hAnsi="MS PGothic"/>
          <w:sz w:val="19"/>
          <w:szCs w:val="19"/>
          <w:color w:val="auto"/>
        </w:rPr>
        <w:t>‑</w:t>
      </w:r>
      <w:r>
        <w:rPr>
          <w:rFonts w:ascii="Arial" w:cs="Arial" w:eastAsia="Arial" w:hAnsi="Arial"/>
          <w:sz w:val="19"/>
          <w:szCs w:val="19"/>
          <w:color w:val="auto"/>
        </w:rPr>
        <w:t>Arm SER</w:t>
      </w:r>
      <w:r>
        <w:rPr>
          <w:rFonts w:ascii="MS PGothic" w:cs="MS PGothic" w:eastAsia="MS PGothic" w:hAnsi="MS PGothic"/>
          <w:sz w:val="19"/>
          <w:szCs w:val="19"/>
          <w:color w:val="auto"/>
        </w:rPr>
        <w:t>‑</w:t>
      </w:r>
      <w:r>
        <w:rPr>
          <w:rFonts w:ascii="Arial" w:cs="Arial" w:eastAsia="Arial" w:hAnsi="Arial"/>
          <w:sz w:val="19"/>
          <w:szCs w:val="19"/>
          <w:color w:val="auto"/>
        </w:rPr>
        <w:t>287 Clinical Trial to the FDA, (i) the FDA provides feedback indicating that the 3</w:t>
      </w:r>
      <w:r>
        <w:rPr>
          <w:rFonts w:ascii="MS PGothic" w:cs="MS PGothic" w:eastAsia="MS PGothic" w:hAnsi="MS PGothic"/>
          <w:sz w:val="19"/>
          <w:szCs w:val="19"/>
          <w:color w:val="auto"/>
        </w:rPr>
        <w:t>‑</w:t>
      </w:r>
      <w:r>
        <w:rPr>
          <w:rFonts w:ascii="Arial" w:cs="Arial" w:eastAsia="Arial" w:hAnsi="Arial"/>
          <w:sz w:val="19"/>
          <w:szCs w:val="19"/>
          <w:color w:val="auto"/>
        </w:rPr>
        <w:t>Arm SER</w:t>
      </w:r>
      <w:r>
        <w:rPr>
          <w:rFonts w:ascii="MS PGothic" w:cs="MS PGothic" w:eastAsia="MS PGothic" w:hAnsi="MS PGothic"/>
          <w:sz w:val="19"/>
          <w:szCs w:val="19"/>
          <w:color w:val="auto"/>
        </w:rPr>
        <w:t>‑</w:t>
      </w:r>
      <w:r>
        <w:rPr>
          <w:rFonts w:ascii="Arial" w:cs="Arial" w:eastAsia="Arial" w:hAnsi="Arial"/>
          <w:sz w:val="19"/>
          <w:szCs w:val="19"/>
          <w:color w:val="auto"/>
        </w:rPr>
        <w:t xml:space="preserve">287 Clinical Trial could </w:t>
      </w:r>
      <w:r>
        <w:rPr>
          <w:rFonts w:ascii="Arial" w:cs="Arial" w:eastAsia="Arial" w:hAnsi="Arial"/>
          <w:sz w:val="19"/>
          <w:szCs w:val="19"/>
          <w:i w:val="1"/>
          <w:iCs w:val="1"/>
          <w:color w:val="auto"/>
        </w:rPr>
        <w:t>not</w:t>
      </w:r>
      <w:r>
        <w:rPr>
          <w:rFonts w:ascii="Arial" w:cs="Arial" w:eastAsia="Arial" w:hAnsi="Arial"/>
          <w:sz w:val="19"/>
          <w:szCs w:val="19"/>
          <w:color w:val="auto"/>
        </w:rPr>
        <w:t xml:space="preserve"> be used as one of the two necessary Phase III Clinical Trials for the First IBD Product for the treatment of UC (i.e., the data from the 3</w:t>
      </w:r>
      <w:r>
        <w:rPr>
          <w:rFonts w:ascii="MS PGothic" w:cs="MS PGothic" w:eastAsia="MS PGothic" w:hAnsi="MS PGothic"/>
          <w:sz w:val="19"/>
          <w:szCs w:val="19"/>
          <w:color w:val="auto"/>
        </w:rPr>
        <w:t>‑</w:t>
      </w:r>
      <w:r>
        <w:rPr>
          <w:rFonts w:ascii="Arial" w:cs="Arial" w:eastAsia="Arial" w:hAnsi="Arial"/>
          <w:sz w:val="19"/>
          <w:szCs w:val="19"/>
          <w:color w:val="auto"/>
        </w:rPr>
        <w:t>Arm SER</w:t>
      </w:r>
      <w:r>
        <w:rPr>
          <w:rFonts w:ascii="MS PGothic" w:cs="MS PGothic" w:eastAsia="MS PGothic" w:hAnsi="MS PGothic"/>
          <w:sz w:val="19"/>
          <w:szCs w:val="19"/>
          <w:color w:val="auto"/>
        </w:rPr>
        <w:t>‑</w:t>
      </w:r>
      <w:r>
        <w:rPr>
          <w:rFonts w:ascii="Arial" w:cs="Arial" w:eastAsia="Arial" w:hAnsi="Arial"/>
          <w:sz w:val="19"/>
          <w:szCs w:val="19"/>
          <w:color w:val="auto"/>
        </w:rPr>
        <w:t xml:space="preserve">287 Trial, even if it shows statistically compelling efficacy, could not be used in a BLA submission as one of two such Phase III Clinical Trials)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(ii) the results of the 3</w:t>
      </w:r>
      <w:r>
        <w:rPr>
          <w:rFonts w:ascii="MS PGothic" w:cs="MS PGothic" w:eastAsia="MS PGothic" w:hAnsi="MS PGothic"/>
          <w:sz w:val="19"/>
          <w:szCs w:val="19"/>
          <w:color w:val="auto"/>
        </w:rPr>
        <w:t>‑</w:t>
      </w:r>
      <w:r>
        <w:rPr>
          <w:rFonts w:ascii="Arial" w:cs="Arial" w:eastAsia="Arial" w:hAnsi="Arial"/>
          <w:sz w:val="19"/>
          <w:szCs w:val="19"/>
          <w:color w:val="auto"/>
        </w:rPr>
        <w:t>Arm SER</w:t>
      </w:r>
      <w:r>
        <w:rPr>
          <w:rFonts w:ascii="MS PGothic" w:cs="MS PGothic" w:eastAsia="MS PGothic" w:hAnsi="MS PGothic"/>
          <w:sz w:val="19"/>
          <w:szCs w:val="19"/>
          <w:color w:val="auto"/>
        </w:rPr>
        <w:t>‑</w:t>
      </w:r>
      <w:r>
        <w:rPr>
          <w:rFonts w:ascii="Arial" w:cs="Arial" w:eastAsia="Arial" w:hAnsi="Arial"/>
          <w:sz w:val="19"/>
          <w:szCs w:val="19"/>
          <w:color w:val="auto"/>
        </w:rPr>
        <w:t>287 Trial do not demonstrate statistically significant efficacy of the Lower Dose, then (X) [***] and (Y) all future Development Costs to be shared by the Parties pursuant to Section 4.8 of the Agreement will be shared as between Seres and NHSc pursuant to Sections 4.8.1(b</w:t>
      </w:r>
      <w:r>
        <w:rPr>
          <w:rFonts w:ascii="Arial" w:cs="Arial" w:eastAsia="Arial" w:hAnsi="Arial"/>
          <w:sz w:val="19"/>
          <w:szCs w:val="19"/>
          <w:b w:val="1"/>
          <w:bCs w:val="1"/>
          <w:color w:val="auto"/>
        </w:rPr>
        <w:t>) (</w:t>
      </w:r>
      <w:r>
        <w:rPr>
          <w:rFonts w:ascii="Arial" w:cs="Arial" w:eastAsia="Arial" w:hAnsi="Arial"/>
          <w:sz w:val="19"/>
          <w:szCs w:val="19"/>
          <w:color w:val="auto"/>
        </w:rPr>
        <w:t>IBD Products) and 4.8.2(c) (C Difficile Products) of the Agreement provided that, [***]</w:t>
      </w:r>
    </w:p>
    <w:p>
      <w:pPr>
        <w:spacing w:after="0" w:line="187" w:lineRule="exact"/>
        <w:rPr>
          <w:rFonts w:ascii="Arial" w:cs="Arial" w:eastAsia="Arial" w:hAnsi="Arial"/>
          <w:sz w:val="19"/>
          <w:szCs w:val="19"/>
          <w:color w:val="auto"/>
        </w:rPr>
      </w:pPr>
    </w:p>
    <w:p>
      <w:pPr>
        <w:jc w:val="both"/>
        <w:ind w:left="880" w:hanging="872"/>
        <w:spacing w:after="0" w:line="247" w:lineRule="exact"/>
        <w:tabs>
          <w:tab w:leader="none" w:pos="880" w:val="left"/>
        </w:tabs>
        <w:numPr>
          <w:ilvl w:val="0"/>
          <w:numId w:val="95"/>
        </w:numPr>
        <w:rPr>
          <w:rFonts w:ascii="Arial" w:cs="Arial" w:eastAsia="Arial" w:hAnsi="Arial"/>
          <w:sz w:val="21"/>
          <w:szCs w:val="21"/>
          <w:color w:val="auto"/>
        </w:rPr>
      </w:pPr>
      <w:r>
        <w:rPr>
          <w:rFonts w:ascii="Arial" w:cs="Arial" w:eastAsia="Arial" w:hAnsi="Arial"/>
          <w:sz w:val="21"/>
          <w:szCs w:val="21"/>
          <w:color w:val="auto"/>
        </w:rPr>
        <w:t>If after submission by or on behalf of Seres of the Protocol Amendment for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287 Clinical Trial to the FDA, (i) the FDA provides feedback indicating that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 xml:space="preserve">287 Clinical Trial </w:t>
      </w:r>
      <w:r>
        <w:rPr>
          <w:rFonts w:ascii="Arial" w:cs="Arial" w:eastAsia="Arial" w:hAnsi="Arial"/>
          <w:sz w:val="21"/>
          <w:szCs w:val="21"/>
          <w:i w:val="1"/>
          <w:iCs w:val="1"/>
          <w:color w:val="auto"/>
        </w:rPr>
        <w:t>could</w:t>
      </w:r>
      <w:r>
        <w:rPr>
          <w:rFonts w:ascii="Arial" w:cs="Arial" w:eastAsia="Arial" w:hAnsi="Arial"/>
          <w:sz w:val="21"/>
          <w:szCs w:val="21"/>
          <w:color w:val="auto"/>
        </w:rPr>
        <w:t xml:space="preserve"> be used as one of the two necessary Phase III Clinical Trials for the First IBD Product for the treatment of UC (i.e. the data from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 xml:space="preserve">287 Trial, if statistically compelling, could be used in a BLA submission as one of two such Phase III Clinical Trials) </w:t>
      </w:r>
      <w:r>
        <w:rPr>
          <w:rFonts w:ascii="Arial" w:cs="Arial" w:eastAsia="Arial" w:hAnsi="Arial"/>
          <w:sz w:val="21"/>
          <w:szCs w:val="21"/>
          <w:u w:val="single" w:color="auto"/>
          <w:color w:val="auto"/>
        </w:rPr>
        <w:t>and</w:t>
      </w:r>
      <w:r>
        <w:rPr>
          <w:rFonts w:ascii="Arial" w:cs="Arial" w:eastAsia="Arial" w:hAnsi="Arial"/>
          <w:sz w:val="21"/>
          <w:szCs w:val="21"/>
          <w:color w:val="auto"/>
        </w:rPr>
        <w:t xml:space="preserve"> (ii) the results of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287 Clinical Trial demonstrate statistically significant efficacy to allow for Seres to conduct the second of the two Phase III Clinical Trials required for Regulatory Approval of the First IBD Product for the treatment of UC, then the Development Costs of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287 Clinical Trial and the second of the two Phase III Clinical Trials required for Regulatory Approval shall be shared by Seres and NHSc pursuant to Section 4.8.1(b) of the Agreement, provided that [***]</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8" w:lineRule="exact"/>
        <w:rPr>
          <w:sz w:val="20"/>
          <w:szCs w:val="20"/>
          <w:color w:val="auto"/>
        </w:rPr>
      </w:pPr>
    </w:p>
    <w:p>
      <w:pPr>
        <w:jc w:val="both"/>
        <w:ind w:right="60" w:firstLine="8"/>
        <w:spacing w:after="0" w:line="233" w:lineRule="auto"/>
        <w:tabs>
          <w:tab w:leader="none" w:pos="378"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129" w:name="page130"/>
    <w:bookmarkEnd w:id="129"/>
    <w:p>
      <w:pPr>
        <w:jc w:val="both"/>
        <w:ind w:left="880" w:hanging="872"/>
        <w:spacing w:after="0" w:line="246" w:lineRule="exact"/>
        <w:tabs>
          <w:tab w:leader="none" w:pos="8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If after submission by or on behalf of Seres of the Protocol Amendment for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287 Clinical Trial to the FDA, (i) the FDA provides feedback indicating that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 xml:space="preserve">287 Clinical Trial </w:t>
      </w:r>
      <w:r>
        <w:rPr>
          <w:rFonts w:ascii="Arial" w:cs="Arial" w:eastAsia="Arial" w:hAnsi="Arial"/>
          <w:sz w:val="21"/>
          <w:szCs w:val="21"/>
          <w:i w:val="1"/>
          <w:iCs w:val="1"/>
          <w:color w:val="auto"/>
        </w:rPr>
        <w:t>could</w:t>
      </w:r>
      <w:r>
        <w:rPr>
          <w:rFonts w:ascii="Arial" w:cs="Arial" w:eastAsia="Arial" w:hAnsi="Arial"/>
          <w:sz w:val="21"/>
          <w:szCs w:val="21"/>
          <w:color w:val="auto"/>
        </w:rPr>
        <w:t xml:space="preserve"> be used as one of the two necessary Phase III Clinical Trials for the First IBD Product for the treatment of UC (i.e. the data from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287 Trial, if statistically compelling</w:t>
      </w:r>
      <w:r>
        <w:rPr>
          <w:rFonts w:ascii="Arial" w:cs="Arial" w:eastAsia="Arial" w:hAnsi="Arial"/>
          <w:sz w:val="21"/>
          <w:szCs w:val="21"/>
          <w:b w:val="1"/>
          <w:bCs w:val="1"/>
          <w:color w:val="auto"/>
        </w:rPr>
        <w:t>,</w:t>
      </w:r>
      <w:r>
        <w:rPr>
          <w:rFonts w:ascii="Arial" w:cs="Arial" w:eastAsia="Arial" w:hAnsi="Arial"/>
          <w:sz w:val="21"/>
          <w:szCs w:val="21"/>
          <w:color w:val="auto"/>
        </w:rPr>
        <w:t xml:space="preserve"> could be used in a BLA submission as one of two such Phase III Clinical Trials) </w:t>
      </w:r>
      <w:r>
        <w:rPr>
          <w:rFonts w:ascii="Arial" w:cs="Arial" w:eastAsia="Arial" w:hAnsi="Arial"/>
          <w:sz w:val="21"/>
          <w:szCs w:val="21"/>
          <w:u w:val="single" w:color="auto"/>
          <w:color w:val="auto"/>
        </w:rPr>
        <w:t>and</w:t>
      </w:r>
      <w:r>
        <w:rPr>
          <w:rFonts w:ascii="Arial" w:cs="Arial" w:eastAsia="Arial" w:hAnsi="Arial"/>
          <w:sz w:val="21"/>
          <w:szCs w:val="21"/>
          <w:color w:val="auto"/>
        </w:rPr>
        <w:t xml:space="preserve"> (ii) the results of the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287 Clinical Trial demonstrate statistically significant efficacy with respect to the Lower Dose only to the extent that such results would make such 3</w:t>
      </w:r>
      <w:r>
        <w:rPr>
          <w:rFonts w:ascii="MS PGothic" w:cs="MS PGothic" w:eastAsia="MS PGothic" w:hAnsi="MS PGothic"/>
          <w:sz w:val="21"/>
          <w:szCs w:val="21"/>
          <w:color w:val="auto"/>
        </w:rPr>
        <w:t>‑</w:t>
      </w:r>
      <w:r>
        <w:rPr>
          <w:rFonts w:ascii="Arial" w:cs="Arial" w:eastAsia="Arial" w:hAnsi="Arial"/>
          <w:sz w:val="21"/>
          <w:szCs w:val="21"/>
          <w:color w:val="auto"/>
        </w:rPr>
        <w:t>Arm SER</w:t>
      </w:r>
      <w:r>
        <w:rPr>
          <w:rFonts w:ascii="MS PGothic" w:cs="MS PGothic" w:eastAsia="MS PGothic" w:hAnsi="MS PGothic"/>
          <w:sz w:val="21"/>
          <w:szCs w:val="21"/>
          <w:color w:val="auto"/>
        </w:rPr>
        <w:t>‑</w:t>
      </w:r>
      <w:r>
        <w:rPr>
          <w:rFonts w:ascii="Arial" w:cs="Arial" w:eastAsia="Arial" w:hAnsi="Arial"/>
          <w:sz w:val="21"/>
          <w:szCs w:val="21"/>
          <w:color w:val="auto"/>
        </w:rPr>
        <w:t>287 Clinical Trial constitute only a Phase II Clinical Trial (i.e. two additional Phase III Clinical Trials for the First IBD Product for the treatment of UC are still required to be conducted for a BLA submission therefor), then [***] and the Development Costs of both of the Phase III Clinical Trials which are additionally required to be conducted shall be shared by Seres and NHSc pursuant to Section 4.8.1(b) of the Agreement.</w:t>
      </w:r>
    </w:p>
    <w:p>
      <w:pPr>
        <w:spacing w:after="0" w:line="191" w:lineRule="exact"/>
        <w:rPr>
          <w:rFonts w:ascii="Arial" w:cs="Arial" w:eastAsia="Arial" w:hAnsi="Arial"/>
          <w:sz w:val="21"/>
          <w:szCs w:val="21"/>
          <w:color w:val="auto"/>
        </w:rPr>
      </w:pPr>
    </w:p>
    <w:p>
      <w:pPr>
        <w:jc w:val="both"/>
        <w:ind w:left="880" w:hanging="872"/>
        <w:spacing w:after="0" w:line="248" w:lineRule="exact"/>
        <w:tabs>
          <w:tab w:leader="none" w:pos="8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If after submission by or on behalf of Seres of the Protocol Amendment for the 3</w:t>
      </w:r>
      <w:r>
        <w:rPr>
          <w:rFonts w:ascii="MS PGothic" w:cs="MS PGothic" w:eastAsia="MS PGothic" w:hAnsi="MS PGothic"/>
          <w:sz w:val="22"/>
          <w:szCs w:val="22"/>
          <w:color w:val="auto"/>
        </w:rPr>
        <w:t>‑</w:t>
      </w:r>
      <w:r>
        <w:rPr>
          <w:rFonts w:ascii="Arial" w:cs="Arial" w:eastAsia="Arial" w:hAnsi="Arial"/>
          <w:sz w:val="22"/>
          <w:szCs w:val="22"/>
          <w:color w:val="auto"/>
        </w:rPr>
        <w:t>Arm SER</w:t>
      </w:r>
      <w:r>
        <w:rPr>
          <w:rFonts w:ascii="MS PGothic" w:cs="MS PGothic" w:eastAsia="MS PGothic" w:hAnsi="MS PGothic"/>
          <w:sz w:val="22"/>
          <w:szCs w:val="22"/>
          <w:color w:val="auto"/>
        </w:rPr>
        <w:t>‑</w:t>
      </w:r>
      <w:r>
        <w:rPr>
          <w:rFonts w:ascii="Arial" w:cs="Arial" w:eastAsia="Arial" w:hAnsi="Arial"/>
          <w:sz w:val="22"/>
          <w:szCs w:val="22"/>
          <w:color w:val="auto"/>
        </w:rPr>
        <w:t>287 Clinical Trial to the FDA, (i) FDA provides feedback indicating that the 3</w:t>
      </w:r>
      <w:r>
        <w:rPr>
          <w:rFonts w:ascii="MS PGothic" w:cs="MS PGothic" w:eastAsia="MS PGothic" w:hAnsi="MS PGothic"/>
          <w:sz w:val="22"/>
          <w:szCs w:val="22"/>
          <w:color w:val="auto"/>
        </w:rPr>
        <w:t>‑</w:t>
      </w:r>
      <w:r>
        <w:rPr>
          <w:rFonts w:ascii="Arial" w:cs="Arial" w:eastAsia="Arial" w:hAnsi="Arial"/>
          <w:sz w:val="22"/>
          <w:szCs w:val="22"/>
          <w:color w:val="auto"/>
        </w:rPr>
        <w:t>Arm SER</w:t>
      </w:r>
      <w:r>
        <w:rPr>
          <w:rFonts w:ascii="MS PGothic" w:cs="MS PGothic" w:eastAsia="MS PGothic" w:hAnsi="MS PGothic"/>
          <w:sz w:val="22"/>
          <w:szCs w:val="22"/>
          <w:color w:val="auto"/>
        </w:rPr>
        <w:t>‑</w:t>
      </w:r>
      <w:r>
        <w:rPr>
          <w:rFonts w:ascii="Arial" w:cs="Arial" w:eastAsia="Arial" w:hAnsi="Arial"/>
          <w:sz w:val="22"/>
          <w:szCs w:val="22"/>
          <w:color w:val="auto"/>
        </w:rPr>
        <w:t xml:space="preserve">287 Clinical Trial </w:t>
      </w:r>
      <w:r>
        <w:rPr>
          <w:rFonts w:ascii="Arial" w:cs="Arial" w:eastAsia="Arial" w:hAnsi="Arial"/>
          <w:sz w:val="22"/>
          <w:szCs w:val="22"/>
          <w:i w:val="1"/>
          <w:iCs w:val="1"/>
          <w:color w:val="auto"/>
        </w:rPr>
        <w:t>could</w:t>
      </w:r>
      <w:r>
        <w:rPr>
          <w:rFonts w:ascii="Arial" w:cs="Arial" w:eastAsia="Arial" w:hAnsi="Arial"/>
          <w:sz w:val="22"/>
          <w:szCs w:val="22"/>
          <w:color w:val="auto"/>
        </w:rPr>
        <w:t xml:space="preserve"> be used as one of the two necessary Phase III Clinical Trials for the First IBD Product for the treatment of UC (i.e. the data from the 3</w:t>
      </w:r>
      <w:r>
        <w:rPr>
          <w:rFonts w:ascii="MS PGothic" w:cs="MS PGothic" w:eastAsia="MS PGothic" w:hAnsi="MS PGothic"/>
          <w:sz w:val="22"/>
          <w:szCs w:val="22"/>
          <w:color w:val="auto"/>
        </w:rPr>
        <w:t>‑</w:t>
      </w:r>
      <w:r>
        <w:rPr>
          <w:rFonts w:ascii="Arial" w:cs="Arial" w:eastAsia="Arial" w:hAnsi="Arial"/>
          <w:sz w:val="22"/>
          <w:szCs w:val="22"/>
          <w:color w:val="auto"/>
        </w:rPr>
        <w:t>Arm SER</w:t>
      </w:r>
      <w:r>
        <w:rPr>
          <w:rFonts w:ascii="MS PGothic" w:cs="MS PGothic" w:eastAsia="MS PGothic" w:hAnsi="MS PGothic"/>
          <w:sz w:val="22"/>
          <w:szCs w:val="22"/>
          <w:color w:val="auto"/>
        </w:rPr>
        <w:t>‑</w:t>
      </w:r>
      <w:r>
        <w:rPr>
          <w:rFonts w:ascii="Arial" w:cs="Arial" w:eastAsia="Arial" w:hAnsi="Arial"/>
          <w:sz w:val="22"/>
          <w:szCs w:val="22"/>
          <w:color w:val="auto"/>
        </w:rPr>
        <w:t xml:space="preserve">287 Trial, if statistically compelling, could be used in a BLA submission as one of two such Phase III Clinical Trials)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(ii) the results of the 3</w:t>
      </w:r>
      <w:r>
        <w:rPr>
          <w:rFonts w:ascii="MS PGothic" w:cs="MS PGothic" w:eastAsia="MS PGothic" w:hAnsi="MS PGothic"/>
          <w:sz w:val="22"/>
          <w:szCs w:val="22"/>
          <w:color w:val="auto"/>
        </w:rPr>
        <w:t>‑</w:t>
      </w:r>
      <w:r>
        <w:rPr>
          <w:rFonts w:ascii="Arial" w:cs="Arial" w:eastAsia="Arial" w:hAnsi="Arial"/>
          <w:sz w:val="22"/>
          <w:szCs w:val="22"/>
          <w:color w:val="auto"/>
        </w:rPr>
        <w:t>Arm SER</w:t>
      </w:r>
      <w:r>
        <w:rPr>
          <w:rFonts w:ascii="MS PGothic" w:cs="MS PGothic" w:eastAsia="MS PGothic" w:hAnsi="MS PGothic"/>
          <w:sz w:val="22"/>
          <w:szCs w:val="22"/>
          <w:color w:val="auto"/>
        </w:rPr>
        <w:t>‑</w:t>
      </w:r>
      <w:r>
        <w:rPr>
          <w:rFonts w:ascii="Arial" w:cs="Arial" w:eastAsia="Arial" w:hAnsi="Arial"/>
          <w:sz w:val="22"/>
          <w:szCs w:val="22"/>
          <w:color w:val="auto"/>
        </w:rPr>
        <w:t>287 Trial do not demonstrate statistically significant efficacy of the Lower Dose, then (X) [***] and (Y) [***]</w:t>
      </w:r>
    </w:p>
    <w:p>
      <w:pPr>
        <w:spacing w:after="0" w:line="188" w:lineRule="exact"/>
        <w:rPr>
          <w:rFonts w:ascii="Arial" w:cs="Arial" w:eastAsia="Arial" w:hAnsi="Arial"/>
          <w:sz w:val="22"/>
          <w:szCs w:val="22"/>
          <w:color w:val="auto"/>
        </w:rPr>
      </w:pPr>
    </w:p>
    <w:p>
      <w:pPr>
        <w:ind w:left="880" w:hanging="872"/>
        <w:spacing w:after="0"/>
        <w:tabs>
          <w:tab w:leader="none" w:pos="8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hanging="872"/>
        <w:spacing w:after="0" w:line="246" w:lineRule="auto"/>
        <w:tabs>
          <w:tab w:leader="none" w:pos="8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Notwithstanding the foregoing provisions of this Letter Agreement, if NHSc after a commercial viability assessment decides in its sole discretion to launch in the EU a First IBD Product for the treatment of UC comprised of a higher dosage strength than the Lower Dose (“</w:t>
      </w:r>
      <w:r>
        <w:rPr>
          <w:rFonts w:ascii="Arial" w:cs="Arial" w:eastAsia="Arial" w:hAnsi="Arial"/>
          <w:sz w:val="21"/>
          <w:szCs w:val="21"/>
          <w:b w:val="1"/>
          <w:bCs w:val="1"/>
          <w:color w:val="auto"/>
        </w:rPr>
        <w:t>Commercial Viability Determination</w:t>
      </w:r>
      <w:r>
        <w:rPr>
          <w:rFonts w:ascii="Arial" w:cs="Arial" w:eastAsia="Arial" w:hAnsi="Arial"/>
          <w:sz w:val="21"/>
          <w:szCs w:val="21"/>
          <w:color w:val="auto"/>
        </w:rPr>
        <w:t>”), then within thirty (30) days after the Commercial Viability Determination, NHSc will pay to Seres the amount calculated by determining the amount NHSc would have paid under Section 4.8 of the Agreement to support Development Costs for Clinical Trials for the First IBD Product for the treatment of UC, without taking into account the terms and conditions of this Letter Agreement, and subtracting from such amount the amount of Development Costs previously paid by NHSc for the First IBD Product for UC by operation of the terms of this Letter Agreement.</w:t>
      </w:r>
    </w:p>
    <w:p>
      <w:pPr>
        <w:spacing w:after="0" w:line="180" w:lineRule="exact"/>
        <w:rPr>
          <w:rFonts w:ascii="Arial" w:cs="Arial" w:eastAsia="Arial" w:hAnsi="Arial"/>
          <w:sz w:val="21"/>
          <w:szCs w:val="21"/>
          <w:color w:val="auto"/>
        </w:rPr>
      </w:pPr>
    </w:p>
    <w:p>
      <w:pPr>
        <w:ind w:left="880" w:right="20" w:hanging="872"/>
        <w:spacing w:after="0" w:line="251" w:lineRule="auto"/>
        <w:tabs>
          <w:tab w:leader="none" w:pos="8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Parties acknowledge that the terms and conditions of this Letter Agreement shall be treated as the Confidential Information of both Parties, subject to Article 11 of the Agreement.</w:t>
      </w:r>
    </w:p>
    <w:p>
      <w:pPr>
        <w:spacing w:after="0" w:line="173" w:lineRule="exact"/>
        <w:rPr>
          <w:rFonts w:ascii="Arial" w:cs="Arial" w:eastAsia="Arial" w:hAnsi="Arial"/>
          <w:sz w:val="22"/>
          <w:szCs w:val="22"/>
          <w:color w:val="auto"/>
        </w:rPr>
      </w:pPr>
    </w:p>
    <w:p>
      <w:pPr>
        <w:jc w:val="both"/>
        <w:ind w:left="880" w:hanging="872"/>
        <w:spacing w:after="0"/>
        <w:tabs>
          <w:tab w:leader="none" w:pos="8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Except as expressly provided in this Letter Agreement, the Agreement shall continue in full force and effect. This Letter Agreement, and the other terms and conditions of the Agreement, constitute the entire agreement of the Parties with respect to the subject matter hereof.</w:t>
      </w:r>
    </w:p>
    <w:p>
      <w:pPr>
        <w:spacing w:after="0" w:line="186" w:lineRule="exact"/>
        <w:rPr>
          <w:rFonts w:ascii="Arial" w:cs="Arial" w:eastAsia="Arial" w:hAnsi="Arial"/>
          <w:sz w:val="22"/>
          <w:szCs w:val="22"/>
          <w:color w:val="auto"/>
        </w:rPr>
      </w:pPr>
    </w:p>
    <w:p>
      <w:pPr>
        <w:jc w:val="both"/>
        <w:ind w:left="880" w:hanging="872"/>
        <w:spacing w:after="0" w:line="238" w:lineRule="auto"/>
        <w:tabs>
          <w:tab w:leader="none" w:pos="8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This Letter Agreement may be executed in counterparts, each of which shall constitute an original and all of which shall together constitute a single agreement. This Letter Agreement may be executed and delivered electronically, including via PDF format, and upon such delivery such electronic signature will be deemed to have the same effect as if the original signature had been delivered to the other Parties.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8" w:lineRule="exact"/>
        <w:rPr>
          <w:sz w:val="20"/>
          <w:szCs w:val="20"/>
          <w:color w:val="auto"/>
        </w:rPr>
      </w:pPr>
    </w:p>
    <w:p>
      <w:pPr>
        <w:jc w:val="both"/>
        <w:ind w:right="60" w:firstLine="8"/>
        <w:spacing w:after="0" w:line="233" w:lineRule="auto"/>
        <w:tabs>
          <w:tab w:leader="none" w:pos="378"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130" w:name="page131"/>
    <w:bookmarkEnd w:id="130"/>
    <w:p>
      <w:pPr>
        <w:spacing w:after="0" w:line="251" w:lineRule="auto"/>
        <w:rPr>
          <w:sz w:val="20"/>
          <w:szCs w:val="20"/>
          <w:color w:val="auto"/>
        </w:rPr>
      </w:pPr>
      <w:r>
        <w:rPr>
          <w:rFonts w:ascii="Arial" w:cs="Arial" w:eastAsia="Arial" w:hAnsi="Arial"/>
          <w:sz w:val="22"/>
          <w:szCs w:val="22"/>
          <w:color w:val="auto"/>
        </w:rPr>
        <w:t>To agree that this Letter Agreement accurately reflects our mutual agreement, please execute and return to me a copy of this Letter Agreement.</w:t>
      </w: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By: /s/ Roger J. Pomerantz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7620</wp:posOffset>
            </wp:positionV>
            <wp:extent cx="26155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7300"/>
        <w:spacing w:after="0"/>
        <w:rPr>
          <w:sz w:val="20"/>
          <w:szCs w:val="20"/>
          <w:color w:val="auto"/>
        </w:rPr>
      </w:pPr>
      <w:r>
        <w:rPr>
          <w:rFonts w:ascii="Arial" w:cs="Arial" w:eastAsia="Arial" w:hAnsi="Arial"/>
          <w:sz w:val="22"/>
          <w:szCs w:val="22"/>
          <w:color w:val="auto"/>
        </w:rPr>
        <w:t>Roger J. Pomerantz, MD, FACP</w:t>
      </w:r>
    </w:p>
    <w:p>
      <w:pPr>
        <w:ind w:left="7300"/>
        <w:spacing w:after="0" w:line="230" w:lineRule="auto"/>
        <w:rPr>
          <w:sz w:val="20"/>
          <w:szCs w:val="20"/>
          <w:color w:val="auto"/>
        </w:rPr>
      </w:pPr>
      <w:r>
        <w:rPr>
          <w:rFonts w:ascii="Arial" w:cs="Arial" w:eastAsia="Arial" w:hAnsi="Arial"/>
          <w:sz w:val="22"/>
          <w:szCs w:val="22"/>
          <w:color w:val="auto"/>
        </w:rPr>
        <w:t>President, CEO and Chairman</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22"/>
          <w:szCs w:val="22"/>
          <w:color w:val="auto"/>
        </w:rPr>
        <w:t>Seres Therapeutics, Inc.</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gridSpan w:val="3"/>
          </w:tcPr>
          <w:p>
            <w:pPr>
              <w:spacing w:after="0"/>
              <w:rPr>
                <w:sz w:val="20"/>
                <w:szCs w:val="20"/>
                <w:color w:val="auto"/>
              </w:rPr>
            </w:pPr>
            <w:r>
              <w:rPr>
                <w:rFonts w:ascii="Arial" w:cs="Arial" w:eastAsia="Arial" w:hAnsi="Arial"/>
                <w:sz w:val="22"/>
                <w:szCs w:val="22"/>
                <w:color w:val="auto"/>
              </w:rPr>
              <w:t>Agreed to this  1</w:t>
            </w:r>
          </w:p>
        </w:tc>
        <w:tc>
          <w:tcPr>
            <w:tcW w:w="5100" w:type="dxa"/>
            <w:vAlign w:val="bottom"/>
          </w:tcPr>
          <w:p>
            <w:pPr>
              <w:ind w:left="20"/>
              <w:spacing w:after="0"/>
              <w:rPr>
                <w:sz w:val="20"/>
                <w:szCs w:val="20"/>
                <w:color w:val="auto"/>
              </w:rPr>
            </w:pPr>
            <w:r>
              <w:rPr>
                <w:rFonts w:ascii="Arial" w:cs="Arial" w:eastAsia="Arial" w:hAnsi="Arial"/>
                <w:sz w:val="22"/>
                <w:szCs w:val="22"/>
                <w:color w:val="auto"/>
              </w:rPr>
              <w:t>day of November, 2018</w:t>
            </w:r>
          </w:p>
        </w:tc>
      </w:tr>
      <w:tr>
        <w:trPr>
          <w:trHeight w:val="723"/>
        </w:trPr>
        <w:tc>
          <w:tcPr>
            <w:tcW w:w="1280" w:type="dxa"/>
            <w:vAlign w:val="bottom"/>
          </w:tcPr>
          <w:p>
            <w:pPr>
              <w:spacing w:after="0"/>
              <w:rPr>
                <w:sz w:val="20"/>
                <w:szCs w:val="20"/>
                <w:color w:val="auto"/>
              </w:rPr>
            </w:pPr>
            <w:r>
              <w:rPr>
                <w:rFonts w:ascii="Arial" w:cs="Arial" w:eastAsia="Arial" w:hAnsi="Arial"/>
                <w:sz w:val="22"/>
                <w:szCs w:val="22"/>
                <w:color w:val="auto"/>
              </w:rPr>
              <w:t>By:</w:t>
            </w:r>
          </w:p>
        </w:tc>
        <w:tc>
          <w:tcPr>
            <w:tcW w:w="4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Claudio Kuoni</w:t>
            </w:r>
          </w:p>
        </w:tc>
      </w:tr>
      <w:tr>
        <w:trPr>
          <w:trHeight w:val="358"/>
        </w:trPr>
        <w:tc>
          <w:tcPr>
            <w:tcW w:w="1760" w:type="dxa"/>
            <w:vAlign w:val="bottom"/>
            <w:gridSpan w:val="3"/>
          </w:tcPr>
          <w:p>
            <w:pPr>
              <w:spacing w:after="0"/>
              <w:rPr>
                <w:sz w:val="20"/>
                <w:szCs w:val="20"/>
                <w:color w:val="auto"/>
              </w:rPr>
            </w:pPr>
            <w:r>
              <w:rPr>
                <w:rFonts w:ascii="Arial" w:cs="Arial" w:eastAsia="Arial" w:hAnsi="Arial"/>
                <w:sz w:val="22"/>
                <w:szCs w:val="22"/>
                <w:color w:val="auto"/>
              </w:rPr>
              <w:t>Printed Name:</w:t>
            </w:r>
          </w:p>
        </w:tc>
        <w:tc>
          <w:tcPr>
            <w:tcW w:w="5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Claudio Kuoni</w:t>
            </w:r>
          </w:p>
        </w:tc>
      </w:tr>
      <w:tr>
        <w:trPr>
          <w:trHeight w:val="358"/>
        </w:trPr>
        <w:tc>
          <w:tcPr>
            <w:tcW w:w="1760" w:type="dxa"/>
            <w:vAlign w:val="bottom"/>
            <w:gridSpan w:val="3"/>
          </w:tcPr>
          <w:p>
            <w:pPr>
              <w:spacing w:after="0"/>
              <w:rPr>
                <w:sz w:val="20"/>
                <w:szCs w:val="20"/>
                <w:color w:val="auto"/>
              </w:rPr>
            </w:pPr>
            <w:r>
              <w:rPr>
                <w:rFonts w:ascii="Arial" w:cs="Arial" w:eastAsia="Arial" w:hAnsi="Arial"/>
                <w:sz w:val="22"/>
                <w:szCs w:val="22"/>
                <w:color w:val="auto"/>
              </w:rPr>
              <w:t>Title:</w:t>
            </w:r>
          </w:p>
        </w:tc>
        <w:tc>
          <w:tcPr>
            <w:tcW w:w="5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General Counsel Nestlé Health Science</w:t>
            </w:r>
          </w:p>
        </w:tc>
      </w:tr>
      <w:tr>
        <w:trPr>
          <w:trHeight w:val="255"/>
        </w:trPr>
        <w:tc>
          <w:tcPr>
            <w:tcW w:w="1760" w:type="dxa"/>
            <w:vAlign w:val="bottom"/>
            <w:gridSpan w:val="3"/>
          </w:tcPr>
          <w:p>
            <w:pPr>
              <w:spacing w:after="0"/>
              <w:rPr>
                <w:sz w:val="20"/>
                <w:szCs w:val="20"/>
                <w:color w:val="auto"/>
              </w:rPr>
            </w:pPr>
            <w:r>
              <w:rPr>
                <w:rFonts w:ascii="Arial" w:cs="Arial" w:eastAsia="Arial" w:hAnsi="Arial"/>
                <w:sz w:val="22"/>
                <w:szCs w:val="22"/>
                <w:color w:val="auto"/>
              </w:rPr>
              <w:t>NESTEC LTD.</w:t>
            </w:r>
          </w:p>
        </w:tc>
        <w:tc>
          <w:tcPr>
            <w:tcW w:w="5100" w:type="dxa"/>
            <w:vAlign w:val="bottom"/>
          </w:tcPr>
          <w:p>
            <w:pPr>
              <w:spacing w:after="0"/>
              <w:rPr>
                <w:sz w:val="22"/>
                <w:szCs w:val="22"/>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8" w:lineRule="exact"/>
        <w:rPr>
          <w:sz w:val="20"/>
          <w:szCs w:val="20"/>
          <w:color w:val="auto"/>
        </w:rPr>
      </w:pPr>
    </w:p>
    <w:p>
      <w:pPr>
        <w:jc w:val="both"/>
        <w:ind w:right="60" w:firstLine="8"/>
        <w:spacing w:after="0" w:line="233" w:lineRule="auto"/>
        <w:tabs>
          <w:tab w:leader="none" w:pos="378"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7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7660" w:type="dxa"/>
            <w:vAlign w:val="bottom"/>
            <w:gridSpan w:val="3"/>
          </w:tcPr>
          <w:p>
            <w:pPr>
              <w:ind w:left="180"/>
              <w:spacing w:after="0"/>
              <w:rPr>
                <w:sz w:val="20"/>
                <w:szCs w:val="20"/>
                <w:color w:val="auto"/>
              </w:rPr>
            </w:pPr>
            <w:r>
              <w:rPr>
                <w:rFonts w:ascii="Arial" w:cs="Arial" w:eastAsia="Arial" w:hAnsi="Arial"/>
                <w:sz w:val="18"/>
                <w:szCs w:val="18"/>
                <w:b w:val="1"/>
                <w:bCs w:val="1"/>
                <w:color w:val="auto"/>
              </w:rPr>
              <w:t>SUBSIDIARIES OF SERES THERAPEUTICS, INC.</w:t>
            </w:r>
          </w:p>
        </w:tc>
      </w:tr>
      <w:tr>
        <w:trPr>
          <w:trHeight w:val="655"/>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Legal Name of Subsidiary</w:t>
            </w:r>
          </w:p>
        </w:tc>
        <w:tc>
          <w:tcPr>
            <w:tcW w:w="2300" w:type="dxa"/>
            <w:vAlign w:val="bottom"/>
            <w:tcBorders>
              <w:bottom w:val="single" w:sz="8" w:color="auto"/>
            </w:tcBorders>
          </w:tcPr>
          <w:p>
            <w:pPr>
              <w:spacing w:after="0"/>
              <w:rPr>
                <w:sz w:val="24"/>
                <w:szCs w:val="24"/>
                <w:color w:val="auto"/>
              </w:rPr>
            </w:pPr>
          </w:p>
        </w:tc>
        <w:tc>
          <w:tcPr>
            <w:tcW w:w="5360" w:type="dxa"/>
            <w:vAlign w:val="bottom"/>
            <w:gridSpan w:val="2"/>
          </w:tcPr>
          <w:p>
            <w:pPr>
              <w:ind w:left="780"/>
              <w:spacing w:after="0"/>
              <w:rPr>
                <w:sz w:val="20"/>
                <w:szCs w:val="20"/>
                <w:color w:val="auto"/>
              </w:rPr>
            </w:pPr>
            <w:r>
              <w:rPr>
                <w:rFonts w:ascii="Arial" w:cs="Arial" w:eastAsia="Arial" w:hAnsi="Arial"/>
                <w:sz w:val="14"/>
                <w:szCs w:val="14"/>
                <w:b w:val="1"/>
                <w:bCs w:val="1"/>
                <w:color w:val="auto"/>
              </w:rPr>
              <w:t>Jurisdiction of Organization</w:t>
            </w:r>
          </w:p>
        </w:tc>
      </w:tr>
      <w:tr>
        <w:trPr>
          <w:trHeight w:val="189"/>
        </w:trPr>
        <w:tc>
          <w:tcPr>
            <w:tcW w:w="3200" w:type="dxa"/>
            <w:vAlign w:val="bottom"/>
          </w:tcPr>
          <w:p>
            <w:pPr>
              <w:spacing w:after="0" w:line="189" w:lineRule="exact"/>
              <w:rPr>
                <w:sz w:val="20"/>
                <w:szCs w:val="20"/>
                <w:color w:val="auto"/>
              </w:rPr>
            </w:pPr>
            <w:r>
              <w:rPr>
                <w:rFonts w:ascii="Arial" w:cs="Arial" w:eastAsia="Arial" w:hAnsi="Arial"/>
                <w:sz w:val="18"/>
                <w:szCs w:val="18"/>
                <w:color w:val="auto"/>
                <w:w w:val="93"/>
              </w:rPr>
              <w:t>Seres Therapeutics Securities Corporation</w:t>
            </w:r>
          </w:p>
        </w:tc>
        <w:tc>
          <w:tcPr>
            <w:tcW w:w="2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Massachusetts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Seres Therapeutics UK Limited</w:t>
            </w:r>
          </w:p>
        </w:tc>
        <w:tc>
          <w:tcPr>
            <w:tcW w:w="2300" w:type="dxa"/>
            <w:vAlign w:val="bottom"/>
          </w:tcPr>
          <w:p>
            <w:pPr>
              <w:spacing w:after="0"/>
              <w:rPr>
                <w:sz w:val="18"/>
                <w:szCs w:val="18"/>
                <w:color w:val="auto"/>
              </w:rPr>
            </w:pPr>
          </w:p>
        </w:tc>
        <w:tc>
          <w:tcPr>
            <w:tcW w:w="5360" w:type="dxa"/>
            <w:vAlign w:val="bottom"/>
            <w:gridSpan w:val="2"/>
          </w:tcPr>
          <w:p>
            <w:pPr>
              <w:ind w:left="780"/>
              <w:spacing w:after="0"/>
              <w:rPr>
                <w:sz w:val="20"/>
                <w:szCs w:val="20"/>
                <w:color w:val="auto"/>
              </w:rPr>
            </w:pPr>
            <w:r>
              <w:rPr>
                <w:rFonts w:ascii="Arial" w:cs="Arial" w:eastAsia="Arial" w:hAnsi="Arial"/>
                <w:sz w:val="18"/>
                <w:szCs w:val="18"/>
                <w:color w:val="auto"/>
              </w:rPr>
              <w:t>United Kingdom</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Seres Therapeutics Netherlands B.V.</w:t>
            </w:r>
          </w:p>
        </w:tc>
        <w:tc>
          <w:tcPr>
            <w:tcW w:w="2300" w:type="dxa"/>
            <w:vAlign w:val="bottom"/>
          </w:tcPr>
          <w:p>
            <w:pPr>
              <w:spacing w:after="0"/>
              <w:rPr>
                <w:sz w:val="20"/>
                <w:szCs w:val="20"/>
                <w:color w:val="auto"/>
              </w:rPr>
            </w:pPr>
          </w:p>
        </w:tc>
        <w:tc>
          <w:tcPr>
            <w:tcW w:w="5360" w:type="dxa"/>
            <w:vAlign w:val="bottom"/>
            <w:gridSpan w:val="2"/>
          </w:tcPr>
          <w:p>
            <w:pPr>
              <w:ind w:left="780"/>
              <w:spacing w:after="0"/>
              <w:rPr>
                <w:sz w:val="20"/>
                <w:szCs w:val="20"/>
                <w:color w:val="auto"/>
              </w:rPr>
            </w:pPr>
            <w:r>
              <w:rPr>
                <w:rFonts w:ascii="Arial" w:cs="Arial" w:eastAsia="Arial" w:hAnsi="Arial"/>
                <w:sz w:val="18"/>
                <w:szCs w:val="18"/>
                <w:color w:val="auto"/>
              </w:rPr>
              <w:t>The Netherlands</w:t>
            </w:r>
          </w:p>
        </w:tc>
      </w:tr>
    </w:tbl>
    <w:p>
      <w:pPr>
        <w:sectPr>
          <w:pgSz w:w="11900" w:h="16838" w:orient="portrait"/>
          <w:cols w:equalWidth="0" w:num="1">
            <w:col w:w="11140"/>
          </w:cols>
          <w:pgMar w:left="520" w:top="11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hereby consent to the incorporation by reference in the Registration Statements on Forms S-8 (No. 333-223514, 333-210171 and 333-205253) and Form S-3 (No. 333-216735) of Seres Therapeutics, Inc. of our report dated March 6, 2019 relating to the financial statements, which appears in this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73"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D. Shaff, certify that:</w:t>
      </w:r>
    </w:p>
    <w:p>
      <w:pPr>
        <w:spacing w:after="0" w:line="117" w:lineRule="exact"/>
        <w:rPr>
          <w:sz w:val="20"/>
          <w:szCs w:val="20"/>
          <w:color w:val="auto"/>
        </w:rPr>
      </w:pPr>
    </w:p>
    <w:p>
      <w:pPr>
        <w:ind w:left="780" w:hanging="174"/>
        <w:spacing w:after="0"/>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Seres Therapeutics, Inc.;</w:t>
      </w:r>
    </w:p>
    <w:p>
      <w:pPr>
        <w:spacing w:after="0" w:line="117"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40" w:firstLine="606"/>
        <w:spacing w:after="0" w:line="308" w:lineRule="auto"/>
        <w:tabs>
          <w:tab w:leader="none" w:pos="77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7"/>
          <w:szCs w:val="17"/>
          <w:color w:val="auto"/>
        </w:rPr>
      </w:pPr>
    </w:p>
    <w:p>
      <w:pPr>
        <w:ind w:left="600" w:firstLine="572"/>
        <w:spacing w:after="0" w:line="264" w:lineRule="auto"/>
        <w:tabs>
          <w:tab w:leader="none" w:pos="141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180" w:firstLine="572"/>
        <w:spacing w:after="0" w:line="264" w:lineRule="auto"/>
        <w:tabs>
          <w:tab w:leader="none" w:pos="142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300" w:firstLine="572"/>
        <w:spacing w:after="0" w:line="342" w:lineRule="auto"/>
        <w:tabs>
          <w:tab w:leader="none" w:pos="141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260" w:firstLine="572"/>
        <w:spacing w:after="0" w:line="264" w:lineRule="auto"/>
        <w:tabs>
          <w:tab w:leader="none" w:pos="142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760" w:firstLine="606"/>
        <w:spacing w:after="0" w:line="277" w:lineRule="auto"/>
        <w:tabs>
          <w:tab w:leader="none" w:pos="77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00" w:right="520" w:firstLine="572"/>
        <w:spacing w:after="0" w:line="308" w:lineRule="auto"/>
        <w:tabs>
          <w:tab w:leader="none" w:pos="141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200" w:firstLine="572"/>
        <w:spacing w:after="0" w:line="277" w:lineRule="auto"/>
        <w:tabs>
          <w:tab w:leader="none" w:pos="142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6, 2019</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D. Shaff</w:t>
            </w: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Eric D. Shaff</w:t>
            </w: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6"/>
              </w:rPr>
              <w:t>(Principal Executive Officer and Principal Financial and Accounting</w:t>
            </w: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 Eric D. Shaff, President and Chief Executive Officer of Seres Therapeutics, Inc. (the “Company”), hereby certify, pursuant to 18 U.S.C. §1350, as adopted pursuant to §906 of the Sarbanes-Oxley Act of 2002, that, to the best of my knowledge:</w:t>
      </w:r>
    </w:p>
    <w:p>
      <w:pPr>
        <w:spacing w:after="0" w:line="76" w:lineRule="exact"/>
        <w:rPr>
          <w:sz w:val="20"/>
          <w:szCs w:val="20"/>
          <w:color w:val="auto"/>
        </w:rPr>
      </w:pPr>
    </w:p>
    <w:p>
      <w:pPr>
        <w:ind w:left="1200" w:right="800" w:hanging="598"/>
        <w:spacing w:after="0" w:line="277" w:lineRule="auto"/>
        <w:tabs>
          <w:tab w:leader="none" w:pos="12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2018 (the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1200" w:right="560" w:hanging="598"/>
        <w:spacing w:after="0" w:line="277" w:lineRule="auto"/>
        <w:tabs>
          <w:tab w:leader="none" w:pos="12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March 6,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D. Shaff</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Eric D. Shaff</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5"/>
              </w:rPr>
              <w:t>(Principal Executive Officer and Principal Financial and Accounting Officer)</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1)"/>
      <w:numFmt w:val="decimal"/>
      <w:start w:val="2"/>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1)"/>
      <w:numFmt w:val="lowerRoman"/>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1)"/>
      <w:numFmt w:val="decimal"/>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1."/>
      <w:numFmt w:val="decimal"/>
      <w:start w:val="2"/>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1)"/>
      <w:numFmt w:val="lowerRoman"/>
      <w:start w:val="6"/>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1."/>
      <w:numFmt w:val="decimal"/>
      <w:start w:val="3"/>
    </w:lvl>
  </w:abstractNum>
  <w:abstractNum w:abstractNumId="71">
    <w:nsid w:val="885E1B"/>
    <w:multiLevelType w:val="hybridMultilevel"/>
    <w:lvl w:ilvl="0">
      <w:lvlJc w:val="left"/>
      <w:lvlText w:val="(%1)"/>
      <w:numFmt w:val="decimal"/>
      <w:start w:val="1"/>
    </w:lvl>
  </w:abstractNum>
  <w:abstractNum w:abstractNumId="72">
    <w:nsid w:val="76272110"/>
    <w:multiLevelType w:val="hybridMultilevel"/>
    <w:lvl w:ilvl="0">
      <w:lvlJc w:val="left"/>
      <w:lvlText w:val="(%1)"/>
      <w:numFmt w:val="decimal"/>
      <w:start w:val="1"/>
    </w:lvl>
  </w:abstractNum>
  <w:abstractNum w:abstractNumId="73">
    <w:nsid w:val="4C04A8AF"/>
    <w:multiLevelType w:val="hybridMultilevel"/>
    <w:lvl w:ilvl="0">
      <w:lvlJc w:val="left"/>
      <w:lvlText w:val="%1."/>
      <w:numFmt w:val="decimal"/>
      <w:start w:val="4"/>
    </w:lvl>
  </w:abstractNum>
  <w:abstractNum w:abstractNumId="74">
    <w:nsid w:val="1716703B"/>
    <w:multiLevelType w:val="hybridMultilevel"/>
    <w:lvl w:ilvl="0">
      <w:lvlJc w:val="left"/>
      <w:lvlText w:val="%1."/>
      <w:numFmt w:val="decimal"/>
      <w:start w:val="6"/>
    </w:lvl>
  </w:abstractNum>
  <w:abstractNum w:abstractNumId="75">
    <w:nsid w:val="14E17E33"/>
    <w:multiLevelType w:val="hybridMultilevel"/>
    <w:lvl w:ilvl="0">
      <w:lvlJc w:val="left"/>
      <w:lvlText w:val="%1."/>
      <w:numFmt w:val="decimal"/>
      <w:start w:val="7"/>
    </w:lvl>
  </w:abstractNum>
  <w:abstractNum w:abstractNumId="76">
    <w:nsid w:val="3222E7CD"/>
    <w:multiLevelType w:val="hybridMultilevel"/>
    <w:lvl w:ilvl="0">
      <w:lvlJc w:val="left"/>
      <w:lvlText w:val="%1."/>
      <w:numFmt w:val="decimal"/>
      <w:start w:val="8"/>
    </w:lvl>
  </w:abstractNum>
  <w:abstractNum w:abstractNumId="77">
    <w:nsid w:val="74DE0EE3"/>
    <w:multiLevelType w:val="hybridMultilevel"/>
    <w:lvl w:ilvl="0">
      <w:lvlJc w:val="left"/>
      <w:lvlText w:val="(%1)"/>
      <w:numFmt w:val="lowerRoman"/>
      <w:start w:val="1"/>
    </w:lvl>
  </w:abstractNum>
  <w:abstractNum w:abstractNumId="78">
    <w:nsid w:val="68EBC550"/>
    <w:multiLevelType w:val="hybridMultilevel"/>
    <w:lvl w:ilvl="0">
      <w:lvlJc w:val="left"/>
      <w:lvlText w:val="(%1)"/>
      <w:numFmt w:val="lowerRoman"/>
      <w:start w:val="3"/>
    </w:lvl>
  </w:abstractNum>
  <w:abstractNum w:abstractNumId="79">
    <w:nsid w:val="2DF6D648"/>
    <w:multiLevelType w:val="hybridMultilevel"/>
    <w:lvl w:ilvl="0">
      <w:lvlJc w:val="left"/>
      <w:lvlText w:val="%1."/>
      <w:numFmt w:val="decimal"/>
      <w:start w:val="9"/>
    </w:lvl>
  </w:abstractNum>
  <w:abstractNum w:abstractNumId="80">
    <w:nsid w:val="46B7D447"/>
    <w:multiLevelType w:val="hybridMultilevel"/>
    <w:lvl w:ilvl="0">
      <w:lvlJc w:val="left"/>
      <w:lvlText w:val="%1."/>
      <w:numFmt w:val="decimal"/>
      <w:start w:val="287"/>
    </w:lvl>
  </w:abstractNum>
  <w:abstractNum w:abstractNumId="81">
    <w:nsid w:val="4A2AC315"/>
    <w:multiLevelType w:val="hybridMultilevel"/>
    <w:lvl w:ilvl="0">
      <w:lvlJc w:val="left"/>
      <w:lvlText w:val="%1."/>
      <w:numFmt w:val="decimal"/>
      <w:start w:val="10"/>
    </w:lvl>
  </w:abstractNum>
  <w:abstractNum w:abstractNumId="82">
    <w:nsid w:val="39EE015C"/>
    <w:multiLevelType w:val="hybridMultilevel"/>
    <w:lvl w:ilvl="0">
      <w:lvlJc w:val="left"/>
      <w:lvlText w:val="%1."/>
      <w:numFmt w:val="decimal"/>
      <w:start w:val="11"/>
    </w:lvl>
  </w:abstractNum>
  <w:abstractNum w:abstractNumId="83">
    <w:nsid w:val="57FC4FBB"/>
    <w:multiLevelType w:val="hybridMultilevel"/>
    <w:lvl w:ilvl="0">
      <w:lvlJc w:val="left"/>
      <w:lvlText w:val="%1."/>
      <w:numFmt w:val="decimal"/>
      <w:start w:val="12"/>
    </w:lvl>
  </w:abstractNum>
  <w:abstractNum w:abstractNumId="84">
    <w:nsid w:val="CC1016F"/>
    <w:multiLevelType w:val="hybridMultilevel"/>
    <w:lvl w:ilvl="0">
      <w:lvlJc w:val="left"/>
      <w:lvlText w:val="%1."/>
      <w:numFmt w:val="decimal"/>
      <w:start w:val="13"/>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1."/>
      <w:numFmt w:val="decimal"/>
      <w:start w:val="14"/>
    </w:lvl>
  </w:abstractNum>
  <w:abstractNum w:abstractNumId="87">
    <w:nsid w:val="26F324BA"/>
    <w:multiLevelType w:val="hybridMultilevel"/>
    <w:lvl w:ilvl="0">
      <w:lvlJc w:val="left"/>
      <w:lvlText w:val="%1."/>
      <w:numFmt w:val="decimal"/>
      <w:start w:val="15"/>
    </w:lvl>
  </w:abstractNum>
  <w:abstractNum w:abstractNumId="88">
    <w:nsid w:val="7F01579B"/>
    <w:multiLevelType w:val="hybridMultilevel"/>
    <w:lvl w:ilvl="0">
      <w:lvlJc w:val="left"/>
      <w:lvlText w:val="%1."/>
      <w:numFmt w:val="decimal"/>
      <w:start w:val="16"/>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1)"/>
      <w:numFmt w:val="lowerLetter"/>
      <w:start w:val="1"/>
    </w:lvl>
  </w:abstractNum>
  <w:abstractNum w:abstractNumId="91">
    <w:nsid w:val="5FB8370B"/>
    <w:multiLevelType w:val="hybridMultilevel"/>
    <w:lvl w:ilvl="0">
      <w:lvlJc w:val="left"/>
      <w:lvlText w:val="%1)"/>
      <w:numFmt w:val="lowerLetter"/>
      <w:start w:val="2"/>
    </w:lvl>
  </w:abstractNum>
  <w:abstractNum w:abstractNumId="92">
    <w:nsid w:val="50801EE1"/>
    <w:multiLevelType w:val="hybridMultilevel"/>
    <w:lvl w:ilvl="0">
      <w:lvlJc w:val="left"/>
      <w:lvlText w:val="%1)"/>
      <w:numFmt w:val="lowerLetter"/>
      <w:start w:val="3"/>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1)"/>
      <w:numFmt w:val="lowerLetter"/>
      <w:start w:val="4"/>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1)"/>
      <w:numFmt w:val="lowerLetter"/>
      <w:start w:val="7"/>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14" Type="http://schemas.openxmlformats.org/officeDocument/2006/relationships/hyperlink" Target="http://www.sec.gov/Archives/edgar/data/1609809/000119312515242845/d48188dex31.htm" TargetMode="External"/><Relationship Id="rId115" Type="http://schemas.openxmlformats.org/officeDocument/2006/relationships/hyperlink" Target="http://www.sec.gov/Archives/edgar/data/1609809/000119312515242845/d48188dex32.htm" TargetMode="External"/><Relationship Id="rId116" Type="http://schemas.openxmlformats.org/officeDocument/2006/relationships/hyperlink" Target="http://www.sec.gov/Archives/edgar/data/1609809/000119312515202059/d816354dex41.htm" TargetMode="External"/><Relationship Id="rId117" Type="http://schemas.openxmlformats.org/officeDocument/2006/relationships/hyperlink" Target="http://www.sec.gov/Archives/edgar/data/1609809/000119312515224101/d816354dex42.htm" TargetMode="External"/><Relationship Id="rId118" Type="http://schemas.openxmlformats.org/officeDocument/2006/relationships/hyperlink" Target="http://www.sec.gov/Archives/edgar/data/1609809/000119312515224101/d816354dex102.htm" TargetMode="External"/><Relationship Id="rId119" Type="http://schemas.openxmlformats.org/officeDocument/2006/relationships/hyperlink" Target="http://www.sec.gov/Archives/edgar/data/1609809/000119312515224101/d816354dex103.htm" TargetMode="External"/><Relationship Id="rId120" Type="http://schemas.openxmlformats.org/officeDocument/2006/relationships/hyperlink" Target="http://www.sec.gov/Archives/edgar/data/1609809/000119312515202059/d816354dex101.htm" TargetMode="External"/><Relationship Id="rId121" Type="http://schemas.openxmlformats.org/officeDocument/2006/relationships/hyperlink" Target="http://www.sec.gov/Archives/edgar/data/1609809/000119312515224101/d816354dex104.htm" TargetMode="External"/><Relationship Id="rId122" Type="http://schemas.openxmlformats.org/officeDocument/2006/relationships/hyperlink" Target="http://www.sec.gov/Archives/edgar/data/1609809/000119312515202059/d816354dex1013.htm" TargetMode="External"/><Relationship Id="rId123" Type="http://schemas.openxmlformats.org/officeDocument/2006/relationships/hyperlink" Target="http://www.sec.gov/Archives/edgar/data/1609809/000156459016014692/mcrb-ex1013_656.htm" TargetMode="External"/><Relationship Id="rId124" Type="http://schemas.openxmlformats.org/officeDocument/2006/relationships/hyperlink" Target="http://www.sec.gov/Archives/edgar/data/1609809/000119312515224101/d816354dex106.htm" TargetMode="External"/><Relationship Id="rId125" Type="http://schemas.openxmlformats.org/officeDocument/2006/relationships/hyperlink" Target="http://www.sec.gov/Archives/edgar/data/1609809/000119312516450836/d131185dex101.htm" TargetMode="External"/><Relationship Id="rId126" Type="http://schemas.openxmlformats.org/officeDocument/2006/relationships/hyperlink" Target="http://www.sec.gov/Archives/edgar/data/0001609809/000156459018004830/mcrb-ex108_441.htm" TargetMode="External"/><Relationship Id="rId127" Type="http://schemas.openxmlformats.org/officeDocument/2006/relationships/hyperlink" Target="http://www.sec.gov/Archives/edgar/data/1609809/000119312519009357/d641078dex101.htm" TargetMode="External"/><Relationship Id="rId128" Type="http://schemas.openxmlformats.org/officeDocument/2006/relationships/hyperlink" Target="http://www.sec.gov/Archives/edgar/data/1609809/000119312519009357/d641078dex102.htm" TargetMode="External"/><Relationship Id="rId129" Type="http://schemas.openxmlformats.org/officeDocument/2006/relationships/hyperlink" Target="http://www.sec.gov/Archives/edgar/data/1609809/000119312515284924/d942622dex1010.htm" TargetMode="External"/><Relationship Id="rId130" Type="http://schemas.openxmlformats.org/officeDocument/2006/relationships/hyperlink" Target="http://www.sec.gov/Archives/edgar/data/1609809/000156459017004551/mcrb-ex1013_477.htm" TargetMode="External"/><Relationship Id="rId131" Type="http://schemas.openxmlformats.org/officeDocument/2006/relationships/hyperlink" Target="http://www.sec.gov/Archives/edgar/data/1609809/000119312515224101/d816354dex1010.htm" TargetMode="External"/><Relationship Id="rId134" Type="http://schemas.openxmlformats.org/officeDocument/2006/relationships/hyperlink" Target="http://www.sec.gov/Archives/edgar/data/1609809/000119312515284924/d942622dex1012.htm" TargetMode="External"/><Relationship Id="rId135" Type="http://schemas.openxmlformats.org/officeDocument/2006/relationships/hyperlink" Target="http://www.sec.gov/Archives/edgar/data/1609809/000156459018004830/mcrb-ex1019_440.htm" TargetMode="External"/><Relationship Id="rId136" Type="http://schemas.openxmlformats.org/officeDocument/2006/relationships/hyperlink" Target="http://www.sec.gov/Archives/edgar/data/1609809/000119312518331898/d614171dex101.htm" TargetMode="External"/><Relationship Id="rId137" Type="http://schemas.openxmlformats.org/officeDocument/2006/relationships/hyperlink" Target="http://www.sec.gov/Archives/edgar/data/1609809/000119312518331898/d614171dex102.htm" TargetMode="External"/><Relationship Id="rId138" Type="http://schemas.openxmlformats.org/officeDocument/2006/relationships/hyperlink" Target="http://www.sec.gov/Archives/edgar/data/1609809/000156459016024023/mcrb-ex101_354.htm" TargetMode="External"/><Relationship Id="rId139" Type="http://schemas.openxmlformats.org/officeDocument/2006/relationships/hyperlink" Target="http://www.sec.gov/Archives/edgar/data/1609809/000156459018028339/mcrb-ex101_188.htm" TargetMode="External"/><Relationship Id="rId140" Type="http://schemas.openxmlformats.org/officeDocument/2006/relationships/hyperlink" Target="http://www.sec.gov/Archives/edgar/data/1609809/000156459016019550/mcrb-ex101_5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2019-12-28T14:37:47Z</dcterms:created>
  <dcterms:modified xsi:type="dcterms:W3CDTF">2019-12-28T14:37:47Z</dcterms:modified>
</cp:coreProperties>
</file>