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3274d8k.htm"/>
      <w:bookmarkStart w:id="1" w:name="ksd13327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SERES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001-37465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27-4326290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101 Cambridgepark Drive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Cambridge,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02140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945-9626</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4100"/>
        <w:gridCol w:w="60"/>
        <w:gridCol w:w="740"/>
        <w:gridCol w:w="60"/>
        <w:gridCol w:w="305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MCRB</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Lease Amendment and Termination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31, 2026 (the “Execution Date”), Seres Therapeutics, Inc. (the “Company”) entered into the Third Amendment to Lease and Termination Agreement (the “Termination Agreement”) with BMR-Sidney Research Campus LLC, a Delaware limited liability company (the “Sidney Street Landlord”), the purpose of which is to effect an early termination of one of the Company’s leases, reducing the Company’s ongoing annual facilities costs and materially eliminating the Company’s primary restoration obligations. The Termination Agreement amends the Lease Agreement, dated November 11, 2015, by and between the Company and the Sidney Street Landlord (as amended, the “Lease”), pursuant to which the Company leases approximately 68,636 rentable square feet of office, laboratory, and manufacturing space located at 200 Sidney Street, Cambridge, Massachusetts (the “Existing Premises”). </w:t>
      </w:r>
    </w:p>
    <w:p>
      <w:pPr>
        <w:pStyle w:val="TextBody"/>
        <w:bidi w:val="0"/>
        <w:spacing w:before="240" w:after="0"/>
        <w:jc w:val="left"/>
        <w:rPr>
          <w:rFonts w:ascii="Times New Roman" w:hAnsi="Times New Roman"/>
          <w:sz w:val="20"/>
        </w:rPr>
      </w:pPr>
      <w:r>
        <w:rPr>
          <w:rFonts w:ascii="Times New Roman" w:hAnsi="Times New Roman"/>
          <w:sz w:val="20"/>
        </w:rPr>
        <w:t xml:space="preserve">The Termination Agreement provides for (i) effective as of August 1, 2026, the surrender by the Company to the Landlord of an aggregate area of approximately 21,295 rentable square feet of the Existing Premises (the “Early Termination Premises”) and (ii) the revision of the expiration date of the term of the Lease with respect to the remaining 47,341 rentable square feet of the Existing Premises (the “Renewal Premises”) from January 13, 2031 to December 31, 2026. As consideration for the Termination Agreement, the Company agreed to pay the following: (i) an increase to the letter of credit held by the Sidney Street Landlord in the amount of approximately $2.2 million (for a total letter of credit of approximately $3.6 million), which the Sidney Street Landlord will apply toward rent and operating expenses through the term of the Renewal Premises, (ii) on or before January 4, 2027, a deferred payment of $3.85 million, representing an additional termination payment, and (iii) an equity issuance of shares of the Company’s common stock, par value $0.001 per share (the “Common Stock”), valued at approximately $0.5 million (the “Share Issuance”).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Termination Agreement does not purport to be complete and is qualified in its entirety by reference to the Termination Agreement, a copy of which is attached as Exhibit 10.1 to this Current Report on Form 8-K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Stock Issuance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31, 2026, in connection with the Share Issuance, the Company entered into a Stock Issuance Agreement (the “Stock Issuance Agreement”) with the Sidney Street Landlord, pursuant to which the Company agreed to issue 103,520 shares of Common Stock (the “Shares”) to the Sidney Street Landlord at a price per share of $4.83, which was the closing price of the Common Stock on the Nasdaq Global Select Market (“Nasdaq”) on July 31, 2026, for a total value of $500,001.60.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to be issued no later than five business days after the Execution Date. The Shares are registered under the Company’s registration statement on Form S-3 (File No. 333-273794), pursuant to a prospectus supplement, dated July 31, 2026 and the accompanying base prospectus, dated August 15, 2023, and will be freely tradeable when issued. In the event the value of the Shares on the date of issuance (calculated using the closing price on Nasdaq on such date) (the “Issuance Date Value”) is less than $500,000, the Company is obligated to pay to the Sidney Street Landlord, in cash, the difference between $500,000 and the Issuance Date Value. The Stock Issuance Agreement contains customary representations and warranties of the Company and the Sidney Street Landlord and customary conditions to the share issuance.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Stock Issuance Agreement does not purport to be complete and is qualified in its entirety by reference to the Stock Issuance Agreement, a copy of which is attached as Exhibit 10.2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opinion of Latham &amp; Watkins LLP relating to the validity of the Shares is filed herewith as Exhibit 5.1.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025"/>
        <w:gridCol w:w="4205"/>
      </w:tblGrid>
      <w:tr>
        <w:trPr/>
        <w:tc>
          <w:tcPr>
            <w:tcW w:w="1025"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heading “Lease Amendment and Termination Agreement” in Item 1.01 of this Current Report on Form 8-K is incorporated herein by reference.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8"/>
        <w:gridCol w:w="120"/>
        <w:gridCol w:w="9517"/>
      </w:tblGrid>
      <w:tr>
        <w:trPr/>
        <w:tc>
          <w:tcPr>
            <w:tcW w:w="5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7" w:type="dxa"/>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center"/>
              <w:rPr>
                <w:b/>
              </w:rPr>
            </w:pPr>
            <w:r>
              <w:rPr>
                <w:b/>
              </w:rPr>
              <w:t>Description</w:t>
            </w:r>
          </w:p>
        </w:tc>
      </w:tr>
      <w:tr>
        <w:trPr/>
        <w:tc>
          <w:tcPr>
            <w:tcW w:w="568" w:type="dxa"/>
            <w:tcBorders/>
            <w:vAlign w:val="center"/>
          </w:tcPr>
          <w:p>
            <w:pPr>
              <w:pStyle w:val="TableContents"/>
              <w:bidi w:val="0"/>
              <w:spacing w:before="0" w:after="283"/>
              <w:jc w:val="left"/>
              <w:rPr>
                <w:sz w:val="4"/>
                <w:szCs w:val="4"/>
              </w:rPr>
            </w:pPr>
            <w:r>
              <w:rPr>
                <w:sz w:val="4"/>
                <w:szCs w:val="4"/>
              </w:rPr>
            </w:r>
          </w:p>
        </w:tc>
        <w:tc>
          <w:tcPr>
            <w:tcW w:w="9637"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hyperlink w:anchor="d133274dex101.htm">
              <w:r>
                <w:rPr>
                  <w:rStyle w:val="InternetLink"/>
                </w:rPr>
                <w:t xml:space="preserve">Third Amendment to Lease and Termination Agreement, dated July 31, 2026, by and between Seres Therapeutics, Inc. and BMR-Sidney Research Campus, LLC </w:t>
              </w:r>
            </w:hyperlink>
          </w:p>
        </w:tc>
      </w:tr>
      <w:tr>
        <w:trPr/>
        <w:tc>
          <w:tcPr>
            <w:tcW w:w="568" w:type="dxa"/>
            <w:tcBorders/>
            <w:vAlign w:val="center"/>
          </w:tcPr>
          <w:p>
            <w:pPr>
              <w:pStyle w:val="TableContents"/>
              <w:bidi w:val="0"/>
              <w:spacing w:before="0" w:after="283"/>
              <w:jc w:val="left"/>
              <w:rPr>
                <w:sz w:val="4"/>
                <w:szCs w:val="4"/>
              </w:rPr>
            </w:pPr>
            <w:r>
              <w:rPr>
                <w:sz w:val="4"/>
                <w:szCs w:val="4"/>
              </w:rPr>
            </w:r>
          </w:p>
        </w:tc>
        <w:tc>
          <w:tcPr>
            <w:tcW w:w="9637"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hyperlink w:anchor="d133274dex102.htm">
              <w:r>
                <w:rPr>
                  <w:rStyle w:val="InternetLink"/>
                </w:rPr>
                <w:t xml:space="preserve">Stock Issuance Agreement, dated July 31, 2026, by and between Seres Therapeutics, Inc. and BMR-Sidney Research Campus, LLC </w:t>
              </w:r>
            </w:hyperlink>
          </w:p>
        </w:tc>
      </w:tr>
      <w:tr>
        <w:trPr/>
        <w:tc>
          <w:tcPr>
            <w:tcW w:w="568" w:type="dxa"/>
            <w:tcBorders/>
            <w:vAlign w:val="center"/>
          </w:tcPr>
          <w:p>
            <w:pPr>
              <w:pStyle w:val="TableContents"/>
              <w:bidi w:val="0"/>
              <w:spacing w:before="0" w:after="283"/>
              <w:jc w:val="left"/>
              <w:rPr>
                <w:sz w:val="4"/>
                <w:szCs w:val="4"/>
              </w:rPr>
            </w:pPr>
            <w:r>
              <w:rPr>
                <w:sz w:val="4"/>
                <w:szCs w:val="4"/>
              </w:rPr>
            </w:r>
          </w:p>
        </w:tc>
        <w:tc>
          <w:tcPr>
            <w:tcW w:w="9637"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hyperlink w:anchor="d133274dex51.htm">
              <w:r>
                <w:rPr>
                  <w:rStyle w:val="InternetLink"/>
                </w:rPr>
                <w:t xml:space="preserve">Opinion of Latham &amp; Watkins LLP </w:t>
              </w:r>
            </w:hyperlink>
          </w:p>
        </w:tc>
      </w:tr>
      <w:tr>
        <w:trPr/>
        <w:tc>
          <w:tcPr>
            <w:tcW w:w="568" w:type="dxa"/>
            <w:tcBorders/>
            <w:vAlign w:val="center"/>
          </w:tcPr>
          <w:p>
            <w:pPr>
              <w:pStyle w:val="TableContents"/>
              <w:bidi w:val="0"/>
              <w:spacing w:before="0" w:after="283"/>
              <w:jc w:val="left"/>
              <w:rPr>
                <w:sz w:val="4"/>
                <w:szCs w:val="4"/>
              </w:rPr>
            </w:pPr>
            <w:r>
              <w:rPr>
                <w:sz w:val="4"/>
                <w:szCs w:val="4"/>
              </w:rPr>
            </w:r>
          </w:p>
        </w:tc>
        <w:tc>
          <w:tcPr>
            <w:tcW w:w="9637"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hyperlink w:anchor="d133274dex51.htm">
              <w:r>
                <w:rPr>
                  <w:rStyle w:val="InternetLink"/>
                </w:rPr>
                <w:t xml:space="preserve">Consent of Latham &amp; Watkins LLP (included in Exhibit 5.1) </w:t>
              </w:r>
            </w:hyperlink>
          </w:p>
        </w:tc>
      </w:tr>
      <w:tr>
        <w:trPr/>
        <w:tc>
          <w:tcPr>
            <w:tcW w:w="568" w:type="dxa"/>
            <w:tcBorders/>
            <w:vAlign w:val="center"/>
          </w:tcPr>
          <w:p>
            <w:pPr>
              <w:pStyle w:val="TableContents"/>
              <w:bidi w:val="0"/>
              <w:spacing w:before="0" w:after="283"/>
              <w:jc w:val="left"/>
              <w:rPr>
                <w:sz w:val="4"/>
                <w:szCs w:val="4"/>
              </w:rPr>
            </w:pPr>
            <w:r>
              <w:rPr>
                <w:sz w:val="4"/>
                <w:szCs w:val="4"/>
              </w:rPr>
            </w:r>
          </w:p>
        </w:tc>
        <w:tc>
          <w:tcPr>
            <w:tcW w:w="9637"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similar attachments have been omitted pursuant to Item 601(a)(5) of Regulation S-K. The Company undertakes to furnish supplemental copies of any of the omitted schedules upon request by the U.S. Securities and Exchange Commission.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73" w:type="dxa"/>
        <w:jc w:val="left"/>
        <w:tblInd w:w="0" w:type="dxa"/>
        <w:tblLayout w:type="fixed"/>
        <w:tblCellMar>
          <w:top w:w="0" w:type="dxa"/>
          <w:left w:w="0" w:type="dxa"/>
          <w:bottom w:w="0" w:type="dxa"/>
          <w:right w:w="0" w:type="dxa"/>
        </w:tblCellMar>
      </w:tblPr>
      <w:tblGrid>
        <w:gridCol w:w="2075"/>
        <w:gridCol w:w="60"/>
        <w:gridCol w:w="23"/>
        <w:gridCol w:w="60"/>
        <w:gridCol w:w="650"/>
        <w:gridCol w:w="60"/>
        <w:gridCol w:w="474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283"/>
              <w:jc w:val="left"/>
              <w:rPr/>
            </w:pPr>
            <w:r>
              <w:rPr/>
              <w:t>SERES THERAPEUTICS,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DesRosier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Thomas J. DesRosier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0"/>
        <w:jc w:val="right"/>
        <w:rPr>
          <w:rFonts w:ascii="Times New Roman" w:hAnsi="Times New Roman"/>
          <w:b/>
          <w:sz w:val="20"/>
        </w:rPr>
      </w:pPr>
      <w:bookmarkStart w:id="2" w:name="d133274dex51.htm"/>
      <w:bookmarkStart w:id="3" w:name="ksd133274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62"/>
        <w:gridCol w:w="101"/>
        <w:gridCol w:w="1577"/>
        <w:gridCol w:w="120"/>
        <w:gridCol w:w="1545"/>
      </w:tblGrid>
      <w:tr>
        <w:trPr/>
        <w:tc>
          <w:tcPr>
            <w:tcW w:w="686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200 Clarendon Street</w:t>
            </w:r>
          </w:p>
          <w:p>
            <w:pPr>
              <w:pStyle w:val="TableContents"/>
              <w:bidi w:val="0"/>
              <w:spacing w:before="0" w:after="0"/>
              <w:jc w:val="left"/>
              <w:rPr>
                <w:rFonts w:ascii="Times New Roman" w:hAnsi="Times New Roman"/>
                <w:sz w:val="20"/>
              </w:rPr>
            </w:pPr>
            <w:r>
              <w:rPr>
                <w:rFonts w:ascii="Times New Roman" w:hAnsi="Times New Roman"/>
                <w:sz w:val="20"/>
              </w:rPr>
              <w:t>Boston, Massachusetts 02116</w:t>
            </w:r>
          </w:p>
          <w:p>
            <w:pPr>
              <w:pStyle w:val="TableContents"/>
              <w:bidi w:val="0"/>
              <w:spacing w:before="0" w:after="0"/>
              <w:jc w:val="left"/>
              <w:rPr>
                <w:rFonts w:ascii="Times New Roman" w:hAnsi="Times New Roman"/>
                <w:sz w:val="20"/>
              </w:rPr>
            </w:pPr>
            <w:r>
              <w:rPr>
                <w:rFonts w:ascii="Times New Roman" w:hAnsi="Times New Roman"/>
                <w:sz w:val="20"/>
              </w:rPr>
              <w:t>Tel: +1.617.948.6000 Fax: +1.617.948.6001</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rHeight w:val="120" w:hRule="atLeast"/>
        </w:trPr>
        <w:tc>
          <w:tcPr>
            <w:tcW w:w="6862" w:type="dxa"/>
            <w:tcBorders/>
            <w:vAlign w:val="center"/>
          </w:tcPr>
          <w:p>
            <w:pPr>
              <w:pStyle w:val="TableContents"/>
              <w:bidi w:val="0"/>
              <w:spacing w:before="0" w:after="283"/>
              <w:jc w:val="left"/>
              <w:rPr>
                <w:sz w:val="4"/>
                <w:szCs w:val="4"/>
              </w:rPr>
            </w:pPr>
            <w:r>
              <w:rPr>
                <w:sz w:val="4"/>
                <w:szCs w:val="4"/>
              </w:rPr>
            </w:r>
          </w:p>
        </w:tc>
        <w:tc>
          <w:tcPr>
            <w:tcW w:w="3343" w:type="dxa"/>
            <w:gridSpan w:val="4"/>
            <w:tcBorders/>
            <w:vAlign w:val="center"/>
          </w:tcPr>
          <w:p>
            <w:pPr>
              <w:pStyle w:val="TableContents"/>
              <w:bidi w:val="0"/>
              <w:spacing w:before="0" w:after="283"/>
              <w:jc w:val="left"/>
              <w:rPr>
                <w:sz w:val="4"/>
                <w:szCs w:val="4"/>
              </w:rPr>
            </w:pPr>
            <w:r>
              <w:rPr>
                <w:sz w:val="4"/>
                <w:szCs w:val="4"/>
              </w:rPr>
            </w:r>
          </w:p>
        </w:tc>
      </w:tr>
      <w:tr>
        <w:trPr/>
        <w:tc>
          <w:tcPr>
            <w:tcW w:w="6862" w:type="dxa"/>
            <w:tcBorders/>
          </w:tcPr>
          <w:p>
            <w:pPr>
              <w:pStyle w:val="TableContents"/>
              <w:bidi w:val="0"/>
              <w:spacing w:before="0" w:after="283"/>
              <w:jc w:val="left"/>
              <w:rPr/>
            </w:pPr>
            <w:r>
              <w:rPr/>
              <w:drawing>
                <wp:inline distT="0" distB="0" distL="0" distR="0">
                  <wp:extent cx="22574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15240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242" w:type="dxa"/>
            <w:gridSpan w:val="3"/>
            <w:tcBorders/>
          </w:tcPr>
          <w:p>
            <w:pPr>
              <w:pStyle w:val="TableContents"/>
              <w:bidi w:val="0"/>
              <w:spacing w:before="0" w:after="283"/>
              <w:jc w:val="left"/>
              <w:rPr/>
            </w:pPr>
            <w:r>
              <w:rPr/>
              <w:t>FIRM / AFFILIATE OFFICES</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Austin</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Milan</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Munich</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New York</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Orange County</w:t>
            </w:r>
          </w:p>
        </w:tc>
      </w:tr>
      <w:tr>
        <w:trPr/>
        <w:tc>
          <w:tcPr>
            <w:tcW w:w="6862" w:type="dxa"/>
            <w:tcBorders/>
          </w:tcPr>
          <w:p>
            <w:pPr>
              <w:pStyle w:val="TableContents"/>
              <w:bidi w:val="0"/>
              <w:spacing w:before="0" w:after="283"/>
              <w:jc w:val="left"/>
              <w:rPr/>
            </w:pPr>
            <w:r>
              <w:rPr/>
              <w:t>August 4, 2026</w:t>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Chicago</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Paris</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Dubai</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Riyadh</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Düsseldorf</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San Diego</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Frankfurt</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San Francisco</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Hamburg</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Seoul</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Silicon Valley</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Singapore</w:t>
            </w:r>
          </w:p>
        </w:tc>
      </w:tr>
      <w:tr>
        <w:trPr/>
        <w:tc>
          <w:tcPr>
            <w:tcW w:w="686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Tel Aviv</w:t>
            </w:r>
          </w:p>
        </w:tc>
      </w:tr>
      <w:tr>
        <w:trPr/>
        <w:tc>
          <w:tcPr>
            <w:tcW w:w="6862" w:type="dxa"/>
            <w:tcBorders/>
          </w:tcPr>
          <w:p>
            <w:pPr>
              <w:pStyle w:val="TableContents"/>
              <w:bidi w:val="0"/>
              <w:spacing w:before="0" w:after="283"/>
              <w:jc w:val="left"/>
              <w:rPr/>
            </w:pPr>
            <w:r>
              <w:rPr/>
              <w:t>Seres Therapeutics, Inc.</w:t>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Tokyo</w:t>
            </w:r>
          </w:p>
        </w:tc>
      </w:tr>
      <w:tr>
        <w:trPr/>
        <w:tc>
          <w:tcPr>
            <w:tcW w:w="6862" w:type="dxa"/>
            <w:tcBorders/>
          </w:tcPr>
          <w:p>
            <w:pPr>
              <w:pStyle w:val="TableContents"/>
              <w:bidi w:val="0"/>
              <w:spacing w:before="0" w:after="283"/>
              <w:jc w:val="left"/>
              <w:rPr/>
            </w:pPr>
            <w:r>
              <w:rPr/>
              <w:t>101 Cambridgepark Drive</w:t>
            </w:r>
          </w:p>
        </w:tc>
        <w:tc>
          <w:tcPr>
            <w:tcW w:w="101"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pPr>
            <w:r>
              <w:rPr/>
              <w:t>Madrid</w:t>
            </w:r>
          </w:p>
        </w:tc>
        <w:tc>
          <w:tcPr>
            <w:tcW w:w="120" w:type="dxa"/>
            <w:tcBorders/>
            <w:vAlign w:val="bottom"/>
          </w:tcPr>
          <w:p>
            <w:pPr>
              <w:pStyle w:val="TableContents"/>
              <w:bidi w:val="0"/>
              <w:spacing w:before="0" w:after="283"/>
              <w:jc w:val="left"/>
              <w:rPr/>
            </w:pPr>
            <w:r>
              <w:rPr/>
              <w:t>  </w:t>
            </w:r>
          </w:p>
        </w:tc>
        <w:tc>
          <w:tcPr>
            <w:tcW w:w="1545" w:type="dxa"/>
            <w:tcBorders/>
          </w:tcPr>
          <w:p>
            <w:pPr>
              <w:pStyle w:val="TableContents"/>
              <w:bidi w:val="0"/>
              <w:spacing w:before="0" w:after="283"/>
              <w:jc w:val="left"/>
              <w:rPr/>
            </w:pPr>
            <w:r>
              <w:rPr/>
              <w:t>Washington, D.C.</w:t>
            </w:r>
          </w:p>
        </w:tc>
      </w:tr>
    </w:tbl>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02140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Registration Statement on Form S-3 (Registration No. 333-273794)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Seres Therapeutics, Inc., a Delaware corporation (the “</w:t>
      </w:r>
      <w:r>
        <w:rPr>
          <w:rFonts w:ascii="Times New Roman" w:hAnsi="Times New Roman"/>
          <w:b/>
          <w:i/>
          <w:sz w:val="20"/>
        </w:rPr>
        <w:t>Company</w:t>
      </w:r>
      <w:r>
        <w:rPr>
          <w:rFonts w:ascii="Times New Roman" w:hAnsi="Times New Roman"/>
          <w:sz w:val="20"/>
        </w:rPr>
        <w:t>”), in connection with the proposed issuance of 103,520 shares of common stock, $0.001 par value per share (the “</w:t>
      </w:r>
      <w:r>
        <w:rPr>
          <w:rFonts w:ascii="Times New Roman" w:hAnsi="Times New Roman"/>
          <w:b/>
          <w:i/>
          <w:sz w:val="20"/>
        </w:rPr>
        <w:t>Shares</w:t>
      </w:r>
      <w:r>
        <w:rPr>
          <w:rFonts w:ascii="Times New Roman" w:hAnsi="Times New Roman"/>
          <w:sz w:val="20"/>
        </w:rPr>
        <w:t>”). The Shares are included in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August 8, 2023 (Registration No. 333-273794), as amended (the “</w:t>
      </w:r>
      <w:r>
        <w:rPr>
          <w:rFonts w:ascii="Times New Roman" w:hAnsi="Times New Roman"/>
          <w:b/>
          <w:i/>
          <w:sz w:val="20"/>
        </w:rPr>
        <w:t>Registration Statement</w:t>
      </w:r>
      <w:r>
        <w:rPr>
          <w:rFonts w:ascii="Times New Roman" w:hAnsi="Times New Roman"/>
          <w:sz w:val="20"/>
        </w:rPr>
        <w:t>”), and are being offered pursuant to a base prospectus dated August 15, 2023 (the “</w:t>
      </w:r>
      <w:r>
        <w:rPr>
          <w:rFonts w:ascii="Times New Roman" w:hAnsi="Times New Roman"/>
          <w:b/>
          <w:i/>
          <w:sz w:val="20"/>
        </w:rPr>
        <w:t>Base Prospectus</w:t>
      </w:r>
      <w:r>
        <w:rPr>
          <w:rFonts w:ascii="Times New Roman" w:hAnsi="Times New Roman"/>
          <w:sz w:val="20"/>
        </w:rPr>
        <w:t>”), a prospectus supplement dated July 31, 2026 filed with the Commission pursuant to Rule 424(b) under the Act (together with the Base Prospectus, the “</w:t>
      </w:r>
      <w:r>
        <w:rPr>
          <w:rFonts w:ascii="Times New Roman" w:hAnsi="Times New Roman"/>
          <w:b/>
          <w:i/>
          <w:sz w:val="20"/>
        </w:rPr>
        <w:t>Prospectus</w:t>
      </w:r>
      <w:r>
        <w:rPr>
          <w:rFonts w:ascii="Times New Roman" w:hAnsi="Times New Roman"/>
          <w:sz w:val="20"/>
        </w:rPr>
        <w:t>”). The Shares are being issued pursuant to a Stock Issuance Agreement, dated July 31, 2026, between the Company and BMR-Sidney Research Campus LLC (the “</w:t>
      </w:r>
      <w:r>
        <w:rPr>
          <w:rFonts w:ascii="Times New Roman" w:hAnsi="Times New Roman"/>
          <w:b/>
          <w:i/>
          <w:sz w:val="20"/>
        </w:rPr>
        <w:t>Stock Issuance Agreement</w:t>
      </w:r>
      <w:r>
        <w:rPr>
          <w:rFonts w:ascii="Times New Roman" w:hAnsi="Times New Roman"/>
          <w:sz w:val="20"/>
        </w:rPr>
        <w:t xml:space="preserve">”).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4,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84960" cy="1162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84960" cy="1162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Stock Issuance Agreement,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August 4,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Latham &amp; Watkins LLP</w:t>
            </w:r>
          </w:p>
        </w:tc>
      </w:tr>
    </w:tbl>
    <w:p>
      <w:pPr>
        <w:pStyle w:val="TextBody"/>
        <w:bidi w:val="0"/>
        <w:spacing w:before="0" w:after="0"/>
        <w:jc w:val="right"/>
        <w:rPr>
          <w:rFonts w:ascii="Times New Roman" w:hAnsi="Times New Roman"/>
          <w:b/>
          <w:sz w:val="20"/>
        </w:rPr>
      </w:pPr>
      <w:bookmarkStart w:id="4" w:name="d133274dex101.htm"/>
      <w:bookmarkStart w:id="5" w:name="ksd133274dex101"/>
      <w:bookmarkEnd w:id="4"/>
      <w:bookmarkEnd w:id="5"/>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THIRD AMENDMENT TO LEASE AND TERMINATION AGREEMENT </w:t>
      </w:r>
    </w:p>
    <w:p>
      <w:pPr>
        <w:pStyle w:val="TextBody"/>
        <w:bidi w:val="0"/>
        <w:spacing w:before="240" w:after="0"/>
        <w:jc w:val="left"/>
        <w:rPr>
          <w:rFonts w:ascii="Times New Roman" w:hAnsi="Times New Roman"/>
          <w:sz w:val="20"/>
        </w:rPr>
      </w:pPr>
      <w:r>
        <w:rPr>
          <w:rFonts w:ascii="Times New Roman" w:hAnsi="Times New Roman"/>
          <w:sz w:val="20"/>
        </w:rPr>
        <w:t>THIS THIRD AMENDMENT TO LEASE AND TERMINATION AGREEMENT (this “</w:t>
      </w:r>
      <w:r>
        <w:rPr>
          <w:rFonts w:ascii="Times New Roman" w:hAnsi="Times New Roman"/>
          <w:sz w:val="20"/>
          <w:u w:val="single"/>
        </w:rPr>
        <w:t>Agreement</w:t>
      </w:r>
      <w:r>
        <w:rPr>
          <w:rFonts w:ascii="Times New Roman" w:hAnsi="Times New Roman"/>
          <w:sz w:val="20"/>
        </w:rPr>
        <w:t>”) is entered into as of this 31st day of July, 2026 (“</w:t>
      </w:r>
      <w:r>
        <w:rPr>
          <w:rFonts w:ascii="Times New Roman" w:hAnsi="Times New Roman"/>
          <w:sz w:val="20"/>
          <w:u w:val="single"/>
        </w:rPr>
        <w:t>Execution Date</w:t>
      </w:r>
      <w:r>
        <w:rPr>
          <w:rFonts w:ascii="Times New Roman" w:hAnsi="Times New Roman"/>
          <w:sz w:val="20"/>
        </w:rPr>
        <w:t>”), by and between BMR-SIDNEY RESEARCH CAMPUS LLC, a Delaware limited liability company (“</w:t>
      </w:r>
      <w:r>
        <w:rPr>
          <w:rFonts w:ascii="Times New Roman" w:hAnsi="Times New Roman"/>
          <w:sz w:val="20"/>
          <w:u w:val="single"/>
        </w:rPr>
        <w:t>Landlord</w:t>
      </w:r>
      <w:r>
        <w:rPr>
          <w:rFonts w:ascii="Times New Roman" w:hAnsi="Times New Roman"/>
          <w:sz w:val="20"/>
        </w:rPr>
        <w:t>”), and SERES THERAPEUTICS, INC., a Delaware corporation (“</w:t>
      </w:r>
      <w:r>
        <w:rPr>
          <w:rFonts w:ascii="Times New Roman" w:hAnsi="Times New Roman"/>
          <w:sz w:val="20"/>
          <w:u w:val="single"/>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WHEREAS, Landlord and Tenant entered into that certain Lease dated as of November 11, 2015, as amended by that certain First Amendment to Lease dated as of December 9, 2022, and that certain Second Amendment to Lease dated as of January 25, 2024 (as the same may have been further amended, amended and restated, supplemented or otherwise modified from time to time, the “Existing </w:t>
      </w:r>
      <w:r>
        <w:rPr>
          <w:rFonts w:ascii="Times New Roman" w:hAnsi="Times New Roman"/>
          <w:sz w:val="20"/>
          <w:u w:val="single"/>
        </w:rPr>
        <w:t>Lease</w:t>
      </w:r>
      <w:r>
        <w:rPr>
          <w:rFonts w:ascii="Times New Roman" w:hAnsi="Times New Roman"/>
          <w:sz w:val="20"/>
        </w:rPr>
        <w:t>”), whereby Tenant leases certain premises (the “</w:t>
      </w:r>
      <w:r>
        <w:rPr>
          <w:rFonts w:ascii="Times New Roman" w:hAnsi="Times New Roman"/>
          <w:sz w:val="20"/>
          <w:u w:val="single"/>
        </w:rPr>
        <w:t>Premises</w:t>
      </w:r>
      <w:r>
        <w:rPr>
          <w:rFonts w:ascii="Times New Roman" w:hAnsi="Times New Roman"/>
          <w:sz w:val="20"/>
        </w:rPr>
        <w:t>”) from Landlord in the building at 200 Sidney Street, Cambridge, Massachusetts (the “</w:t>
      </w:r>
      <w:r>
        <w:rPr>
          <w:rFonts w:ascii="Times New Roman" w:hAnsi="Times New Roman"/>
          <w:sz w:val="20"/>
          <w:u w:val="single"/>
        </w:rPr>
        <w:t>Building</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B. WHEREAS, pursuant to that certain Sublease Agreement dated as of January 25, 2024 by and between Tenant, as sublandlord, and AbbVie Inc. (“</w:t>
      </w:r>
      <w:r>
        <w:rPr>
          <w:rFonts w:ascii="Times New Roman" w:hAnsi="Times New Roman"/>
          <w:sz w:val="20"/>
          <w:u w:val="single"/>
        </w:rPr>
        <w:t>AbbVie</w:t>
      </w:r>
      <w:r>
        <w:rPr>
          <w:rFonts w:ascii="Times New Roman" w:hAnsi="Times New Roman"/>
          <w:sz w:val="20"/>
        </w:rPr>
        <w:t>”), as subtenant, and that certain Consent to Sublease dated as of January 25, 2024 by and between Landlord, Tenant and AbbVie (as the same may have been further amended or modified from time to time, the “</w:t>
      </w:r>
      <w:r>
        <w:rPr>
          <w:rFonts w:ascii="Times New Roman" w:hAnsi="Times New Roman"/>
          <w:sz w:val="20"/>
          <w:u w:val="single"/>
        </w:rPr>
        <w:t>AbbVie Sublease</w:t>
      </w:r>
      <w:r>
        <w:rPr>
          <w:rFonts w:ascii="Times New Roman" w:hAnsi="Times New Roman"/>
          <w:sz w:val="20"/>
        </w:rPr>
        <w:t xml:space="preserve">”), AbbVie currently subleases (i) approximately 10,892 rentable square feet on the first (1st) floor of the Building, and (ii) approximately 10,403 rentable square feet on the fourth (4th) floor of the Building, as shown on </w:t>
      </w:r>
      <w:r>
        <w:rPr>
          <w:rFonts w:ascii="Times New Roman" w:hAnsi="Times New Roman"/>
          <w:sz w:val="20"/>
          <w:u w:val="single"/>
        </w:rPr>
        <w:t>Exhibit A</w:t>
      </w:r>
      <w:r>
        <w:rPr>
          <w:rFonts w:ascii="Times New Roman" w:hAnsi="Times New Roman"/>
          <w:sz w:val="20"/>
        </w:rPr>
        <w:t xml:space="preserve"> attached hereto and incorporated herein (the “</w:t>
      </w:r>
      <w:r>
        <w:rPr>
          <w:rFonts w:ascii="Times New Roman" w:hAnsi="Times New Roman"/>
          <w:sz w:val="20"/>
          <w:u w:val="single"/>
        </w:rPr>
        <w:t>First and Fourth Floor Surrender Premises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C. WHEREAS, Landlord and Tenant desire to (i) partially terminate the Existing Lease with respect to the First and Fourth Floor Surrender Premises effective upon the Execution Date, and (ii) terminate the Existing Lease with respect to the remaining portion of the Premises consisting of approximately 47,341 rentable square feet, as shown on </w:t>
      </w:r>
      <w:r>
        <w:rPr>
          <w:rFonts w:ascii="Times New Roman" w:hAnsi="Times New Roman"/>
          <w:sz w:val="20"/>
          <w:u w:val="single"/>
        </w:rPr>
        <w:t>Exhibit B</w:t>
      </w:r>
      <w:r>
        <w:rPr>
          <w:rFonts w:ascii="Times New Roman" w:hAnsi="Times New Roman"/>
          <w:sz w:val="20"/>
        </w:rPr>
        <w:t xml:space="preserve"> attached hereto and incorporated herein (collectively, the “</w:t>
      </w:r>
      <w:r>
        <w:rPr>
          <w:rFonts w:ascii="Times New Roman" w:hAnsi="Times New Roman"/>
          <w:sz w:val="20"/>
          <w:u w:val="single"/>
        </w:rPr>
        <w:t>Remaining Premises</w:t>
      </w:r>
      <w:r>
        <w:rPr>
          <w:rFonts w:ascii="Times New Roman" w:hAnsi="Times New Roman"/>
          <w:sz w:val="20"/>
        </w:rPr>
        <w:t xml:space="preserve">”) effective as of December 31, 2026, in each case in accordance with the following conditions and provisions; and </w:t>
      </w:r>
    </w:p>
    <w:p>
      <w:pPr>
        <w:pStyle w:val="TextBody"/>
        <w:bidi w:val="0"/>
        <w:spacing w:before="240" w:after="0"/>
        <w:jc w:val="left"/>
        <w:rPr>
          <w:rFonts w:ascii="Times New Roman" w:hAnsi="Times New Roman"/>
          <w:sz w:val="20"/>
        </w:rPr>
      </w:pPr>
      <w:r>
        <w:rPr>
          <w:rFonts w:ascii="Times New Roman" w:hAnsi="Times New Roman"/>
          <w:sz w:val="20"/>
        </w:rPr>
        <w:t xml:space="preserve">D. WHEREAS, Landlord and Tenant desire to modify and amend the Existing Lease only in the respects and on the conditions hereinafter stated.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Landlord and Tenant, in consideration of the mutual promises contained herein and for other good and valuable consideration, the receipt and sufficiency of which are hereby acknowledged, and intending to be legally bound,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For purposes of this Amendment, capitalized terms shall have the meanings ascribed to them in the Existing Lease unless otherwise defined herein. The Existing Lease, as amended by this Amendment, is referred to collectively herein as the “</w:t>
      </w:r>
      <w:r>
        <w:rPr>
          <w:rFonts w:ascii="Times New Roman" w:hAnsi="Times New Roman"/>
          <w:sz w:val="20"/>
          <w:u w:val="single"/>
        </w:rPr>
        <w:t>Lease</w:t>
      </w:r>
      <w:r>
        <w:rPr>
          <w:rFonts w:ascii="Times New Roman" w:hAnsi="Times New Roman"/>
          <w:sz w:val="20"/>
        </w:rPr>
        <w:t xml:space="preserve">.” From and after the date hereof, the term “Lease,” as used in the Existing Lease, shall mean the Existing Lease, as amended by this Amendment.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Partial Termination – First and Fourth Floor Sublease Premises</w:t>
      </w:r>
      <w:r>
        <w:rPr>
          <w:rFonts w:ascii="Times New Roman" w:hAnsi="Times New Roman"/>
          <w:sz w:val="20"/>
        </w:rPr>
        <w:t xml:space="preserve">. Effective upon the Execution Date, the Lease is hereby partially terminated with respect to the First and Fourth Floor Surrender Premises only. Notwithstanding anything to the contrary set forth in the Existing Lease, due to the Abbvie Sublease, Tenant shall be relieved of Tenant’s surrender and decontamination obligations set forth in the Existing Lease, including those requirements set forth in </w:t>
      </w:r>
      <w:r>
        <w:rPr>
          <w:rFonts w:ascii="Times New Roman" w:hAnsi="Times New Roman"/>
          <w:sz w:val="20"/>
          <w:u w:val="single"/>
        </w:rPr>
        <w:t>Section 26</w:t>
      </w:r>
      <w:r>
        <w:rPr>
          <w:rFonts w:ascii="Times New Roman" w:hAnsi="Times New Roman"/>
          <w:sz w:val="20"/>
        </w:rPr>
        <w:t xml:space="preserve"> of the Existing Lease, in connection with the First and Fourth Floor Surrender Premises.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Remaining Premises</w:t>
      </w:r>
      <w:r>
        <w:rPr>
          <w:rFonts w:ascii="Times New Roman" w:hAnsi="Times New Roman"/>
          <w:i/>
          <w:sz w:val="20"/>
        </w:rPr>
        <w:t xml:space="preserve">. </w:t>
      </w:r>
      <w:r>
        <w:rPr>
          <w:rFonts w:ascii="Times New Roman" w:hAnsi="Times New Roman"/>
          <w:sz w:val="20"/>
        </w:rPr>
        <w:t>From and after the Execution Date, the term “</w:t>
      </w:r>
      <w:r>
        <w:rPr>
          <w:rFonts w:ascii="Times New Roman" w:hAnsi="Times New Roman"/>
          <w:sz w:val="20"/>
          <w:u w:val="single"/>
        </w:rPr>
        <w:t>Premises</w:t>
      </w:r>
      <w:r>
        <w:rPr>
          <w:rFonts w:ascii="Times New Roman" w:hAnsi="Times New Roman"/>
          <w:sz w:val="20"/>
        </w:rPr>
        <w:t xml:space="preserve">,” as used in the Lease, shall mean the Remaining Premises. The table set forth in </w:t>
      </w:r>
      <w:r>
        <w:rPr>
          <w:rFonts w:ascii="Times New Roman" w:hAnsi="Times New Roman"/>
          <w:sz w:val="20"/>
          <w:u w:val="single"/>
        </w:rPr>
        <w:t>Section 2.2</w:t>
      </w:r>
      <w:r>
        <w:rPr>
          <w:rFonts w:ascii="Times New Roman" w:hAnsi="Times New Roman"/>
          <w:sz w:val="20"/>
        </w:rPr>
        <w:t xml:space="preserve"> of the Existing Lease is hereby deleted and replaced with the following, effective as the Execution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Definition or Provision</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Means the Following (As of the Execution Date)</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pPr>
            <w:r>
              <w:rPr/>
              <w:t>Approximate Rentable Area of Premises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pPr>
            <w:r>
              <w:rPr/>
              <w:t>47,341 square feet, consisting of 14,958 square feet on the basement floor of the Building, 31,375 square feet on the first (1st) floor of the Building and 1,008 square feet on the second (2nd) floor of the Building</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pPr>
            <w:r>
              <w:rPr/>
              <w:t>Approximate Rentable Area of Building</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pPr>
            <w:r>
              <w:rPr/>
              <w:t>188,616 square feet</w:t>
            </w:r>
          </w:p>
        </w:tc>
      </w:tr>
      <w:tr>
        <w:trPr>
          <w:trHeight w:val="12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pPr>
            <w:r>
              <w:rPr/>
              <w:t>Tenant’s Pro Rata Share of Building</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pPr>
            <w:r>
              <w:rPr/>
              <w:t>25.10%</w:t>
            </w:r>
          </w:p>
        </w:tc>
      </w:tr>
    </w:tbl>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Rent</w:t>
      </w:r>
      <w:r>
        <w:rPr>
          <w:rFonts w:ascii="Times New Roman" w:hAnsi="Times New Roman"/>
          <w:sz w:val="20"/>
        </w:rPr>
        <w:t>. From and after August 1, 2026 (the “</w:t>
      </w:r>
      <w:r>
        <w:rPr>
          <w:rFonts w:ascii="Times New Roman" w:hAnsi="Times New Roman"/>
          <w:sz w:val="20"/>
          <w:u w:val="single"/>
        </w:rPr>
        <w:t>Effective Date</w:t>
      </w:r>
      <w:r>
        <w:rPr>
          <w:rFonts w:ascii="Times New Roman" w:hAnsi="Times New Roman"/>
          <w:sz w:val="20"/>
        </w:rPr>
        <w:t xml:space="preserve">”), monthly Rent (including Base Rent, Tenant’s Adjusted Share of Operating Expenses, and Additional Rent) for the Remaining Premises shall be in the amount of $727,683.17 and shall be payable as set forth in Section 6(a)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Parking</w:t>
      </w:r>
      <w:r>
        <w:rPr>
          <w:rFonts w:ascii="Times New Roman" w:hAnsi="Times New Roman"/>
          <w:sz w:val="20"/>
        </w:rPr>
        <w:t xml:space="preserve">. Effective as of the Execution Date, the parking spaces in the Parking Garage allocated to Tenant in accordance with the Existing Lease shall be reduced from sixty-eight (68) parking spaces to zero (0) parking spaces.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Payments</w:t>
      </w:r>
      <w:r>
        <w:rPr>
          <w:rFonts w:ascii="Times New Roman" w:hAnsi="Times New Roman"/>
          <w:sz w:val="20"/>
        </w:rPr>
        <w:t xml:space="preserve">. Pursuant to this Amendment, the total monetary consideration payable by Tenant to Landlord will consist solely of the following: (a) an increase to the Letter of Credit in the amount of $2,238,415.84 (for a total Letter of Credit of $3,638,415.84), which Landlord will apply toward Base Rent, Additional Rent, and Operating Expenses through the Expiration Date; (b) a Termination Fee of $3,850,000.00, payable by wire transfer no later than January 4, 2027; and (c) an Equity Issuance of shares of Seres common stock valued at $500,000.00, to be issued no later than five (5) business days after the Execution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Letter of Credit Increase</w:t>
      </w:r>
      <w:r>
        <w:rPr>
          <w:rFonts w:ascii="Times New Roman" w:hAnsi="Times New Roman"/>
          <w:sz w:val="20"/>
        </w:rPr>
        <w:t>. On or prior to the Execution Date, Tenant has arranged for the Letter of Credit held by Landlord to be increased by Two Million Two Hundred Thirty-Eight Thousand Four Hundred Fifteen and 84/100 Dollars ($2,238,415.84), for a total Letter of Credit amount of Three Million Six Hundred Thirty-Eight Thousand Four Hundred Fifteen and 84/100 Dollars ($3,638,415.84) (as so increased, the “</w:t>
      </w:r>
      <w:r>
        <w:rPr>
          <w:rFonts w:ascii="Times New Roman" w:hAnsi="Times New Roman"/>
          <w:sz w:val="20"/>
          <w:u w:val="single"/>
        </w:rPr>
        <w:t>Letter of Credit</w:t>
      </w:r>
      <w:r>
        <w:rPr>
          <w:rFonts w:ascii="Times New Roman" w:hAnsi="Times New Roman"/>
          <w:sz w:val="20"/>
        </w:rPr>
        <w:t xml:space="preserve">”). Landlord shall apply the Letter of Credit toward Annual Base Rent, Additional Rent (including Tenant’s Adjusted Share of Operating Expenses), and all other amounts payable by Tenant under the Lease for each month through the Expiration Date. Landlord acknowledges that the amounts payable from the Letter of Credit shall constitute full and final payment of all Base Rent, Additional Rent and Operating Expenses owing under the Lease through the Expiration Date, and there shall be no reconciliation of any Rent amounts, including Tenant’s Adjusted Share of Operating Expenses following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Fee</w:t>
      </w:r>
      <w:r>
        <w:rPr>
          <w:rFonts w:ascii="Times New Roman" w:hAnsi="Times New Roman"/>
          <w:sz w:val="20"/>
        </w:rPr>
        <w:t>. No later than January 4, 2027, Tenant shall pay to Landlord, by wire transfer in immediately available funds, a termination fee equal to Three Million Eight Hundred Fifty Thousand and 00/100 Dollars ($3,850,000.00), as a fee and not a penalty (the “</w:t>
      </w:r>
      <w:r>
        <w:rPr>
          <w:rFonts w:ascii="Times New Roman" w:hAnsi="Times New Roman"/>
          <w:sz w:val="20"/>
          <w:u w:val="single"/>
        </w:rPr>
        <w:t>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Equity Issuance</w:t>
      </w:r>
      <w:r>
        <w:rPr>
          <w:rFonts w:ascii="Times New Roman" w:hAnsi="Times New Roman"/>
          <w:sz w:val="20"/>
        </w:rPr>
        <w:t xml:space="preserve">. </w:t>
      </w:r>
      <w:r>
        <w:rPr>
          <w:rFonts w:ascii="Times New Roman" w:hAnsi="Times New Roman"/>
          <w:sz w:val="20"/>
          <w:u w:val="single"/>
        </w:rPr>
        <w:t>Equity Issuance</w:t>
      </w:r>
      <w:r>
        <w:rPr>
          <w:rFonts w:ascii="Times New Roman" w:hAnsi="Times New Roman"/>
          <w:sz w:val="20"/>
        </w:rPr>
        <w:t>. No later than five (5) business days after the Execution Date, Tenant shall issue to Landlord (or Landlord’s designee) shares of Tenant’s common stock (the “</w:t>
      </w:r>
      <w:r>
        <w:rPr>
          <w:rFonts w:ascii="Times New Roman" w:hAnsi="Times New Roman"/>
          <w:sz w:val="20"/>
          <w:u w:val="single"/>
        </w:rPr>
        <w:t>Shares</w:t>
      </w:r>
      <w:r>
        <w:rPr>
          <w:rFonts w:ascii="Times New Roman" w:hAnsi="Times New Roman"/>
          <w:sz w:val="20"/>
        </w:rPr>
        <w:t xml:space="preserve">”) with a value equal to Five Hundred Thousand and 00/100 Dollars ($500,000.00). The number of Shares to be issued shall be determined in accordance with the methodology set forth in the Stock Issuance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Equity Agreement</w:t>
      </w:r>
      <w:r>
        <w:rPr>
          <w:rFonts w:ascii="Times New Roman" w:hAnsi="Times New Roman"/>
          <w:sz w:val="20"/>
        </w:rPr>
        <w:t xml:space="preserve">”), which Equity Agreement shall govern the calculation and issuance of the Shares and shall be executed by the parties concurrently with this Amendment. The Shares shall be issued pursuant to Tenant’s effective registration statement on Form S-3 (file no. 333-273794) and shall be freely tradeable upon issuance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Remaining Premises Obligations</w:t>
      </w:r>
      <w:r>
        <w:rPr>
          <w:rFonts w:ascii="Times New Roman" w:hAnsi="Times New Roman"/>
          <w:sz w:val="20"/>
        </w:rPr>
        <w:t xml:space="preserve">. Except as set forth in this Amendment, Tenant shall remain responsible for the timely performance of all non-monetary obligations of Tenant under the Lease with respect to the Remaining Premises through the Expiration Date. For the avoidance of doubt, Tenant shall be responsible for paying any utilities for which it has contracted directly.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in the Lease, including without limitation </w:t>
      </w:r>
      <w:r>
        <w:rPr>
          <w:rFonts w:ascii="Times New Roman" w:hAnsi="Times New Roman"/>
          <w:sz w:val="20"/>
          <w:u w:val="single"/>
        </w:rPr>
        <w:t>Sections 17.7</w:t>
      </w:r>
      <w:r>
        <w:rPr>
          <w:rFonts w:ascii="Times New Roman" w:hAnsi="Times New Roman"/>
          <w:sz w:val="20"/>
        </w:rPr>
        <w:t xml:space="preserve">, </w:t>
      </w:r>
      <w:r>
        <w:rPr>
          <w:rFonts w:ascii="Times New Roman" w:hAnsi="Times New Roman"/>
          <w:sz w:val="20"/>
          <w:u w:val="single"/>
        </w:rPr>
        <w:t>17.8</w:t>
      </w:r>
      <w:r>
        <w:rPr>
          <w:rFonts w:ascii="Times New Roman" w:hAnsi="Times New Roman"/>
          <w:sz w:val="20"/>
        </w:rPr>
        <w:t xml:space="preserve">, </w:t>
      </w:r>
      <w:r>
        <w:rPr>
          <w:rFonts w:ascii="Times New Roman" w:hAnsi="Times New Roman"/>
          <w:sz w:val="20"/>
          <w:u w:val="single"/>
        </w:rPr>
        <w:t>18.2</w:t>
      </w:r>
      <w:r>
        <w:rPr>
          <w:rFonts w:ascii="Times New Roman" w:hAnsi="Times New Roman"/>
          <w:sz w:val="20"/>
        </w:rPr>
        <w:t xml:space="preserve">, and </w:t>
      </w:r>
      <w:r>
        <w:rPr>
          <w:rFonts w:ascii="Times New Roman" w:hAnsi="Times New Roman"/>
          <w:sz w:val="20"/>
          <w:u w:val="single"/>
        </w:rPr>
        <w:t>26.2</w:t>
      </w:r>
      <w:r>
        <w:rPr>
          <w:rFonts w:ascii="Times New Roman" w:hAnsi="Times New Roman"/>
          <w:sz w:val="20"/>
        </w:rPr>
        <w:t xml:space="preserve"> of the Existing Lease, Tenant shall have no obligation to remove or restore any Alterations, Tenant Improvements, fixtures, or other improvements existing in the Remaining Premises as of the Execution Date, and Tenant may surrender the Remaining Premises with such Alterations, Tenant Improvements, fixtures, and other improvements in place, subject only to Tenant’s completion of the Turnover Requirements set forth on </w:t>
      </w:r>
      <w:r>
        <w:rPr>
          <w:rFonts w:ascii="Times New Roman" w:hAnsi="Times New Roman"/>
          <w:sz w:val="20"/>
          <w:u w:val="single"/>
        </w:rPr>
        <w:t>Exhibit D</w:t>
      </w:r>
      <w:r>
        <w:rPr>
          <w:rFonts w:ascii="Times New Roman" w:hAnsi="Times New Roman"/>
          <w:sz w:val="20"/>
        </w:rPr>
        <w:t xml:space="preserve"> and Tenant’s other obligations under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in the event Tenant completes the surrender requirements under the Lease (including the Exit Survey) together with the requirements set forth on </w:t>
      </w:r>
      <w:r>
        <w:rPr>
          <w:rFonts w:ascii="Times New Roman" w:hAnsi="Times New Roman"/>
          <w:sz w:val="20"/>
          <w:u w:val="single"/>
        </w:rPr>
        <w:t>Exhibit D</w:t>
      </w:r>
      <w:r>
        <w:rPr>
          <w:rFonts w:ascii="Times New Roman" w:hAnsi="Times New Roman"/>
          <w:sz w:val="20"/>
        </w:rPr>
        <w:t xml:space="preserve"> (collectively, the “</w:t>
      </w:r>
      <w:r>
        <w:rPr>
          <w:rFonts w:ascii="Times New Roman" w:hAnsi="Times New Roman"/>
          <w:sz w:val="20"/>
          <w:u w:val="single"/>
        </w:rPr>
        <w:t>Turnover Requirements</w:t>
      </w:r>
      <w:r>
        <w:rPr>
          <w:rFonts w:ascii="Times New Roman" w:hAnsi="Times New Roman"/>
          <w:sz w:val="20"/>
        </w:rPr>
        <w:t>”) with respect to the Remaining Premises prior to the Expiration Date, Landlord agrees to perform Tenant’s repair and maintenance obligations under the Lease commencing on the date that Landlord has accepted Tenant’s completion of the Turnover Requirements (the “</w:t>
      </w:r>
      <w:r>
        <w:rPr>
          <w:rFonts w:ascii="Times New Roman" w:hAnsi="Times New Roman"/>
          <w:sz w:val="20"/>
          <w:u w:val="single"/>
        </w:rPr>
        <w:t>Turnover Date</w:t>
      </w:r>
      <w:r>
        <w:rPr>
          <w:rFonts w:ascii="Times New Roman" w:hAnsi="Times New Roman"/>
          <w:sz w:val="20"/>
        </w:rPr>
        <w:t xml:space="preserve">”). Tenant shall not be liable for performing any repair and maintenance obligations following the Turnover Date; </w:t>
      </w:r>
      <w:r>
        <w:rPr>
          <w:rFonts w:ascii="Times New Roman" w:hAnsi="Times New Roman"/>
          <w:sz w:val="20"/>
          <w:u w:val="single"/>
        </w:rPr>
        <w:t>provided</w:t>
      </w:r>
      <w:r>
        <w:rPr>
          <w:rFonts w:ascii="Times New Roman" w:hAnsi="Times New Roman"/>
          <w:sz w:val="20"/>
        </w:rPr>
        <w:t xml:space="preserve">, however, that Tenant shall be liable for any costs related to damage arising from Tenant’s use or occupancy following the Turnover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set forth in the Lease, (i) prior to the Turnover Date, Landlord shall have the right to enter the Remaining Premises at any time upon twenty-four (24) hours’ prior notice (which may be oral or by email to the Tenant-designated representative) except during an emergency, in which event no prior notice shall be required by Landlord; and (ii) following the Turnover Date, Landlord shall the right to enter the Remaining Premises at any time. Tenant shall provide Landlord with five (5) access cards and five (5) physical keys to access all spaces within the Remaining Premises. </w:t>
      </w:r>
    </w:p>
    <w:p>
      <w:pPr>
        <w:pStyle w:val="TextBody"/>
        <w:bidi w:val="0"/>
        <w:spacing w:before="240" w:after="0"/>
        <w:jc w:val="left"/>
        <w:rPr>
          <w:rFonts w:ascii="Times New Roman" w:hAnsi="Times New Roman"/>
          <w:sz w:val="20"/>
        </w:rPr>
      </w:pPr>
      <w:r>
        <w:rPr>
          <w:rFonts w:ascii="Times New Roman" w:hAnsi="Times New Roman"/>
          <w:sz w:val="20"/>
        </w:rPr>
        <w:t xml:space="preserve">(d) Landlord shall indemnify, defend, and hold harmless Tenant, its officers, directors, employees, and agents from and against any and all claims, liabilities, losses, costs, and expenses (including reasonable attorneys’ fees) arising out of or resulting from Landlord’s entry into, use of, or exercise of control over the Remaining Premises following the Turnover Date, except to the extent arising from any acts or omissions (including the negligence or willful misconduct) of Tenant or its employees, agents, or contractors.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Surrender of Remaining Premises and Lease Termination</w:t>
      </w:r>
      <w:r>
        <w:rPr>
          <w:rFonts w:ascii="Times New Roman" w:hAnsi="Times New Roman"/>
          <w:sz w:val="20"/>
        </w:rPr>
        <w:t>. Tenant shall surrender the Remaining Premises to Landlord with the Turnover Requirements completed no later than December 31, 2026 (“</w:t>
      </w:r>
      <w:r>
        <w:rPr>
          <w:rFonts w:ascii="Times New Roman" w:hAnsi="Times New Roman"/>
          <w:sz w:val="20"/>
          <w:u w:val="single"/>
        </w:rPr>
        <w:t>Expiration Date</w:t>
      </w:r>
      <w:r>
        <w:rPr>
          <w:rFonts w:ascii="Times New Roman" w:hAnsi="Times New Roman"/>
          <w:sz w:val="20"/>
        </w:rPr>
        <w:t xml:space="preserve">”). Provided that Tenant has fully satisfied all of its obligations set forth in </w:t>
      </w:r>
      <w:r>
        <w:rPr>
          <w:rFonts w:ascii="Times New Roman" w:hAnsi="Times New Roman"/>
          <w:sz w:val="20"/>
          <w:u w:val="single"/>
        </w:rPr>
        <w:t>Sections 6(a)</w:t>
      </w:r>
      <w:r>
        <w:rPr>
          <w:rFonts w:ascii="Times New Roman" w:hAnsi="Times New Roman"/>
          <w:sz w:val="20"/>
        </w:rPr>
        <w:t xml:space="preserve">, </w:t>
      </w:r>
      <w:r>
        <w:rPr>
          <w:rFonts w:ascii="Times New Roman" w:hAnsi="Times New Roman"/>
          <w:sz w:val="20"/>
          <w:u w:val="single"/>
        </w:rPr>
        <w:t>6(c)</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of this Amendment (collectively, the “</w:t>
      </w:r>
      <w:r>
        <w:rPr>
          <w:rFonts w:ascii="Times New Roman" w:hAnsi="Times New Roman"/>
          <w:sz w:val="20"/>
          <w:u w:val="single"/>
        </w:rPr>
        <w:t>Termination Obligations</w:t>
      </w:r>
      <w:r>
        <w:rPr>
          <w:rFonts w:ascii="Times New Roman" w:hAnsi="Times New Roman"/>
          <w:sz w:val="20"/>
        </w:rPr>
        <w:t>”), then the Lease shall terminate effective as of 11:59 p.m. Eastern time on the Expiration Date (“</w:t>
      </w:r>
      <w:r>
        <w:rPr>
          <w:rFonts w:ascii="Times New Roman" w:hAnsi="Times New Roman"/>
          <w:sz w:val="20"/>
          <w:u w:val="single"/>
        </w:rPr>
        <w:t>Lease Termination</w:t>
      </w:r>
      <w:r>
        <w:rPr>
          <w:rFonts w:ascii="Times New Roman" w:hAnsi="Times New Roman"/>
          <w:sz w:val="20"/>
        </w:rPr>
        <w:t xml:space="preserve">”). As of the Lease Termination, the Lease shall be fully and finally surrendered and terminated and shall no longer be of any force or effect, except for those provisions that, by their express terms, survive the expiration or earlier termination of the Lease, including without limitation, Tenant’s obligations pursuant to </w:t>
      </w:r>
      <w:r>
        <w:rPr>
          <w:rFonts w:ascii="Times New Roman" w:hAnsi="Times New Roman"/>
          <w:sz w:val="20"/>
          <w:u w:val="single"/>
        </w:rPr>
        <w:t>Section 6(b)</w:t>
      </w:r>
      <w:r>
        <w:rPr>
          <w:rFonts w:ascii="Times New Roman" w:hAnsi="Times New Roman"/>
          <w:sz w:val="20"/>
        </w:rPr>
        <w:t xml:space="preserve"> hereof. For the avoidance of doubt, the parties hereby agree to waive reconciliation of Tenant’s Adjusted Share of Operating Expenses following calendar year 2026.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Broker</w:t>
      </w:r>
      <w:r>
        <w:rPr>
          <w:rFonts w:ascii="Times New Roman" w:hAnsi="Times New Roman"/>
          <w:sz w:val="20"/>
        </w:rPr>
        <w:t xml:space="preserve">. Tenant represents and warrants that it has not dealt with any broker or agent in the negotiation for or the obtaining of this Amendment and agrees to reimburse, indemnify, save, defend (at Landlord’s option and with counsel reasonably acceptable to Landlord, at Tenant’s sole cost and expense) and hold harmless the Landlord Indemnitees for, from and against any and all cost or liability for compensation claimed by any such broker or agent employed or engaged by it or claiming to have been employed or engaged by it.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Default</w:t>
      </w:r>
      <w:r>
        <w:rPr>
          <w:rFonts w:ascii="Times New Roman" w:hAnsi="Times New Roman"/>
          <w:sz w:val="20"/>
        </w:rPr>
        <w:t xml:space="preserve">.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Tenant confirms that, notwithstanding anything in the Lease to the contrary, notices delivered to Tenant pursuant to the Lease should be sent to: </w:t>
      </w:r>
    </w:p>
    <w:p>
      <w:pPr>
        <w:pStyle w:val="TextBody"/>
        <w:bidi w:val="0"/>
        <w:spacing w:before="120" w:after="0"/>
        <w:jc w:val="left"/>
        <w:rPr>
          <w:rFonts w:ascii="Times New Roman" w:hAnsi="Times New Roman"/>
          <w:sz w:val="20"/>
        </w:rPr>
      </w:pPr>
      <w:r>
        <w:rPr>
          <w:rFonts w:ascii="Times New Roman" w:hAnsi="Times New Roman"/>
          <w:sz w:val="20"/>
        </w:rPr>
        <w:t xml:space="preserve">Seres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101 Cambridgepark Drive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02140 </w:t>
      </w:r>
    </w:p>
    <w:p>
      <w:pPr>
        <w:pStyle w:val="TextBody"/>
        <w:bidi w:val="0"/>
        <w:spacing w:before="0" w:after="0"/>
        <w:jc w:val="left"/>
        <w:rPr>
          <w:rFonts w:ascii="Times New Roman" w:hAnsi="Times New Roman"/>
          <w:sz w:val="20"/>
        </w:rPr>
      </w:pPr>
      <w:r>
        <w:rPr>
          <w:rFonts w:ascii="Times New Roman" w:hAnsi="Times New Roman"/>
          <w:sz w:val="20"/>
        </w:rPr>
        <w:t xml:space="preserve">ATTN: Legal Department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Effect of Amendment</w:t>
      </w:r>
      <w:r>
        <w:rPr>
          <w:rFonts w:ascii="Times New Roman" w:hAnsi="Times New Roman"/>
          <w:sz w:val="20"/>
        </w:rPr>
        <w:t xml:space="preserve">.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 and Assigns</w:t>
      </w:r>
      <w:r>
        <w:rPr>
          <w:rFonts w:ascii="Times New Roman" w:hAnsi="Times New Roman"/>
          <w:sz w:val="20"/>
        </w:rPr>
        <w:t xml:space="preserve">. Each of the covenants, conditions and agreements contained in this Amendment shall inure to the benefit of and shall apply to and be binding upon the parties hereto and their respective heirs, legatees, devisees, executors, administrators and permitted successors, assigns and sublessees. Nothing in this section shall in any way alter the provisions of the Lease restricting assignment and subletting.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Miscellaneous</w:t>
      </w:r>
      <w:r>
        <w:rPr>
          <w:rFonts w:ascii="Times New Roman" w:hAnsi="Times New Roman"/>
          <w:sz w:val="20"/>
        </w:rPr>
        <w:t xml:space="preserve">.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Authority</w:t>
      </w:r>
      <w:r>
        <w:rPr>
          <w:rFonts w:ascii="Times New Roman" w:hAnsi="Times New Roman"/>
          <w:sz w:val="20"/>
        </w:rPr>
        <w:t xml:space="preserve">. Tenant guarantees, warrants and represents that the execution and consummation of this Amendment have been duly authorized by all appropriate company action, and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Counterparts; Facsimile and PDF Signatures</w:t>
      </w:r>
      <w:r>
        <w:rPr>
          <w:rFonts w:ascii="Times New Roman" w:hAnsi="Times New Roman"/>
          <w:sz w:val="20"/>
        </w:rPr>
        <w:t xml:space="preserve">.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Representation of Parties</w:t>
      </w:r>
      <w:r>
        <w:rPr>
          <w:rFonts w:ascii="Times New Roman" w:hAnsi="Times New Roman"/>
          <w:sz w:val="20"/>
        </w:rPr>
        <w:t xml:space="preserve">. Each party represents that it has not made any assignment, sublease, transfer, conveyance or other disposition of the Lease or any interest therein, nor made or entered into any agreement that would result in any mechanic’s lien or other claim, demand, obligation, liability, action or cause of action arising from or with respect to the Lease or the Premises, other than the Abbvie Sublease.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Attorneys’ Fees</w:t>
      </w:r>
      <w:r>
        <w:rPr>
          <w:rFonts w:ascii="Times New Roman" w:hAnsi="Times New Roman"/>
          <w:sz w:val="20"/>
        </w:rPr>
        <w:t xml:space="preserve">. Except as otherwise expressly set forth in this Amendment, each party shall pay its own costs and expenses incurred in connection with this Amendment and such party’s performance under this Amendment, provided, that if either party commences an action, proceeding, demand, claim, action, cause of action or suit against the other party arising out of or in connection with this Amendment,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Governing Law</w:t>
      </w:r>
      <w:r>
        <w:rPr>
          <w:rFonts w:ascii="Times New Roman" w:hAnsi="Times New Roman"/>
          <w:sz w:val="20"/>
        </w:rPr>
        <w:t xml:space="preserve">. This Amendment shall be governed by and construed and enforced in accordance with the laws of the Commonwealth of Massachusetts, without regard to the Commonwealth of Massachusetts’ conflict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Waiver of Jury Trial</w:t>
      </w:r>
      <w:r>
        <w:rPr>
          <w:rFonts w:ascii="Times New Roman" w:hAnsi="Times New Roman"/>
          <w:sz w:val="20"/>
        </w:rPr>
        <w:t xml:space="preserve">. To the extent permitted by applicable laws, the parties waive trial by jury in any action, proceeding or counterclaim brought by the other party hereto related to matters arising out of or in any way connected with this Amendment, Tenant’s use or occupancy of the Premises or any claim of injury or damage related to this Amendment or the Premises.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Amendment as a sealed Massachusetts instrument as of the day hereinabove first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BMR-SIDNEY RESEARCH CAMPUS LLC,</w:t>
            </w:r>
          </w:p>
          <w:p>
            <w:pPr>
              <w:pStyle w:val="TableContents"/>
              <w:bidi w:val="0"/>
              <w:spacing w:before="0" w:after="20"/>
              <w:jc w:val="left"/>
              <w:rPr>
                <w:rFonts w:ascii="Times New Roman" w:hAnsi="Times New Roman"/>
                <w:sz w:val="20"/>
              </w:rPr>
            </w:pPr>
            <w:r>
              <w:rPr>
                <w:rFonts w:ascii="Times New Roman" w:hAnsi="Times New Roman"/>
                <w:sz w:val="20"/>
              </w:rPr>
              <w:t>a Delaware limited liability company</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Colleen O’Connor</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Colleen O’Connor</w:t>
            </w:r>
          </w:p>
        </w:tc>
      </w:tr>
      <w:tr>
        <w:trPr/>
        <w:tc>
          <w:tcPr>
            <w:tcW w:w="692"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EVP, East Coast &amp; UK Marke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SERES THERAPEUTICS,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6"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Richard Kender</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Richard Kender</w:t>
            </w:r>
          </w:p>
        </w:tc>
      </w:tr>
      <w:tr>
        <w:trPr/>
        <w:tc>
          <w:tcPr>
            <w:tcW w:w="705" w:type="dxa"/>
            <w:tcBorders/>
          </w:tcPr>
          <w:p>
            <w:pPr>
              <w:pStyle w:val="TableContents"/>
              <w:bidi w:val="0"/>
              <w:spacing w:before="0" w:after="283"/>
              <w:jc w:val="left"/>
              <w:rPr/>
            </w:pPr>
            <w:r>
              <w:rPr/>
              <w:t>Its:</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Executive Chairman and Interim 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right"/>
        <w:rPr>
          <w:rFonts w:ascii="Times New Roman" w:hAnsi="Times New Roman"/>
          <w:b/>
          <w:sz w:val="20"/>
        </w:rPr>
      </w:pPr>
      <w:bookmarkStart w:id="6" w:name="d133274dex102.htm"/>
      <w:bookmarkStart w:id="7" w:name="ksd133274dex102"/>
      <w:bookmarkEnd w:id="6"/>
      <w:bookmarkEnd w:id="7"/>
      <w:r>
        <w:rPr>
          <w:rFonts w:ascii="Times New Roman" w:hAnsi="Times New Roman"/>
          <w:b/>
          <w:sz w:val="20"/>
        </w:rPr>
        <w:t xml:space="preserve">Exhibit 10.2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Copy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STOCK ISSUANCE AGREEMENT </w:t>
      </w:r>
    </w:p>
    <w:p>
      <w:pPr>
        <w:pStyle w:val="TextBody"/>
        <w:bidi w:val="0"/>
        <w:spacing w:before="240" w:after="0"/>
        <w:jc w:val="left"/>
        <w:rPr>
          <w:rFonts w:ascii="Times New Roman" w:hAnsi="Times New Roman"/>
          <w:sz w:val="20"/>
        </w:rPr>
      </w:pPr>
      <w:r>
        <w:rPr>
          <w:rFonts w:ascii="Times New Roman" w:hAnsi="Times New Roman"/>
          <w:sz w:val="20"/>
        </w:rPr>
        <w:t>This STOCK ISSUANCE AGREEMENT (this “</w:t>
      </w:r>
      <w:r>
        <w:rPr>
          <w:rFonts w:ascii="Times New Roman" w:hAnsi="Times New Roman"/>
          <w:sz w:val="20"/>
          <w:u w:val="single"/>
        </w:rPr>
        <w:t>Agreement</w:t>
      </w:r>
      <w:r>
        <w:rPr>
          <w:rFonts w:ascii="Times New Roman" w:hAnsi="Times New Roman"/>
          <w:sz w:val="20"/>
        </w:rPr>
        <w:t>”) is made and entered into as of July 31, 2026 by and between Seres Therapeutics, Inc., a Delaware corporation (the “</w:t>
      </w:r>
      <w:r>
        <w:rPr>
          <w:rFonts w:ascii="Times New Roman" w:hAnsi="Times New Roman"/>
          <w:sz w:val="20"/>
          <w:u w:val="single"/>
        </w:rPr>
        <w:t>Company</w:t>
      </w:r>
      <w:r>
        <w:rPr>
          <w:rFonts w:ascii="Times New Roman" w:hAnsi="Times New Roman"/>
          <w:sz w:val="20"/>
        </w:rPr>
        <w:t>”), and BMR-SIDNEY RESEARCH CAMPUS LLC, a Delaware limited liability company (the “</w:t>
      </w:r>
      <w:r>
        <w:rPr>
          <w:rFonts w:ascii="Times New Roman" w:hAnsi="Times New Roman"/>
          <w:sz w:val="20"/>
          <w:u w:val="single"/>
        </w:rPr>
        <w:t>Landlord</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WHEREAS, the Company and the Landlord have entered into a Third Amendment to Lease and Termination Agreement, dated on or about the date hereof (the “</w:t>
      </w:r>
      <w:r>
        <w:rPr>
          <w:rFonts w:ascii="Times New Roman" w:hAnsi="Times New Roman"/>
          <w:sz w:val="20"/>
          <w:u w:val="single"/>
        </w:rPr>
        <w:t>Lease Termination Agreement</w:t>
      </w:r>
      <w:r>
        <w:rPr>
          <w:rFonts w:ascii="Times New Roman" w:hAnsi="Times New Roman"/>
          <w:sz w:val="20"/>
        </w:rPr>
        <w:t xml:space="preserve">”), pursuant to which the Company and the Landlord have agreed to terminate that certain Lease, dated as of November 11, 2015, as amended, by and between the Company and the Landlord; </w:t>
      </w:r>
    </w:p>
    <w:p>
      <w:pPr>
        <w:pStyle w:val="TextBody"/>
        <w:bidi w:val="0"/>
        <w:spacing w:before="240" w:after="0"/>
        <w:jc w:val="left"/>
        <w:rPr>
          <w:rFonts w:ascii="Times New Roman" w:hAnsi="Times New Roman"/>
          <w:sz w:val="20"/>
        </w:rPr>
      </w:pPr>
      <w:r>
        <w:rPr>
          <w:rFonts w:ascii="Times New Roman" w:hAnsi="Times New Roman"/>
          <w:sz w:val="20"/>
        </w:rPr>
        <w:t>B. WHEREAS, pursuant to the Lease Termination Agreement, as part of the payment owed by the Company to the Landlord as set forth therein, the Company has agreed to issue to the Landlord the number of shares of the Company’s Common Stock, par value $0.001 per share (the “</w:t>
      </w:r>
      <w:r>
        <w:rPr>
          <w:rFonts w:ascii="Times New Roman" w:hAnsi="Times New Roman"/>
          <w:sz w:val="20"/>
          <w:u w:val="single"/>
        </w:rPr>
        <w:t>Common Stock</w:t>
      </w:r>
      <w:r>
        <w:rPr>
          <w:rFonts w:ascii="Times New Roman" w:hAnsi="Times New Roman"/>
          <w:sz w:val="20"/>
        </w:rPr>
        <w:t xml:space="preserve">”), with a value equal to approximately $500,000.00, and the number of such shares to be determined pursuant to Section 2 hereof, which shares shall be freely tradeable upon issuance without restriction; and </w:t>
      </w:r>
    </w:p>
    <w:p>
      <w:pPr>
        <w:pStyle w:val="TextBody"/>
        <w:bidi w:val="0"/>
        <w:spacing w:before="240" w:after="0"/>
        <w:jc w:val="left"/>
        <w:rPr>
          <w:rFonts w:ascii="Times New Roman" w:hAnsi="Times New Roman"/>
          <w:sz w:val="20"/>
        </w:rPr>
      </w:pPr>
      <w:r>
        <w:rPr>
          <w:rFonts w:ascii="Times New Roman" w:hAnsi="Times New Roman"/>
          <w:sz w:val="20"/>
        </w:rPr>
        <w:t>C. WHEREAS, the Company has filed the Registration Statement (as defined herein) with the Securities and Exchange Commission (the “</w:t>
      </w:r>
      <w:r>
        <w:rPr>
          <w:rFonts w:ascii="Times New Roman" w:hAnsi="Times New Roman"/>
          <w:sz w:val="20"/>
          <w:u w:val="single"/>
        </w:rPr>
        <w:t>SEC</w:t>
      </w:r>
      <w:r>
        <w:rPr>
          <w:rFonts w:ascii="Times New Roman" w:hAnsi="Times New Roman"/>
          <w:sz w:val="20"/>
        </w:rPr>
        <w:t>”), in accordance with the provisions of the Securities Act of 1933, as amended (the “</w:t>
      </w:r>
      <w:r>
        <w:rPr>
          <w:rFonts w:ascii="Times New Roman" w:hAnsi="Times New Roman"/>
          <w:sz w:val="20"/>
          <w:u w:val="single"/>
        </w:rPr>
        <w:t>1933 Act</w:t>
      </w:r>
      <w:r>
        <w:rPr>
          <w:rFonts w:ascii="Times New Roman" w:hAnsi="Times New Roman"/>
          <w:sz w:val="20"/>
        </w:rPr>
        <w:t xml:space="preserve">”), and the applicable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promises made herein and for other good and valuable consideration, the receipt and sufficiency of which are hereby acknowledged,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Agreement, the following terms shall have the meanings set forth below: </w:t>
      </w:r>
    </w:p>
    <w:p>
      <w:pPr>
        <w:pStyle w:val="TextBody"/>
        <w:bidi w:val="0"/>
        <w:spacing w:before="120" w:after="0"/>
        <w:jc w:val="left"/>
        <w:rPr/>
      </w:pPr>
      <w:r>
        <w:rPr/>
        <w:t>“</w:t>
      </w:r>
      <w:r>
        <w:rPr>
          <w:rFonts w:ascii="Times New Roman" w:hAnsi="Times New Roman"/>
          <w:sz w:val="20"/>
          <w:u w:val="single"/>
        </w:rPr>
        <w:t>1933 Act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1934 Act</w:t>
      </w:r>
      <w:r>
        <w:rPr>
          <w:rFonts w:ascii="Times New Roman" w:hAnsi="Times New Roman"/>
          <w:sz w:val="20"/>
        </w:rPr>
        <w:t xml:space="preserve">” means the Securities Exchange Act of 1934, as amended, or any successor statute, and the rules and regulations promulgated thereunder. </w:t>
      </w:r>
    </w:p>
    <w:p>
      <w:pPr>
        <w:pStyle w:val="TextBody"/>
        <w:bidi w:val="0"/>
        <w:spacing w:before="240" w:after="0"/>
        <w:jc w:val="left"/>
        <w:rPr/>
      </w:pPr>
      <w:r>
        <w:rPr/>
        <w:t>“</w:t>
      </w:r>
      <w:r>
        <w:rPr>
          <w:rFonts w:ascii="Times New Roman" w:hAnsi="Times New Roman"/>
          <w:sz w:val="20"/>
          <w:u w:val="single"/>
        </w:rPr>
        <w:t>Actions</w:t>
      </w:r>
      <w:r>
        <w:rPr>
          <w:rFonts w:ascii="Times New Roman" w:hAnsi="Times New Roman"/>
          <w:sz w:val="20"/>
        </w:rPr>
        <w:t xml:space="preserve">” has the meaning set forth in </w:t>
      </w:r>
      <w:r>
        <w:rPr>
          <w:rFonts w:ascii="Times New Roman" w:hAnsi="Times New Roman"/>
          <w:sz w:val="20"/>
          <w:u w:val="single"/>
        </w:rPr>
        <w:t>Section 3.6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which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xml:space="preserve">”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Execution Date</w:t>
      </w:r>
      <w:r>
        <w:rPr>
          <w:rFonts w:ascii="Times New Roman" w:hAnsi="Times New Roman"/>
          <w:sz w:val="20"/>
        </w:rPr>
        <w:t xml:space="preserve">” has the meaning set forth in the Lease Termination Agreement.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(i) the assets, liabilities, results of operations, financial condition or business of the Company taken as a whole, (ii) the legality or enforceability of any of the Transaction Documents (as defined herein), (iii) the authority or ability of the Company to perform its obligations under the Transaction Documents, including the issuance and delivery of the Shares as contemplated hereby, or (iv) the rights and remedies of the Landlord under the Transaction Documents;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any change in the Company’s stock price or trading volume shall not, by itself, constitute a Material Adverse Effect, except that the underlying causes of such change may be taken into account in determining whether a Material Adverse Effect has occurred, and (B) any adverse effect resulting solely from the announcement or pendency of the Lease Termination Agreement or this Agreement or the transactions contemplated thereunder or hereunder shall not, by itself, constitute a Material Adverse Effect. </w:t>
      </w:r>
    </w:p>
    <w:p>
      <w:pPr>
        <w:pStyle w:val="TextBody"/>
        <w:bidi w:val="0"/>
        <w:spacing w:before="240" w:after="0"/>
        <w:jc w:val="left"/>
        <w:rPr/>
      </w:pPr>
      <w:r>
        <w:rPr/>
        <w:t>“</w:t>
      </w:r>
      <w:r>
        <w:rPr>
          <w:rFonts w:ascii="Times New Roman" w:hAnsi="Times New Roman"/>
          <w:sz w:val="20"/>
          <w:u w:val="single"/>
        </w:rPr>
        <w:t>Material Contract</w:t>
      </w:r>
      <w:r>
        <w:rPr>
          <w:rFonts w:ascii="Times New Roman" w:hAnsi="Times New Roman"/>
          <w:sz w:val="20"/>
        </w:rPr>
        <w:t xml:space="preserve">” means the contracts, instruments or other agreements that have been filed as an exhibit to the SEC Documents pursuant to Item 601(b)(10) of Regulation S-K and that are material to the business of the Company as of the date hereof.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Global Select Market.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partnership, limited liability company, trust, business trust, association, joint stock company, joint venture, sole proprietorship, unincorporated organization, governmental authority or any other form of entity not specifically listed herein. </w:t>
      </w:r>
    </w:p>
    <w:p>
      <w:pPr>
        <w:pStyle w:val="TextBody"/>
        <w:bidi w:val="0"/>
        <w:spacing w:before="240" w:after="0"/>
        <w:jc w:val="left"/>
        <w:rPr/>
      </w:pPr>
      <w:r>
        <w:rPr/>
        <w:t>“</w:t>
      </w:r>
      <w:r>
        <w:rPr>
          <w:rFonts w:ascii="Times New Roman" w:hAnsi="Times New Roman"/>
          <w:sz w:val="20"/>
          <w:u w:val="single"/>
        </w:rPr>
        <w:t>Proceeding</w:t>
      </w:r>
      <w:r>
        <w:rPr>
          <w:rFonts w:ascii="Times New Roman" w:hAnsi="Times New Roman"/>
          <w:sz w:val="20"/>
        </w:rPr>
        <w:t xml:space="preserve">” means an action, claim, suit, investigation or proceeding (including, without limitation, an informal investigation or partial proceeding, such as a deposition), whether commenced or threatened.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means the prospectus filed with the Registration Statement as supplemented by the Prospectus Supplement. </w:t>
      </w:r>
    </w:p>
    <w:p>
      <w:pPr>
        <w:pStyle w:val="TextBody"/>
        <w:bidi w:val="0"/>
        <w:spacing w:before="240" w:after="0"/>
        <w:jc w:val="left"/>
        <w:rPr/>
      </w:pPr>
      <w:r>
        <w:rPr/>
        <w:t>“</w:t>
      </w:r>
      <w:r>
        <w:rPr>
          <w:rFonts w:ascii="Times New Roman" w:hAnsi="Times New Roman"/>
          <w:sz w:val="20"/>
          <w:u w:val="single"/>
        </w:rPr>
        <w:t>Prospectus Supplement</w:t>
      </w:r>
      <w:r>
        <w:rPr>
          <w:rFonts w:ascii="Times New Roman" w:hAnsi="Times New Roman"/>
          <w:sz w:val="20"/>
        </w:rPr>
        <w:t xml:space="preserve">” means the prospectus supplement to the Prospectus complying with Rule 424(b) of the 1933 Act that is filed with the SEC under the Registration Statement setting forth the terms of the issuance of the Shares to the Landlord, the number of shares being issued, the consideration therefor, and such other information as may be required under applicable rules and regulations of the SEC.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means the registration statement on Form S-3 (File No. 333-273794), filed by the Company with the SEC, which registration statement is effective as of the date hereof, as amended. </w:t>
      </w:r>
    </w:p>
    <w:p>
      <w:pPr>
        <w:pStyle w:val="TextBody"/>
        <w:bidi w:val="0"/>
        <w:spacing w:before="240" w:after="0"/>
        <w:jc w:val="left"/>
        <w:rPr/>
      </w:pPr>
      <w:r>
        <w:rPr/>
        <w:t>“</w:t>
      </w:r>
      <w:r>
        <w:rPr>
          <w:rFonts w:ascii="Times New Roman" w:hAnsi="Times New Roman"/>
          <w:sz w:val="20"/>
          <w:u w:val="single"/>
        </w:rPr>
        <w:t>SEC Documents</w:t>
      </w:r>
      <w:r>
        <w:rPr>
          <w:rFonts w:ascii="Times New Roman" w:hAnsi="Times New Roman"/>
          <w:sz w:val="20"/>
        </w:rPr>
        <w:t xml:space="preserve">” has the meaning set forth in </w:t>
      </w:r>
      <w:r>
        <w:rPr>
          <w:rFonts w:ascii="Times New Roman" w:hAnsi="Times New Roman"/>
          <w:sz w:val="20"/>
          <w:u w:val="single"/>
        </w:rPr>
        <w:t>Section 3.7</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Shares</w:t>
      </w:r>
      <w:r>
        <w:rPr>
          <w:rFonts w:ascii="Times New Roman" w:hAnsi="Times New Roman"/>
          <w:sz w:val="20"/>
        </w:rPr>
        <w:t xml:space="preserve">” has the meaning set forth in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Share Issuance</w:t>
      </w:r>
      <w:r>
        <w:rPr>
          <w:rFonts w:ascii="Times New Roman" w:hAnsi="Times New Roman"/>
          <w:sz w:val="20"/>
        </w:rPr>
        <w:t xml:space="preserve">” has the meaning set forth in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Share Issuance Date</w:t>
      </w:r>
      <w:r>
        <w:rPr>
          <w:rFonts w:ascii="Times New Roman" w:hAnsi="Times New Roman"/>
          <w:sz w:val="20"/>
        </w:rPr>
        <w:t xml:space="preserve">” has the meaning set forth in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has the meaning set forth in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the Shares</w:t>
      </w:r>
      <w:r>
        <w:rPr>
          <w:rFonts w:ascii="Times New Roman" w:hAnsi="Times New Roman"/>
          <w:sz w:val="20"/>
        </w:rPr>
        <w:t>. Upon the terms and subject to the conditions set forth herein, the Company agrees to issue to the Landlord a number of shares of Common Stock equal to $500,000 divided by the closing price of a share of Common Stock on the Nasdaq on the Execution Date, rounded up to the nearest whole share (the “</w:t>
      </w:r>
      <w:r>
        <w:rPr>
          <w:rFonts w:ascii="Times New Roman" w:hAnsi="Times New Roman"/>
          <w:sz w:val="20"/>
          <w:u w:val="single"/>
        </w:rPr>
        <w:t>Shares</w:t>
      </w:r>
      <w:r>
        <w:rPr>
          <w:rFonts w:ascii="Times New Roman" w:hAnsi="Times New Roman"/>
          <w:sz w:val="20"/>
        </w:rPr>
        <w:t>”), and the Landlord agrees to accept the Shares as payment under the Lease Termination Agreement (the “</w:t>
      </w:r>
      <w:r>
        <w:rPr>
          <w:rFonts w:ascii="Times New Roman" w:hAnsi="Times New Roman"/>
          <w:sz w:val="20"/>
          <w:u w:val="single"/>
        </w:rPr>
        <w:t>Share Issuance</w:t>
      </w:r>
      <w:r>
        <w:rPr>
          <w:rFonts w:ascii="Times New Roman" w:hAnsi="Times New Roman"/>
          <w:sz w:val="20"/>
        </w:rPr>
        <w:t>”), subject to the terms and conditions of this Agreement. The Share Issuance shall occur no later than five business days after the Execution Date (the “</w:t>
      </w:r>
      <w:r>
        <w:rPr>
          <w:rFonts w:ascii="Times New Roman" w:hAnsi="Times New Roman"/>
          <w:sz w:val="20"/>
          <w:u w:val="single"/>
        </w:rPr>
        <w:t>Share Issuance Date</w:t>
      </w:r>
      <w:r>
        <w:rPr>
          <w:rFonts w:ascii="Times New Roman" w:hAnsi="Times New Roman"/>
          <w:sz w:val="20"/>
        </w:rPr>
        <w:t xml:space="preserve">”). The Shares shall be issued in book entry form and shall be freely tradeable upon issuance without restriction. Prior to the Share Issuance, the Company shall file the Prospectus Supplement with the SEC. The Company shall provide the Landlord with a copy of the Prospectus Supplement for its review and comment not less than two (2) business days prior to the filing thereof with the SEC, shall consider in good faith any comments of the Landlord thereon, and shall not file such Prospectus Supplement with the SEC without the Landlord’s prior written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the product of (i) the number of Shares issued to the Landlord and (ii) the closing price of the Common Stock on Nasdaq on the date the Shares are actually issued to the Landlord is less than $500,000.00, , then the Company shall pay to the Landlord, in cash, by wire transfer of immediately available funds, an amount equal to the difference between (a) $500,000 and (b) the value of the Shares issued to the Landlord, calculated using the closing price of a share of Common Stock on Nasdaq on the date of actual issuance, such that the aggregate value of the Shares and such cash payment received by the Landlord equals $500,000; provided, however, that the Company shall have no obligation to make such cash payment to the extent such shortfall results from a delay in the issuance of the Shares caused by the Landlord’s failure to provide its consent as set forth in Section 2.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the Landlord as of the date hereof and the Share Issuance Date: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Good Standing and Qualification</w:t>
      </w:r>
      <w:r>
        <w:rPr>
          <w:rFonts w:ascii="Times New Roman" w:hAnsi="Times New Roman"/>
          <w:sz w:val="20"/>
        </w:rPr>
        <w:t xml:space="preserve">. The Company is an entity duly incorporated, validly existing and in good standing under the laws of the State of Delaware, with the requisite corporate power and authority to own or lease and use its properties and assets, to execute and deliver this Agreement, to carry out the provisions of this Agreement, to issue the Shares and to carry on its business as presently conducted as described in the SEC Documents. The Company is not in violation or default in any material respect of any of the provisions of its certificate of incorporation or bylaws. The Company is duly qualified to do business as a foreign entity and is in good standing (to the extent such concept exists in the relevant jurisdiction) in each jurisdiction in which the conduct of its business or its ownership or leasing of property makes such qualification necessary, except to the extent any failure to so qualify has not had and would not reasonably be expected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Authorization</w:t>
      </w:r>
      <w:r>
        <w:rPr>
          <w:rFonts w:ascii="Times New Roman" w:hAnsi="Times New Roman"/>
          <w:sz w:val="20"/>
        </w:rPr>
        <w:t>. The Company has the requisite corporate power and authority and has taken all requisite corporate action necessary for, and no further action on the part of the Company, its officers, directors and stockholders is necessary for, (i) the authorization, execution and delivery of this Agreement, the Lease Termination Agreement, and each of the other agreements to which it is a party or by which it is bound and which is entered into by the parties hereto in connection with the transactions contemplated hereby and thereby (collectively, the “</w:t>
      </w:r>
      <w:r>
        <w:rPr>
          <w:rFonts w:ascii="Times New Roman" w:hAnsi="Times New Roman"/>
          <w:sz w:val="20"/>
          <w:u w:val="single"/>
        </w:rPr>
        <w:t>Transaction Documents</w:t>
      </w:r>
      <w:r>
        <w:rPr>
          <w:rFonts w:ascii="Times New Roman" w:hAnsi="Times New Roman"/>
          <w:sz w:val="20"/>
        </w:rPr>
        <w:t xml:space="preserve">”), (ii) the authorization of the performance of all obligations of the Company under the Transaction Documents, and (iii) the authorization, issuance and delivery of the Shares in accordance with the terms hereof. Each of the Transaction Documents has been duly executed and delivered by the Company and, assuming due authorization, execution and delivery by the Landlord, if a party thereto, constitutes the valid and binding obligation of the Company enforceable in accordance with its terms, except (a) as limited by applicable bankruptcy, insolvency, reorganization, moratorium or other laws of general application affecting enforcement of creditors’ rights, (b) general principles of equity that restrict the availability of equitable remedies and (c) to the extent that the enforceability of indemnification provisions may be limited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Valid Issuance</w:t>
      </w:r>
      <w:r>
        <w:rPr>
          <w:rFonts w:ascii="Times New Roman" w:hAnsi="Times New Roman"/>
          <w:sz w:val="20"/>
        </w:rPr>
        <w:t xml:space="preserve">. The Shares have been duly and validly authorized and, when issued and paid for pursuant to this Agreement and the Lease Termination Agreement, will be validly issued, fully paid and nonassessable, and shall be free and clear of all security interests, liens, other encumbrances and restrictions (other than those created by the Landlord). The Shares, when issued and delivered as contemplated hereby, will be issued pursuant to the Registration Statement and in accordance with applicable federal and state securities laws, and will be freely transferable by the Landlord under the 1933 Act. The issuance of the Shares is not subject to any preemptive rights, rights of first refusal or other similar rights of any stockholder of the Company or other person. No holder of the Shares will be subject to personal liability solely by reason of being such a holder.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Consents</w:t>
      </w:r>
      <w:r>
        <w:rPr>
          <w:rFonts w:ascii="Times New Roman" w:hAnsi="Times New Roman"/>
          <w:sz w:val="20"/>
        </w:rPr>
        <w:t xml:space="preserve">. The execution, delivery and performance by the Company of this Agreement and the issuance of the Shares require no consent of, action by or in respect of, or filing with, any Person, governmental body, agency, or official other than filings that have been made pursuant to applicable state securities laws and post-sale filings pursuant to applicable state and federal securities laws and the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No Conflict, Breach, Violation or Default</w:t>
      </w:r>
      <w:r>
        <w:rPr>
          <w:rFonts w:ascii="Times New Roman" w:hAnsi="Times New Roman"/>
          <w:sz w:val="20"/>
        </w:rPr>
        <w:t xml:space="preserve">. The execution, delivery and performance of this Agreement by the Company and the issuance of the Shares in accordance with the provisions thereof will not (i) conflict with or result in a breach or violation of (a) any of the terms and provisions of, or constitute a default under, the Company’s Restated Certificate of Incorporation or Amended and Restated Bylaws, both as in effect on the date hereof (true and complete copies of which have been made available to the Landlord through the EDGAR system), or (b) assuming the accuracy of the representations and warranties in </w:t>
      </w:r>
      <w:r>
        <w:rPr>
          <w:rFonts w:ascii="Times New Roman" w:hAnsi="Times New Roman"/>
          <w:sz w:val="20"/>
          <w:u w:val="single"/>
        </w:rPr>
        <w:t>Section 4</w:t>
      </w:r>
      <w:r>
        <w:rPr>
          <w:rFonts w:ascii="Times New Roman" w:hAnsi="Times New Roman"/>
          <w:sz w:val="20"/>
        </w:rPr>
        <w:t xml:space="preserve">, any applicable statute, rule, regulation or order of any governmental agency or body or any court, domestic or foreign, having jurisdiction over the Company, or any of their assets or properties, or (ii) conflict with, or constitute a default (or an event that with notice or lapse of time or both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would become a default) under, result in the creation of any lien, encumbrance or other adverse claim upon any of the properties or assets of the Company or give to others any rights of termination, amendment, acceleration or cancellation (with or without notice, lapse of time or both) of, any Material Contract except, in the case of clauses (i)(b) and (ii) only, for such conflicts, breaches, violations and defaults as have not and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Litigation</w:t>
      </w:r>
      <w:r>
        <w:rPr>
          <w:rFonts w:ascii="Times New Roman" w:hAnsi="Times New Roman"/>
          <w:sz w:val="20"/>
        </w:rPr>
        <w:t>. Except as set forth in the SEC Documents and as would not reasonably be expected to have a Material Adverse Effect, there is no action, suit, inquiry, notice of violation, proceeding or investigation (collectively, “</w:t>
      </w:r>
      <w:r>
        <w:rPr>
          <w:rFonts w:ascii="Times New Roman" w:hAnsi="Times New Roman"/>
          <w:sz w:val="20"/>
          <w:u w:val="single"/>
        </w:rPr>
        <w:t>Actions</w:t>
      </w:r>
      <w:r>
        <w:rPr>
          <w:rFonts w:ascii="Times New Roman" w:hAnsi="Times New Roman"/>
          <w:sz w:val="20"/>
        </w:rPr>
        <w:t xml:space="preserve">”) pending or, to the knowledge of the Company, threatened against or affecting the Company, any subsidiary of the Company or any of their respective properties before or by any court, arbitrator, governmental or administrative agency or regulatory authority (federal, state, county, local or foreign). None of the Actions set forth in the SEC Documents (i) adversely affects or challenges the legality, validity or enforceability of any of the Transaction Documents or the Shares or (ii) could, if there were an unfavorable decision, have or reasonably be expected to result in a Material Adverse Effect. Except as would not reasonably be expected to have a Material Adverse Effect, neither the Company nor any of its subsidiaries, nor any director or officer thereof, is or has been the subject of any Action involving a claim of violation of or liability under federal or state securities laws or a claim of breach of fiduciary duty. Except as set forth in the SEC Documents and as has not had and would not reasonably be expected to have a Material Adverse Effect, there has not been, and to the knowledge of the Company, there is not pending or contemplated, any investigation by the SEC involving the Company or any current or former director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SEC Documents; Financial Statements</w:t>
      </w:r>
      <w:r>
        <w:rPr>
          <w:rFonts w:ascii="Times New Roman" w:hAnsi="Times New Roman"/>
          <w:sz w:val="20"/>
        </w:rPr>
        <w:t>. Since January 1, 2025, the Company has filed in a timely manner all documents that the Company was required to file with the SEC under Sections 13, 14(a) and 15(d) of the 1934 Act (the foregoing materials, including the exhibits thereto and documents incorporated by reference therein, together with the Prospectus, being collectively referred to herein as the “</w:t>
      </w:r>
      <w:r>
        <w:rPr>
          <w:rFonts w:ascii="Times New Roman" w:hAnsi="Times New Roman"/>
          <w:sz w:val="20"/>
          <w:u w:val="single"/>
        </w:rPr>
        <w:t>SEC Documents</w:t>
      </w:r>
      <w:r>
        <w:rPr>
          <w:rFonts w:ascii="Times New Roman" w:hAnsi="Times New Roman"/>
          <w:sz w:val="20"/>
        </w:rPr>
        <w:t xml:space="preserve">”). As of their respective filing dates (or, if amended prior to the date of this Agreement, when amended), each SEC Document complied as to form in all material respects with the requirements of the 1934 Act and the rules and regulations of the SEC promulgated thereunder. None of the SEC Documents as of their respective dates contained any untrue statement of material fact or omitted to state a material fact required to be stated therein or necessary to make the statements made therein, in light of the circumstances under which they were made, not misleading. The consolidated financial statements of the Company included in the SEC Documents present fairly the financial condition, results of operations and cash flows of the Company on a consolidated basis as of the dates and for the periods indicated, complied as to form with the applicable accounting requirements of the 1934 Act and were prepared in conformity with United States generally accepted accounting principles applied on a consistent basis throughout the periods involved (except as otherwise noted therein).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Compliance with Nasdaq Continued Listing Requirements</w:t>
      </w:r>
      <w:r>
        <w:rPr>
          <w:rFonts w:ascii="Times New Roman" w:hAnsi="Times New Roman"/>
          <w:sz w:val="20"/>
        </w:rPr>
        <w:t xml:space="preserve">. The Company is in compliance with applicable Nasdaq Stock Market, LLC continued listing requirements. There are no proceedings pending or, to the Company’s knowledge, threatened against the Company relating to the continued listing of the Common Stock on Nasdaq and the Company has not received any notice of the delisting of the Common Stock from Nasdaq.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Registration Statement</w:t>
      </w:r>
      <w:r>
        <w:rPr>
          <w:rFonts w:ascii="Times New Roman" w:hAnsi="Times New Roman"/>
          <w:sz w:val="20"/>
        </w:rPr>
        <w:t xml:space="preserve">. The Company has prepared and filed the Registration Statement in conformity with the requirements of the 1933 Act, which became effective on August 15, 2023, including the Prospectus, and such amendments and supplements thereto as may have been required to the date of this Agreement. The Registration Statement is effective under the 1933 Act and no stop order preventing or suspending the effectiveness of the Registration Statement or suspending or preventing the use of the Prospectus has been issued by the SEC and no proceedings for that purpose have been instituted or, to the knowledge of the Company, are threatened by the SEC. The Company, if required by the rules and regulations of the SEC, has filed the Prospectus with the SEC pursuant to Rule 424(b). At the time the Registration Statement and any amendments thereto became effective, at the date of this Agreement and at the Share Issuance Date, the Registration Statement and any amendments thereto conformed and will conform in all material respects to the requirements of the 1933 Act and did not and will not contain any untrue statement of a material fact or omit to state any material fact required to be stated therein or necessary to make the statements therein not misleading. As of its date and at the Share Issuance Date, the Prospectus complied and will comply in all material respects with the requirements of the 1933 Act and did not and will not contain any untrue statement of a material fact or omit to state any material fact required to be stated therein or necessary to make the statements therein, in light of the circumstances under which they were made, not misleading. The Company was at the time of the filing of the Registration Statement eligible to use Form S-3. The Company is eligible to use Form S-3 under the 1933 Act and it meets the transaction requirements as set forth in General Instruction I.B.1 of Form S-3.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Disclosure</w:t>
      </w:r>
      <w:r>
        <w:rPr>
          <w:rFonts w:ascii="Times New Roman" w:hAnsi="Times New Roman"/>
          <w:sz w:val="20"/>
        </w:rPr>
        <w:t xml:space="preserve">. Except with respect to the material terms and conditions of the transactions contemplated by the Transaction Documents, the Company confirms that neither it nor any other Person acting on its behalf has provided the Landlord or its agents or counsel with any information that it believes constitutes or might constitute material, non-public information which is not otherwise disclosed in the Prospectus. The Company understands and confirms that the Landlord will rely on the foregoing representation in effecting transactions in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 xml:space="preserve">Representations and Warranties of the </w:t>
      </w:r>
      <w:r>
        <w:rPr>
          <w:rFonts w:ascii="Times New Roman" w:hAnsi="Times New Roman"/>
          <w:sz w:val="20"/>
        </w:rPr>
        <w:t xml:space="preserve">Landlord. The Landlord hereby represents and warrants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and Existence</w:t>
      </w:r>
      <w:r>
        <w:rPr>
          <w:rFonts w:ascii="Times New Roman" w:hAnsi="Times New Roman"/>
          <w:sz w:val="20"/>
        </w:rPr>
        <w:t xml:space="preserve">. The Landlord is a validly existing entity organized under the laws of Delaware and has all requisite corporate power and authority to enter into and consummate the transactions contemplated by this Agreement and to carry out its obligations hereunder, and to receive the Shares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The Landlord has the requisite power and authority and has taken all requisite action necessary for, and no further action on the part of the Landlord, its officers, managers or members is necessary for, (i) the authorization, execution and delivery of this Agreement and (ii) the authorization of the performance of all obligations of the Landlord hereunder. This Agreement has been duly executed and delivered by the Landlord and, assuming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authorization, execution and delivery by the Company, constitutes valid and binding obligations of the Landlord enforceable in accordance with their terms, except (a) as limited by applicable bankruptcy, insolvency, reorganization, moratorium or other laws of general application affecting enforcement of creditors’ rights, (b) general principles of equity that restrict the availability of equitable remedies and (c) to the extent that the enforceability of indemnification provisions may be limited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by the Landlord of this Agreement and the consummation by the Landlord of the transactions contemplated hereby will not (i) result in a violation of the organizational documents of the Landlord or (ii) conflict with, or constitute a default (or an event which with notice or lapse of time or both would become a default) under, or give to others any rights of termination, amendment, acceleration or cancellation of, any agreement, indenture or instrument to which the Landlord is a party, or (iii) result in a violation of any law, rule, regulation, order, judgment or decree (including federal and state securities laws) applicable to the Landlord, except in the case of clauses (ii) and (iii) above, for such conflicts, defaults, rights or violations which would not, individually or in the aggregate, reasonably be expected to have a material adverse effect on the ability of the Landlord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to Share Issuance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Conditions to the Landlord’s Obligations</w:t>
      </w:r>
      <w:r>
        <w:rPr>
          <w:rFonts w:ascii="Times New Roman" w:hAnsi="Times New Roman"/>
          <w:sz w:val="20"/>
        </w:rPr>
        <w:t xml:space="preserve">. The obligation of the Landlord to accept the Shares at the Share Issuance is subject to the fulfillment to the satisfaction of the Landlord on or prior to the Share Issuance Date of the following conditions, any of which may be waived by the Landlord: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performed in all material respects all obligations and covenants required to be performed by the Company pursuant to the Transaction Documents as of the Share Issuance Date. </w:t>
      </w:r>
    </w:p>
    <w:p>
      <w:pPr>
        <w:pStyle w:val="TextBody"/>
        <w:bidi w:val="0"/>
        <w:spacing w:before="240" w:after="0"/>
        <w:jc w:val="left"/>
        <w:rPr>
          <w:rFonts w:ascii="Times New Roman" w:hAnsi="Times New Roman"/>
          <w:sz w:val="20"/>
        </w:rPr>
      </w:pPr>
      <w:r>
        <w:rPr>
          <w:rFonts w:ascii="Times New Roman" w:hAnsi="Times New Roman"/>
          <w:sz w:val="20"/>
        </w:rPr>
        <w:t xml:space="preserve">(b) The Shares shall have been registered under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representations and warranties made by the Company in </w:t>
      </w:r>
      <w:r>
        <w:rPr>
          <w:rFonts w:ascii="Times New Roman" w:hAnsi="Times New Roman"/>
          <w:sz w:val="20"/>
          <w:u w:val="single"/>
        </w:rPr>
        <w:t>Section 3</w:t>
      </w:r>
      <w:r>
        <w:rPr>
          <w:rFonts w:ascii="Times New Roman" w:hAnsi="Times New Roman"/>
          <w:sz w:val="20"/>
        </w:rPr>
        <w:t xml:space="preserve"> hereof shall be true and correct in all material respects as of the Share Issuance Date.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have obtained any and all consents, permits, approvals, registrations and waivers necessary for issuance of the Shares and the consummation of the other transactions contemplated by this Agreement, all of which shall be in full force and effect, including without limitation, notification of listing of additional shares with Nasdaq. </w:t>
      </w:r>
    </w:p>
    <w:p>
      <w:pPr>
        <w:pStyle w:val="TextBody"/>
        <w:bidi w:val="0"/>
        <w:spacing w:before="240" w:after="0"/>
        <w:jc w:val="left"/>
        <w:rPr>
          <w:rFonts w:ascii="Times New Roman" w:hAnsi="Times New Roman"/>
          <w:sz w:val="20"/>
        </w:rPr>
      </w:pPr>
      <w:r>
        <w:rPr>
          <w:rFonts w:ascii="Times New Roman" w:hAnsi="Times New Roman"/>
          <w:sz w:val="20"/>
        </w:rPr>
        <w:t xml:space="preserve">(e)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 stop order or suspension of trading shall have been imposed by Nasdaq, the SEC or any other governmental or regulatory body with respect to public trading in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have delivered or caused to be delivered to the Landlord the Prospectus (which may be delivered in accordance with Rule 172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(h) The Shares shall be issued in book-entry form without any restrictive legend and shall not bear any stop-transfer instructions with the Company’s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(i) There shall have been no Material Adverse Effect with respect to the Company since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Conditions to Obligations of the Company</w:t>
      </w:r>
      <w:r>
        <w:rPr>
          <w:rFonts w:ascii="Times New Roman" w:hAnsi="Times New Roman"/>
          <w:sz w:val="20"/>
        </w:rPr>
        <w:t xml:space="preserve">. The Company’s obligation to issue the Shares at the Share Issuance is subject to the fulfillment to the satisfaction of the Company on or prior to the Share Issuance Date of the following conditions, any of which may be waived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(a) The Landlord shall have performed in all material respects all obligations and covenants required to be performed by the Landlord pursuant to the Lease Termination Agreement and this Agreement as of the Share Issuance Date.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made by the Landlord in </w:t>
      </w:r>
      <w:r>
        <w:rPr>
          <w:rFonts w:ascii="Times New Roman" w:hAnsi="Times New Roman"/>
          <w:sz w:val="20"/>
          <w:u w:val="single"/>
        </w:rPr>
        <w:t>Section 4</w:t>
      </w:r>
      <w:r>
        <w:rPr>
          <w:rFonts w:ascii="Times New Roman" w:hAnsi="Times New Roman"/>
          <w:sz w:val="20"/>
        </w:rPr>
        <w:t xml:space="preserve"> hereof shall be true and correct in all material respects as of the Share Issuance Date. </w:t>
      </w:r>
    </w:p>
    <w:p>
      <w:pPr>
        <w:pStyle w:val="TextBody"/>
        <w:bidi w:val="0"/>
        <w:spacing w:before="240" w:after="0"/>
        <w:jc w:val="left"/>
        <w:rPr>
          <w:rFonts w:ascii="Times New Roman" w:hAnsi="Times New Roman"/>
          <w:sz w:val="20"/>
        </w:rPr>
      </w:pPr>
      <w:r>
        <w:rPr>
          <w:rFonts w:ascii="Times New Roman" w:hAnsi="Times New Roman"/>
          <w:sz w:val="20"/>
        </w:rPr>
        <w:t xml:space="preserve">(c) The Landlord shall have obtained any and all consents, permits, approvals, registrations and waivers necessary for the acceptance of the Shares by the Landlord and the consummation of the other transactions contemplated by this Agreement,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(d)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No stop order or suspension of trading shall have been imposed by Nasdaq, the SEC or any other governmental or regulatory body with respect to public trading in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Termination of Obligations to Effect Share Issuance; Effects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obligations of the Company, on the one hand, and the Landlord, on the other hand, under this Agreement shall terminate as follows: </w:t>
      </w:r>
    </w:p>
    <w:p>
      <w:pPr>
        <w:pStyle w:val="TextBody"/>
        <w:bidi w:val="0"/>
        <w:spacing w:before="120" w:after="0"/>
        <w:jc w:val="left"/>
        <w:rPr>
          <w:rFonts w:ascii="Times New Roman" w:hAnsi="Times New Roman"/>
          <w:sz w:val="20"/>
        </w:rPr>
      </w:pPr>
      <w:r>
        <w:rPr>
          <w:rFonts w:ascii="Times New Roman" w:hAnsi="Times New Roman"/>
          <w:sz w:val="20"/>
        </w:rPr>
        <w:t xml:space="preserve">(i) Upon the mutual written consent of the Company and Landlord;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termination of the Lease Termination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(iii) By the Company if any of the conditions set forth in </w:t>
      </w:r>
      <w:r>
        <w:rPr>
          <w:rFonts w:ascii="Times New Roman" w:hAnsi="Times New Roman"/>
          <w:sz w:val="20"/>
          <w:u w:val="single"/>
        </w:rPr>
        <w:t>Section 5.2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(iv) By the Landlord if any of the conditions set forth in </w:t>
      </w:r>
      <w:r>
        <w:rPr>
          <w:rFonts w:ascii="Times New Roman" w:hAnsi="Times New Roman"/>
          <w:sz w:val="20"/>
          <w:u w:val="single"/>
        </w:rPr>
        <w:t>Section 5.1</w:t>
      </w:r>
      <w:r>
        <w:rPr>
          <w:rFonts w:ascii="Times New Roman" w:hAnsi="Times New Roman"/>
          <w:sz w:val="20"/>
        </w:rPr>
        <w:t xml:space="preserve"> shall have become incapable of fulfillment, and shall not have been waived by the Landlord; or </w:t>
      </w:r>
    </w:p>
    <w:p>
      <w:pPr>
        <w:pStyle w:val="TextBody"/>
        <w:bidi w:val="0"/>
        <w:spacing w:before="240" w:after="0"/>
        <w:jc w:val="left"/>
        <w:rPr>
          <w:rFonts w:ascii="Times New Roman" w:hAnsi="Times New Roman"/>
          <w:sz w:val="20"/>
        </w:rPr>
      </w:pPr>
      <w:r>
        <w:rPr>
          <w:rFonts w:ascii="Times New Roman" w:hAnsi="Times New Roman"/>
          <w:sz w:val="20"/>
        </w:rPr>
        <w:t xml:space="preserve">(v) By the Landlord, if the Share Issuance has not occurred by the Share Issuance Date, unless such delay is caused solely by the Landlord.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of clauses (i) and (ii) above, the party seeking to terminate its obligation to effect the Share Issuance shall not then be in breach of any of its representations, warranties, covenants or agreements contained in this Agreement if such breach has resulted in the circumstances giving rise to such party’s seeking to terminate its obligation to effect the Share Issuance.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w:t>
      </w:r>
      <w:r>
        <w:rPr>
          <w:rFonts w:ascii="Times New Roman" w:hAnsi="Times New Roman"/>
          <w:sz w:val="20"/>
          <w:u w:val="single"/>
        </w:rPr>
        <w:t>Section 5.3</w:t>
      </w:r>
      <w:r>
        <w:rPr>
          <w:rFonts w:ascii="Times New Roman" w:hAnsi="Times New Roman"/>
          <w:sz w:val="20"/>
        </w:rPr>
        <w:t xml:space="preserve"> shall be deemed to release any party from any liability for any breach by such party of the terms and provisions of this Agreement or to impair the right of any party to compel specific performance by any other party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Landlord terminates this Agreement pursuant to Section 5.3(a)(iv) or (v), the Company shall pay to the Landlord, in cash, an amount equal to $500,000.00 (representing the value of the Shares that would have been issued) within two (2) business days of such termination, by wire transfer of immediately available funds, in full satisfaction of the equity issuance component of the Total Termination Amount (as defined in the Lease Termination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Successors and Assigns</w:t>
      </w:r>
      <w:r>
        <w:rPr>
          <w:rFonts w:ascii="Times New Roman" w:hAnsi="Times New Roman"/>
          <w:sz w:val="20"/>
        </w:rPr>
        <w:t xml:space="preserve">. This Agreement may not be assigned by a party hereto without the prior written consent of the Company or the Landlord,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Landlord may assign its rights and delegate its duties hereunder in whole or in part to an Affiliate without the prior written consent of the Company, provided such assignee agrees in writing to be bound by the provisions hereof that apply to the Landlord. The provisions of this Agreement shall inure to the benefit of and be binding upon the respective permitted successors and assigns of the parties.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Counterparts</w:t>
      </w:r>
      <w:r>
        <w:rPr>
          <w:rFonts w:ascii="Times New Roman" w:hAnsi="Times New Roman"/>
          <w:sz w:val="20"/>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Titles and Subtitles</w:t>
      </w:r>
      <w:r>
        <w:rPr>
          <w:rFonts w:ascii="Times New Roman" w:hAnsi="Times New Roman"/>
          <w:sz w:val="20"/>
        </w:rPr>
        <w:t xml:space="preserve">. The titles and subtitles used in this Agreement are used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Notices</w:t>
      </w:r>
      <w:r>
        <w:rPr>
          <w:rFonts w:ascii="Times New Roman" w:hAnsi="Times New Roman"/>
          <w:sz w:val="20"/>
        </w:rPr>
        <w:t xml:space="preserve">. All notices and other communications given or made pursuant to this Agreement shall be in writing and shall be deemed effectively given upon the earlier of actual receipt, or (a) personal delivery to the party to be notified, (b) when sent, if sent by electronic mail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below, or to such e-mail address or address as subsequently modified by written notice given in accordance with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Seres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101 Cambridgepark Drive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02140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w:t>
      </w:r>
      <w:r>
        <w:rPr>
          <w:rFonts w:ascii="Times New Roman" w:hAnsi="Times New Roman"/>
          <w:sz w:val="20"/>
        </w:rPr>
        <w:t xml:space="preserve">; and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200 Clarendon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Peter N. Handrinos; Wesley C. Holmes </w:t>
      </w:r>
    </w:p>
    <w:p>
      <w:pPr>
        <w:pStyle w:val="TextBody"/>
        <w:bidi w:val="0"/>
        <w:spacing w:before="240" w:after="0"/>
        <w:jc w:val="left"/>
        <w:rPr>
          <w:rFonts w:ascii="Times New Roman" w:hAnsi="Times New Roman"/>
          <w:sz w:val="20"/>
        </w:rPr>
      </w:pPr>
      <w:r>
        <w:rPr>
          <w:rFonts w:ascii="Times New Roman" w:hAnsi="Times New Roman"/>
          <w:sz w:val="20"/>
        </w:rPr>
        <w:t xml:space="preserve">If to the Landlord: </w:t>
      </w:r>
    </w:p>
    <w:p>
      <w:pPr>
        <w:pStyle w:val="TextBody"/>
        <w:bidi w:val="0"/>
        <w:spacing w:before="120" w:after="0"/>
        <w:jc w:val="left"/>
        <w:rPr>
          <w:rFonts w:ascii="Times New Roman" w:hAnsi="Times New Roman"/>
          <w:sz w:val="20"/>
        </w:rPr>
      </w:pPr>
      <w:r>
        <w:rPr>
          <w:rFonts w:ascii="Times New Roman" w:hAnsi="Times New Roman"/>
          <w:sz w:val="20"/>
        </w:rPr>
        <w:t xml:space="preserve">BMR-SIDNEY RESEARCH CAMPUS LLC </w:t>
      </w:r>
    </w:p>
    <w:p>
      <w:pPr>
        <w:pStyle w:val="TextBody"/>
        <w:bidi w:val="0"/>
        <w:spacing w:before="0" w:after="0"/>
        <w:jc w:val="left"/>
        <w:rPr>
          <w:rFonts w:ascii="Times New Roman" w:hAnsi="Times New Roman"/>
          <w:sz w:val="20"/>
        </w:rPr>
      </w:pPr>
      <w:r>
        <w:rPr>
          <w:rFonts w:ascii="Times New Roman" w:hAnsi="Times New Roman"/>
          <w:sz w:val="20"/>
        </w:rPr>
        <w:t xml:space="preserve">4570 Executive Drive, Suite 400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Expenses</w:t>
      </w:r>
      <w:r>
        <w:rPr>
          <w:rFonts w:ascii="Times New Roman" w:hAnsi="Times New Roman"/>
          <w:sz w:val="20"/>
        </w:rPr>
        <w:t xml:space="preserve">. The parties hereto shall pay their own costs and expenses in connection herewith regardless of whether the transactions contemplated hereby are consummated.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Amendments and Waivers</w:t>
      </w:r>
      <w:r>
        <w:rPr>
          <w:rFonts w:ascii="Times New Roman" w:hAnsi="Times New Roman"/>
          <w:sz w:val="20"/>
        </w:rPr>
        <w:t xml:space="preserve">. Any term of this Agreement may be amended and the observance of any term of this Agreement may be waived (either generally or in a particular instance and either retroactively or prospectively), only with the written consent of the Company and the Landlord.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Severability</w:t>
      </w:r>
      <w:r>
        <w:rPr>
          <w:rFonts w:ascii="Times New Roman" w:hAnsi="Times New Roman"/>
          <w:sz w:val="20"/>
        </w:rPr>
        <w:t xml:space="preserve">.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Entire Agreement</w:t>
      </w:r>
      <w:r>
        <w:rPr>
          <w:rFonts w:ascii="Times New Roman" w:hAnsi="Times New Roman"/>
          <w:sz w:val="20"/>
        </w:rPr>
        <w:t xml:space="preserve">. The Transaction Documents, including the signature pages thereto,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In the event of any conflict, inconsistency or ambiguity between the terms of the Lease Termination Agreement and this Agreement with respect to the issuance, delivery, registration, sale or transfer of the Shares, or the rights and obligations of the parties relating thereto, the provisions of this Agreement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Further Assurances</w:t>
      </w:r>
      <w:r>
        <w:rPr>
          <w:rFonts w:ascii="Times New Roman" w:hAnsi="Times New Roman"/>
          <w:sz w:val="20"/>
        </w:rPr>
        <w:t xml:space="preserve">. The parties shall execute and deliver all such further instruments and documents and take all such other actions as may reasonably be required to carry out the transactions contemplated hereby and to evidence the fulfillment of the agreements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Governing Law; Consent to Jurisdiction; Waiver of Jury Trial</w:t>
      </w:r>
      <w:r>
        <w:rPr>
          <w:rFonts w:ascii="Times New Roman" w:hAnsi="Times New Roman"/>
          <w:sz w:val="20"/>
        </w:rPr>
        <w:t xml:space="preserve">. This Agreement shall be governed by, and construed in accordance with, the internal laws of the Commonwealth of Massachusetts, without regard to the Commonwealth of Massachusetts’ conflict of laws principles.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Times New Roman" w:hAnsi="Times New Roman"/>
          <w:b/>
          <w:sz w:val="20"/>
        </w:rPr>
        <w:t>EACH OF THE PARTIES HERETO WAIVES ANY RIGHT TO REQUEST A TRIAL BY JURY IN ANY LITIGATION WITH RESPECT TO THIS AGREEMENT AND REPRESENTS THAT COUNSEL HAS BEEN CONSULTED SPECIFICALLY AS TO THIS WAIVER.</w:t>
      </w:r>
      <w:r>
        <w:rPr>
          <w:rFonts w:ascii="Times New Roman" w:hAnsi="Times New Roman"/>
          <w:sz w:val="20"/>
        </w:rPr>
        <w:t xml:space="preserve"> If any party shall commence an Action or Proceeding to enforce any provisions of the Transaction Documents, then, in addition to the obligations of the Company under Section 6.11, the prevailing party in such Action or Proceeding shall be reimbursed by the non-prevailing party for its reasonable attorneys’ fees and other costs and expenses incurred with the investigation, preparation and prosecution of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Indemnification</w:t>
      </w:r>
      <w:r>
        <w:rPr>
          <w:rFonts w:ascii="Times New Roman" w:hAnsi="Times New Roman"/>
          <w:sz w:val="20"/>
        </w:rPr>
        <w:t xml:space="preserve">. The Company shall indemnify and hold harmless the Landlord and its Affiliates, and their respective members, managers, officers, employees, and agents, from and against any and all losses, claims, damages, liabilities, and expenses (including reasonable attorneys’ fees) arising out of or resulting from (a) any untrue statement or alleged untrue statement of a material fact contained in the Registration Statement, the Prospectus or the Prospectus Supplement or any document incorporated by reference therein, or any omission or alleged omission to state therein a material fact required to be stated therein or necessary to make the statements therein not misleading, (b) any failure of the Shares to be freely tradeable upon issuance as represented herein, or (c) any breach by the Company of its representations, warranties, or covenants under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SERES THERAPEUTICS,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vAlign w:val="bottom"/>
          </w:tcPr>
          <w:p>
            <w:pPr>
              <w:pStyle w:val="TableContents"/>
              <w:bidi w:val="0"/>
              <w:spacing w:before="0" w:after="283"/>
              <w:jc w:val="left"/>
              <w:rPr/>
            </w:pPr>
            <w:r>
              <w:rPr/>
              <w:t>/s/ Richard Kender</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Richard Kender</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Executive Chairman and Interim CEO</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Seres Therapeutics, Inc. – Share Issuance Agreement –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BMR-SIDNEY RESEARCH CAMPUS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vAlign w:val="bottom"/>
          </w:tcPr>
          <w:p>
            <w:pPr>
              <w:pStyle w:val="TableContents"/>
              <w:bidi w:val="0"/>
              <w:spacing w:before="0" w:after="283"/>
              <w:jc w:val="left"/>
              <w:rPr/>
            </w:pPr>
            <w:r>
              <w:rPr/>
              <w:t>/s/ Colleen O’Connor</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Colleen O’Connor</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EVP, East Coast &amp; UK Markets</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Seres Therapeutics, Inc. – Share Issuance Agreement – Signature Page</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10088</Words>
  <Characters>53961</Characters>
  <CharactersWithSpaces>64051</CharactersWithSpaces>
  <Paragraphs>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