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SERES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001-37465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27-4326290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101 Cambridgepark Drive</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Cambridge, MA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02140</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945-9626</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MCRB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2026, Seres Therapeutics, Inc. announced its financial results for the quarter ended March 31, 2026 and provided operational updates. The full text of the press release issued in connection with the announcement is furnished as Exhibit 99.1 to this Current Report on Form 8-K (the “Current Report”).</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Seres Therapeutics, Inc. Press Release issued May 5,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840"/>
          </w:cols>
          <w:pgMar w:left="440" w:top="293" w:right="6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5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SERES THERAPEUTICS,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J. DesRosier</w:t>
            </w:r>
          </w:p>
        </w:tc>
      </w:tr>
      <w:tr>
        <w:trPr>
          <w:trHeight w:val="205"/>
        </w:trPr>
        <w:tc>
          <w:tcPr>
            <w:tcW w:w="3440" w:type="dxa"/>
            <w:vAlign w:val="bottom"/>
          </w:tcPr>
          <w:p>
            <w:pPr>
              <w:spacing w:after="0"/>
              <w:rPr>
                <w:sz w:val="17"/>
                <w:szCs w:val="17"/>
                <w:color w:val="auto"/>
              </w:rPr>
            </w:pPr>
          </w:p>
        </w:tc>
        <w:tc>
          <w:tcPr>
            <w:tcW w:w="2720" w:type="dxa"/>
            <w:vAlign w:val="bottom"/>
          </w:tcPr>
          <w:p>
            <w:pPr>
              <w:ind w:left="20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J. DesRosier</w:t>
            </w:r>
          </w:p>
        </w:tc>
      </w:tr>
      <w:tr>
        <w:trPr>
          <w:trHeight w:val="234"/>
        </w:trPr>
        <w:tc>
          <w:tcPr>
            <w:tcW w:w="344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173990</wp:posOffset>
            </wp:positionV>
            <wp:extent cx="1234440"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REPORTS FIRST QUARTER 2026 FINANCIAL RESULTS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PROVIDES BUSINESS UPDATES</w:t>
      </w:r>
    </w:p>
    <w:p>
      <w:pPr>
        <w:spacing w:after="0" w:line="97" w:lineRule="exact"/>
        <w:rPr>
          <w:sz w:val="20"/>
          <w:szCs w:val="20"/>
          <w:color w:val="auto"/>
        </w:rPr>
      </w:pPr>
    </w:p>
    <w:p>
      <w:pPr>
        <w:jc w:val="center"/>
        <w:ind w:right="20"/>
        <w:spacing w:after="0" w:line="392" w:lineRule="auto"/>
        <w:rPr>
          <w:sz w:val="20"/>
          <w:szCs w:val="20"/>
          <w:color w:val="auto"/>
        </w:rPr>
      </w:pPr>
      <w:r>
        <w:rPr>
          <w:rFonts w:ascii="Times New Roman" w:cs="Times New Roman" w:eastAsia="Times New Roman" w:hAnsi="Times New Roman"/>
          <w:sz w:val="18"/>
          <w:szCs w:val="18"/>
          <w:i w:val="1"/>
          <w:iCs w:val="1"/>
          <w:color w:val="auto"/>
        </w:rPr>
        <w:t>Clinical readout from investigator-sponsored SER-155 study in immune checkpoint inhibitor-related enterocolitis expected in the coming weeks Seres maintains operational focus on advancing live biotherapeutic programs in inflammatory and immune diseases Company pursuing partnerships and other sources of capital to support continued development of pipeline programs including SER-155 in allo-HSCT</w:t>
      </w:r>
    </w:p>
    <w:p>
      <w:pPr>
        <w:spacing w:after="0" w:line="6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CAMBRIDGE, Mass.- May 5, 2026 —Seres Therapeutics, Inc. (Nasdaq: MCRB), (Seres or the Company), a leading live biotherapeutics company, today reported first quarter 2026 financial results and provided business updates.</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approaching an important clinical milestone with the expected readout in the coming weeks from the investigator-sponsored study at Memorial Sloan Kettering Cancer Center, an institution with whom we’ve collaborated for over a decade, evaluating SER-155 in immune checkpoint inhibitor-related enterocolitis (irEC),” said Richard Kender, Executive Chair and interim Chief Executive Officer of Seres. “irEC is a serious condition which represents a meaningful therapeutic and commercial opportunity, and with positive data we will evaluate potential development pathways and adjacent expansion opportunities. In parallel, we are advancing our inflammatory and immunology portfolio, including SER-603 for inflammatory bowel disease, with IND-enabling work progressing. We have achieved Phase 2 readiness for SER-155 for the prevention of bloodstream infections in patients undergoing allo-HSCT for the treatment of blood cancer and are seeking funding to commence the study. We are continuing disciplined capital allocation while actively pursuing partnerships and other financing sources to support Seres’ pipeline advancement and long-term value creation.”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135" w:lineRule="exact"/>
        <w:rPr>
          <w:sz w:val="20"/>
          <w:szCs w:val="20"/>
          <w:color w:val="auto"/>
        </w:rPr>
      </w:pPr>
    </w:p>
    <w:p>
      <w:pPr>
        <w:ind w:left="960" w:right="64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highlighted in recent press releases from </w:t>
      </w:r>
      <w:r>
        <w:rPr>
          <w:rFonts w:ascii="Times New Roman" w:cs="Times New Roman" w:eastAsia="Times New Roman" w:hAnsi="Times New Roman"/>
          <w:sz w:val="18"/>
          <w:szCs w:val="18"/>
          <w:u w:val="single" w:color="auto"/>
          <w:color w:val="auto"/>
        </w:rPr>
        <w:t>February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March</w:t>
      </w:r>
      <w:r>
        <w:rPr>
          <w:rFonts w:ascii="Times New Roman" w:cs="Times New Roman" w:eastAsia="Times New Roman" w:hAnsi="Times New Roman"/>
          <w:sz w:val="18"/>
          <w:szCs w:val="18"/>
          <w:color w:val="auto"/>
        </w:rPr>
        <w:t>, Seres is prioritizing its emerging live biotherapeutic programs in inflammatory &amp; immune (I&amp;I) diseases, including SER-155 for immune checkpoint-related enterocolitis (irEC) and SER-603 for inflammatory bowel disease (IBD).</w:t>
      </w:r>
    </w:p>
    <w:p>
      <w:pPr>
        <w:spacing w:after="0" w:line="81" w:lineRule="exact"/>
        <w:rPr>
          <w:rFonts w:ascii="Times New Roman" w:cs="Times New Roman" w:eastAsia="Times New Roman" w:hAnsi="Times New Roman"/>
          <w:sz w:val="18"/>
          <w:szCs w:val="18"/>
          <w:color w:val="auto"/>
        </w:rPr>
      </w:pPr>
    </w:p>
    <w:p>
      <w:pPr>
        <w:ind w:left="960" w:right="100" w:hanging="424"/>
        <w:spacing w:after="0" w:line="25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Seres is collaborating with Memorial Sloan Kettering Cancer Center on an investigator-sponsored trial evaluating SER-155 in participants with irEC. irEC is among the most frequent and severe immune-related adverse events (irAEs) in recipients of immune checkpoint-inhibitor therapy and can be observed in up to 50% of patients, with rates varying based on cancer drug and treatment regimen. Study enrollment is complete, with 15 patients enrolled, and clinical data are expected in the coming weeks. Positive data from this IST could further inform the expansion of indications well-suited to Seres’ live biotherapeutic approach.</w:t>
      </w:r>
    </w:p>
    <w:p>
      <w:pPr>
        <w:sectPr>
          <w:pgSz w:w="11900" w:h="16838" w:orient="portrait"/>
          <w:cols w:equalWidth="0" w:num="1">
            <w:col w:w="11020"/>
          </w:cols>
          <w:pgMar w:left="440" w:top="117" w:right="439" w:bottom="1440" w:gutter="0" w:footer="0" w:header="0"/>
        </w:sectPr>
      </w:pPr>
    </w:p>
    <w:bookmarkStart w:id="4" w:name="page5"/>
    <w:bookmarkEnd w:id="4"/>
    <w:p>
      <w:pPr>
        <w:ind w:left="424" w:right="500"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continues to advance its preclinical stage live biotherapeutic product candidates, including SER-603. The Company is conducting IND-enabling activities for SER-603 and is engaging potential collaborators to support the clinical advancement of this program as a mono and/or combination therapy for IBD.</w:t>
      </w:r>
    </w:p>
    <w:p>
      <w:pPr>
        <w:spacing w:after="0" w:line="81" w:lineRule="exact"/>
        <w:rPr>
          <w:rFonts w:ascii="Times New Roman" w:cs="Times New Roman" w:eastAsia="Times New Roman" w:hAnsi="Times New Roman"/>
          <w:sz w:val="18"/>
          <w:szCs w:val="18"/>
          <w:color w:val="auto"/>
        </w:rPr>
      </w:pPr>
    </w:p>
    <w:p>
      <w:pPr>
        <w:ind w:left="424" w:right="140"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Seres presented new preclinical data supporting the design and potential of SER-603 at Digestive Disease Week (DDW). The Company’s poster, titled “The Rational Design of SER-603: A Next Generation Cultivated Microbial Consortia to Treat IBD,” which was selected as a DDW ‘Poster of Distinction,’ highlights Seres’ integrated approach to the design of microbiome therapeutics, combining rational strain selection and a novel biomarker-driven patient stratification.</w:t>
      </w:r>
    </w:p>
    <w:p>
      <w:pPr>
        <w:spacing w:after="0" w:line="85" w:lineRule="exact"/>
        <w:rPr>
          <w:rFonts w:ascii="Times New Roman" w:cs="Times New Roman" w:eastAsia="Times New Roman" w:hAnsi="Times New Roman"/>
          <w:sz w:val="18"/>
          <w:szCs w:val="18"/>
          <w:color w:val="auto"/>
        </w:rPr>
      </w:pPr>
    </w:p>
    <w:p>
      <w:pPr>
        <w:ind w:left="424" w:right="100"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Seres’ management will be attending Memorial Sloan Kettering’s (MSK) Innovation with Lasting Impact Summit which this year focuses on “Drug Discovery &amp; Development and MSK” and will be presenting, along with Dr. Jonathan (Tsoni) Peled an oncologist at MSK specializing in bone marrow transplantation for blood cancers, on Seres’ decade-long research and clinical development collaboration with MSK.</w:t>
      </w:r>
    </w:p>
    <w:p>
      <w:pPr>
        <w:spacing w:after="0" w:line="85" w:lineRule="exact"/>
        <w:rPr>
          <w:rFonts w:ascii="Times New Roman" w:cs="Times New Roman" w:eastAsia="Times New Roman" w:hAnsi="Times New Roman"/>
          <w:sz w:val="18"/>
          <w:szCs w:val="18"/>
          <w:color w:val="auto"/>
        </w:rPr>
      </w:pPr>
    </w:p>
    <w:p>
      <w:pPr>
        <w:jc w:val="both"/>
        <w:ind w:left="424" w:right="180"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SER-155 is Phase 2 ready for the prevention of serious bloodstream infections in patients undergoing allogeneic hematopoietic stem cell transplants (allo-HSCT) for the treatment of blood cancer, and efforts to secure funding to advance clinical development for this program continue.</w:t>
      </w:r>
    </w:p>
    <w:p>
      <w:pPr>
        <w:spacing w:after="0" w:line="81" w:lineRule="exact"/>
        <w:rPr>
          <w:rFonts w:ascii="Times New Roman" w:cs="Times New Roman" w:eastAsia="Times New Roman" w:hAnsi="Times New Roman"/>
          <w:sz w:val="18"/>
          <w:szCs w:val="18"/>
          <w:color w:val="auto"/>
        </w:rPr>
      </w:pPr>
    </w:p>
    <w:p>
      <w:pPr>
        <w:ind w:left="424" w:right="20" w:hanging="424"/>
        <w:spacing w:after="0" w:line="25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by a grant from CARB-X (Combating Antibiotic-Resistant Bacteria Biopharmaceutical Accelerator), a global nonprofit partnership accelerating the development of new antibacterial products to address drug-resistant bacteria, Seres is progressing development of an oral liquid formulation based on SER-155 strains, referred to as SER-428, for dosing in patients who cannot take oral capsules such as intubated patients in the medical ICU, and other medically vulnerable patients at high risk of AMR infections. Seres has advanced manufacturing of SER-428 and is designing a Phase 1b open label trial, in collaboration with Dr. Dan Freedberg at Columbia University, to evaluate this therapeutic candidate in medical ICU patients at high risk of infection.</w:t>
      </w:r>
    </w:p>
    <w:p>
      <w:pPr>
        <w:spacing w:after="0" w:line="92" w:lineRule="exact"/>
        <w:rPr>
          <w:rFonts w:ascii="Times New Roman" w:cs="Times New Roman" w:eastAsia="Times New Roman" w:hAnsi="Times New Roman"/>
          <w:sz w:val="18"/>
          <w:szCs w:val="18"/>
          <w:color w:val="auto"/>
        </w:rPr>
      </w:pPr>
    </w:p>
    <w:p>
      <w:pPr>
        <w:ind w:left="424" w:right="20" w:hanging="424"/>
        <w:spacing w:after="0" w:line="255"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attended the ESCMID Global Conference in April and presented a poster highlighting biomarker and clinical pharmacology data from the Company’s SER-155 Phase 1b study in allo-HSCT. Data showed that administration of SER-155 induced a significant and durable shift in gastrointestinal (GI) microbiome composition relative to placebo, characterized by high relative abundance of SER-155 species. This shift is associated with improved GI epithelial barrier integrity that could reduce the likelihood of bacterial translocation from the GI to the bloodstream. These pharmacology results are consistent with the intended SER-155 mechanisms of action as well as the observation of significantly lower bloodstream infection incidence (77% relative risk reduction) post allo-HSCT in SER-155-administered participants in Seres’ Phase 1b study.</w:t>
      </w:r>
    </w:p>
    <w:p>
      <w:pPr>
        <w:spacing w:after="0" w:line="94" w:lineRule="exact"/>
        <w:rPr>
          <w:rFonts w:ascii="Times New Roman" w:cs="Times New Roman" w:eastAsia="Times New Roman" w:hAnsi="Times New Roman"/>
          <w:sz w:val="18"/>
          <w:szCs w:val="18"/>
          <w:color w:val="auto"/>
        </w:rPr>
      </w:pPr>
    </w:p>
    <w:p>
      <w:pPr>
        <w:ind w:left="424" w:hanging="424"/>
        <w:spacing w:after="0" w:line="23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the Company announced the publication of manuscripts in Nature Medicine and the Journal of Infectious Diseases, highlighting new insights into the functional mechanism and clinical impact of VOWST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was developed by Seres and sold to Nestlé Health Science (Nestlé) in 2024. These publications further inform the continued development of Seres’ next-generation live biotherapeutics pipeline.</w:t>
      </w:r>
    </w:p>
    <w:p>
      <w:pPr>
        <w:sectPr>
          <w:pgSz w:w="11900" w:h="16838" w:orient="portrait"/>
          <w:cols w:equalWidth="0" w:num="1">
            <w:col w:w="10484"/>
          </w:cols>
          <w:pgMar w:left="976" w:top="270"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Results</w:t>
      </w:r>
    </w:p>
    <w:p>
      <w:pPr>
        <w:spacing w:after="0" w:line="135" w:lineRule="exact"/>
        <w:rPr>
          <w:sz w:val="20"/>
          <w:szCs w:val="20"/>
          <w:color w:val="auto"/>
        </w:rPr>
      </w:pPr>
    </w:p>
    <w:p>
      <w:pPr>
        <w:ind w:left="960" w:hanging="424"/>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$19.9 million for the first quarter of 2026, compared to net income of $32.7 million for the same period in 2025. Contributing to the net income in the first quarter of 2025 was a $50 million installment payment received from Nestlé, related to certain transition services following the sale of VOWST and $6.3 million in reimbursements from Nestlé for the costs of those services. Operating expenses were approximately $6 million lower in the first quarter of 2026 compared to the first quarter of 2025.</w:t>
      </w:r>
    </w:p>
    <w:p>
      <w:pPr>
        <w:spacing w:after="0" w:line="85" w:lineRule="exact"/>
        <w:rPr>
          <w:rFonts w:ascii="Times New Roman" w:cs="Times New Roman" w:eastAsia="Times New Roman" w:hAnsi="Times New Roman"/>
          <w:sz w:val="18"/>
          <w:szCs w:val="18"/>
          <w:color w:val="auto"/>
        </w:rPr>
      </w:pPr>
    </w:p>
    <w:p>
      <w:pPr>
        <w:ind w:left="960" w:right="16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$13.2 million for the first quarter of 2026, compared with $11.8 million for the same period in 2025, primarily due to higher facilities and manufacturing-related costs that in 2025 were partially reimbursed by Nestlé under the transition services agreement (TSA), partially offset by lower personnel-related expenses.</w:t>
      </w:r>
    </w:p>
    <w:p>
      <w:pPr>
        <w:spacing w:after="0" w:line="81" w:lineRule="exact"/>
        <w:rPr>
          <w:rFonts w:ascii="Times New Roman" w:cs="Times New Roman" w:eastAsia="Times New Roman" w:hAnsi="Times New Roman"/>
          <w:sz w:val="18"/>
          <w:szCs w:val="18"/>
          <w:color w:val="auto"/>
        </w:rPr>
      </w:pPr>
    </w:p>
    <w:p>
      <w:pPr>
        <w:jc w:val="both"/>
        <w:ind w:left="960" w:right="18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$8.1 million for the first quarter of 2026, compared with $11.9 million for the same period in 2025, reflecting lower personnel and professional services costs, and a reduction in IT costs, including those related to services provided under the TSA.</w:t>
      </w:r>
    </w:p>
    <w:p>
      <w:pPr>
        <w:spacing w:after="0" w:line="81"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manufacturing services expenses in the first quarter of 2026, compared with $3.5 million in the first quarter of 2025, as the Company completed such services, provided under the TSA, at the end of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Runway</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March 31, 2026, Seres had $29.8 million in cash and cash equivalents. Based on Seres’ current cash position and operating plans, the Company expects to fund operations through the third quarter of 2026. The Company continues to evaluate opportunities to extend its cash runway.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Seres Therapeutics</w:t>
      </w:r>
    </w:p>
    <w:p>
      <w:pPr>
        <w:spacing w:after="0" w:line="12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Seres Therapeutics, Inc. (Nasdaq: MCRB) is a clinical-stage biotechnology company developing novel live biotherapeutics, with a focus on inflammatory and immune diseases. The Company led the development and FDA approval of VOWST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the first orally administered microbiome therapeutic, which was subsequently divested to Nestlé Health Science. SER-155, which has received Breakthrough Therapy and Fast Track designations, is being advanced for patients undergoing allogeneic hematopoietic stem cell transplant, and is Phase 2 ready, pending receipt of funding. An investigator-sponsored trial of SER-155 is ongoing in immune checkpoint inhibitor–related enterocolitis to further evaluate the potential breadth of the Company’s live biotherapeutic platform. SER-603, in development for inflammatory bowel disease, is designed to modulate the gastrointestinal microbiome and support mucosal barrier integrity by targeting inflammatory bacteria and associated metabolites. For more information, please visit </w:t>
      </w:r>
      <w:r>
        <w:rPr>
          <w:rFonts w:ascii="Times New Roman" w:cs="Times New Roman" w:eastAsia="Times New Roman" w:hAnsi="Times New Roman"/>
          <w:sz w:val="18"/>
          <w:szCs w:val="18"/>
          <w:u w:val="single" w:color="auto"/>
          <w:color w:val="auto"/>
        </w:rPr>
        <w:t>www.serestherapeutics.com</w:t>
      </w:r>
      <w:r>
        <w:rPr>
          <w:rFonts w:ascii="Times New Roman" w:cs="Times New Roman" w:eastAsia="Times New Roman" w:hAnsi="Times New Roman"/>
          <w:sz w:val="18"/>
          <w:szCs w:val="18"/>
          <w:color w:val="auto"/>
        </w:rPr>
        <w:t>. </w:t>
      </w:r>
    </w:p>
    <w:p>
      <w:pPr>
        <w:sectPr>
          <w:pgSz w:w="11900" w:h="16838" w:orient="portrait"/>
          <w:cols w:equalWidth="0" w:num="1">
            <w:col w:w="10980"/>
          </w:cols>
          <w:pgMar w:left="440" w:top="266" w:right="47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jc w:val="both"/>
        <w:ind w:left="4" w:right="460"/>
        <w:spacing w:after="0" w:line="272"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statements about: the design, timing and results of our preclinical and clinical studies and data readouts; current or future product candidates and their</w:t>
      </w:r>
    </w:p>
    <w:p>
      <w:pPr>
        <w:spacing w:after="0" w:line="2" w:lineRule="exact"/>
        <w:rPr>
          <w:sz w:val="20"/>
          <w:szCs w:val="20"/>
          <w:color w:val="auto"/>
        </w:rPr>
      </w:pPr>
    </w:p>
    <w:p>
      <w:pPr>
        <w:ind w:left="4" w:right="100"/>
        <w:spacing w:after="0" w:line="253" w:lineRule="auto"/>
        <w:rPr>
          <w:sz w:val="20"/>
          <w:szCs w:val="20"/>
          <w:color w:val="auto"/>
        </w:rPr>
      </w:pPr>
      <w:r>
        <w:rPr>
          <w:rFonts w:ascii="Times New Roman" w:cs="Times New Roman" w:eastAsia="Times New Roman" w:hAnsi="Times New Roman"/>
          <w:sz w:val="18"/>
          <w:szCs w:val="18"/>
          <w:color w:val="auto"/>
        </w:rPr>
        <w:t>potential impacts and outcomes; clinical development plans and commercial opportunities; communications with, feedback from, or submissions to the FDA; operating plans; cost reduction actions and their anticipated benefits; our cash runway; our ability to secure a strategic, R&amp;D, or other partnership and other funding sources; the advancement of IND-enabling activities; CARB-X funding and its intended uses and benefits and the potential accessibility for patients; our ability to operationalize a study upon receipt of any funding; our planned strategic focus; the anticipated timing of any of the foregoing; and other statements that are not historical fact.</w:t>
      </w:r>
    </w:p>
    <w:p>
      <w:pPr>
        <w:spacing w:after="0" w:line="187" w:lineRule="exact"/>
        <w:rPr>
          <w:sz w:val="20"/>
          <w:szCs w:val="20"/>
          <w:color w:val="auto"/>
        </w:rPr>
      </w:pPr>
    </w:p>
    <w:p>
      <w:pPr>
        <w:ind w:left="4" w:right="20"/>
        <w:spacing w:after="0" w:line="269" w:lineRule="auto"/>
        <w:rPr>
          <w:sz w:val="20"/>
          <w:szCs w:val="20"/>
          <w:color w:val="auto"/>
        </w:rPr>
      </w:pPr>
      <w:r>
        <w:rPr>
          <w:rFonts w:ascii="Times New Roman" w:cs="Times New Roman" w:eastAsia="Times New Roman" w:hAnsi="Times New Roman"/>
          <w:sz w:val="17"/>
          <w:szCs w:val="17"/>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(1) our need for additional funding; (2) our ability to continue as a going concern; (3) we have incurred significant losses, are not currently profitable and may never become profitable; (4) our cost reduction actions may not achieve their intended benefits, including an extended cash runway;</w:t>
      </w:r>
    </w:p>
    <w:p>
      <w:pPr>
        <w:spacing w:after="0" w:line="3" w:lineRule="exact"/>
        <w:rPr>
          <w:sz w:val="20"/>
          <w:szCs w:val="20"/>
          <w:color w:val="auto"/>
        </w:rPr>
      </w:pPr>
    </w:p>
    <w:p>
      <w:pPr>
        <w:ind w:left="4" w:hanging="4"/>
        <w:spacing w:after="0" w:line="251"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(6) the expected payments from the VOWST sale are subject to risks and uncertainties; (7) we may not be able to realize the anticipated benefits of the VOWST sale, and may face new challenges as a smaller, less diversified company; (8) we have in the past and may in the future receive notice of the failure to satisfy a continued listing rule from The Nasdaq Stock Market LLC; (9) our novel approach to therapeutic intervention; (10) our reliance on third parties to conduct our clinical trials and manufacture our product candidates; (11) our ability to achieve market acceptance necessary for commercial success; (12) the competition we will face; (13) our ability to protect our intellectual property; (14) impact of our recent management transitions and appointments and our ability</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to retain key personnel; and (15) disruptions at the FDA or other government agencies. These and other important factors discussed under the caption “Risk Factors” in our Annual Report on Form 10-K for the fiscal year ended December 31, 2025 filed with the Securities and Exchange Commission (SEC) on March12, 2026, as well as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except as required by law. These forward-looking statements should not be relied upon as representing our views as of any date subsequent to the date of this press release.</w:t>
      </w:r>
    </w:p>
    <w:p>
      <w:pPr>
        <w:sectPr>
          <w:pgSz w:w="11900" w:h="16838" w:orient="portrait"/>
          <w:cols w:equalWidth="0" w:num="1">
            <w:col w:w="11024"/>
          </w:cols>
          <w:pgMar w:left="436" w:top="266" w:right="4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SERES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29,834</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45,766</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due from SPN - 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3,093</w:t>
            </w:r>
          </w:p>
        </w:tc>
      </w:tr>
      <w:tr>
        <w:trPr>
          <w:trHeight w:val="27"/>
        </w:trPr>
        <w:tc>
          <w:tcPr>
            <w:tcW w:w="8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49,376</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6,854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7,635</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70,228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72,483</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8,668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8,668</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138,193</w:t>
            </w:r>
          </w:p>
        </w:tc>
        <w:tc>
          <w:tcPr>
            <w:tcW w:w="12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2,338</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1,682</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3,972</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 due to SPN - related party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3,278</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10,390</w:t>
            </w:r>
          </w:p>
        </w:tc>
      </w:tr>
      <w:tr>
        <w:trPr>
          <w:trHeight w:val="27"/>
        </w:trPr>
        <w:tc>
          <w:tcPr>
            <w:tcW w:w="8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19,322</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69,634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72,576</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2,077</w:t>
            </w:r>
          </w:p>
        </w:tc>
      </w:tr>
      <w:tr>
        <w:trPr>
          <w:trHeight w:val="230"/>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91,119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93,975</w:t>
            </w:r>
          </w:p>
        </w:tc>
        <w:tc>
          <w:tcPr>
            <w:tcW w:w="120" w:type="dxa"/>
            <w:vAlign w:val="bottom"/>
          </w:tcPr>
          <w:p>
            <w:pPr>
              <w:spacing w:after="0"/>
              <w:rPr>
                <w:sz w:val="20"/>
                <w:szCs w:val="20"/>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at March 31, 2026 and December 31, 2025; no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at March 31, 2026 and December 31, 2025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8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360,000,000 shares authorized at March 31, 2026 and December 31, 2025;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9,592,326 and 9,556,466 shares issued and outstanding at March 31, 2026 and December 31, 2025,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1,018,805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1,016,611</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(992,316)</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(972,403)</w:t>
            </w:r>
          </w:p>
        </w:tc>
      </w:tr>
      <w:tr>
        <w:trPr>
          <w:trHeight w:val="27"/>
        </w:trPr>
        <w:tc>
          <w:tcPr>
            <w:tcW w:w="8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44,218</w:t>
            </w:r>
          </w:p>
        </w:tc>
      </w:tr>
      <w:tr>
        <w:trPr>
          <w:trHeight w:val="223"/>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138,193</w:t>
            </w:r>
          </w:p>
        </w:tc>
        <w:tc>
          <w:tcPr>
            <w:tcW w:w="12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8" w:name="page9"/>
    <w:bookmarkEnd w:id="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SERES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INCOME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27"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 w:type="dxa"/>
        <w:tblCellMar>
          <w:top w:w="0" w:type="dxa"/>
          <w:left w:w="0" w:type="dxa"/>
          <w:bottom w:w="0" w:type="dxa"/>
          <w:right w:w="0" w:type="dxa"/>
        </w:tblCellMar>
      </w:tblPr>
      <w:tr>
        <w:trPr>
          <w:trHeight w:val="142"/>
        </w:trPr>
        <w:tc>
          <w:tcPr>
            <w:tcW w:w="708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 revenue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11,821</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11,888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Manufacturing services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3,527</w:t>
            </w:r>
          </w:p>
        </w:tc>
        <w:tc>
          <w:tcPr>
            <w:tcW w:w="0" w:type="dxa"/>
            <w:vAlign w:val="bottom"/>
          </w:tcPr>
          <w:p>
            <w:pPr>
              <w:spacing w:after="0"/>
              <w:rPr>
                <w:sz w:val="1"/>
                <w:szCs w:val="1"/>
                <w:color w:val="auto"/>
              </w:rPr>
            </w:pPr>
          </w:p>
        </w:tc>
      </w:tr>
      <w:tr>
        <w:trPr>
          <w:trHeight w:val="230"/>
        </w:trPr>
        <w:tc>
          <w:tcPr>
            <w:tcW w:w="7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(20,907)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(27,236)</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VOWST Business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52,181</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(1)</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7,119</w:t>
            </w:r>
          </w:p>
        </w:tc>
        <w:tc>
          <w:tcPr>
            <w:tcW w:w="0" w:type="dxa"/>
            <w:vAlign w:val="bottom"/>
          </w:tcPr>
          <w:p>
            <w:pPr>
              <w:spacing w:after="0"/>
              <w:rPr>
                <w:sz w:val="1"/>
                <w:szCs w:val="1"/>
                <w:color w:val="auto"/>
              </w:rPr>
            </w:pPr>
          </w:p>
        </w:tc>
      </w:tr>
      <w:tr>
        <w:trPr>
          <w:trHeight w:val="230"/>
        </w:trPr>
        <w:tc>
          <w:tcPr>
            <w:tcW w:w="7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and comprehensive (loss) income</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(19,913)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32,682</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 basic</w:t>
            </w: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 diluted</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9,582,533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8,703,221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9,582,533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8,714,701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440" w:hanging="424"/>
        <w:spacing w:after="0" w:line="208" w:lineRule="auto"/>
        <w:tabs>
          <w:tab w:leader="none" w:pos="424"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$0 and $6,309 for the three months ended March 31, 2026 and 2025 related to reimbursement received from SPN (related party) for transition services provided by the Company.</w:t>
      </w:r>
    </w:p>
    <w:p>
      <w:pPr>
        <w:spacing w:after="0" w:line="3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and Media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IR@serestherapeutics.com</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Carlo Tanzi, Ph.D.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Kendall 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ctanzi@kendallir.com</w:t>
      </w:r>
    </w:p>
    <w:sectPr>
      <w:pgSz w:w="11900" w:h="16838" w:orient="portrait"/>
      <w:cols w:equalWidth="0" w:num="1">
        <w:col w:w="11024"/>
      </w:cols>
      <w:pgMar w:left="436"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2026-05-05T06:06:59Z</dcterms:created>
  <dcterms:modified xsi:type="dcterms:W3CDTF">2026-05-05T06:06:59Z</dcterms:modified>
</cp:coreProperties>
</file>