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DesRosier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SERES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CAMBRIDGE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Seres Therapeutics, Inc.</w:t>
              </w:r>
            </w:hyperlink>
            <w:r>
              <w:rPr/>
              <w:t xml:space="preserve"> [ </w:t>
            </w:r>
            <w:r>
              <w:rPr>
                <w:rFonts w:ascii="Times;serif" w:hAnsi="Times;serif"/>
                <w:color w:val="0000FF"/>
                <w:sz w:val="24"/>
                <w:shd w:fill="FFFFFF" w:val="clear"/>
              </w:rPr>
              <w:t>MCRB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8,199</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8,117</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in this Form 4 were effected pursuant to a Rule 10b5-1 instruction adopted by the reporting person on March 2, 2023,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vested and settled as to 25% of the restricted stock units on February 15, 2024. The remainder of the restricted stock units have vested and settled or will vest and settle in 12 equal quarterly installments thereafter. The restricted stock units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stock units vested and settled as to 25% of the restricted stock units on February 15, 2025. The remainder of the restricted stock units have vested and settled or will vest and settle in 12 equal quarterly installments thereafter. The restricted stock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EVP and Chief Legal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J. DesRosier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35744" TargetMode="External"/><Relationship Id="rId5" Type="http://schemas.openxmlformats.org/officeDocument/2006/relationships/hyperlink" Target="http://www.sec.gov/cgi-bin/browse-edgar?action=getcompany&amp;CIK=00016098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4060</Characters>
  <CharactersWithSpaces>4724</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