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Brady Kelly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SERES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CAMBRIDGE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Seres Therapeutics, Inc.</w:t>
              </w:r>
            </w:hyperlink>
            <w:r>
              <w:rPr/>
              <w:t xml:space="preserve"> [ </w:t>
            </w:r>
            <w:r>
              <w:rPr>
                <w:rFonts w:ascii="Times;serif" w:hAnsi="Times;serif"/>
                <w:color w:val="0000FF"/>
                <w:sz w:val="24"/>
                <w:shd w:fill="FFFFFF" w:val="clear"/>
              </w:rPr>
              <w:t>MCRB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8,743</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4.55</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8,679</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52"/>
        <w:gridCol w:w="44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5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4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Issuer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Form 4 were effected pursuant to a Rule 10b5-1 plan adopted by the reporting person on November 26, 2025, with the intent to cover taxes in connection with the vesting of the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vested and settled as to 25% of the restricted stock units on February 15, 2024. The remainder of the restricted stock units have vested and settled or will vest and settle in 12 equal quarterly installments thereafter. The restricted stock units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vested and settled as to 25% of the restricted stock units on February 15, 2025. The remainder of the restricted stock units have vested and settled or will vest and settle in 12 equal quarterly installments thereafter. The restricted stock units have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EVP, Chief Operating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J. DesRosier, Attorney-in-Fact for Kelly M. Brady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17686" TargetMode="External"/><Relationship Id="rId5" Type="http://schemas.openxmlformats.org/officeDocument/2006/relationships/hyperlink" Target="http://www.sec.gov/cgi-bin/browse-edgar?action=getcompany&amp;CIK=00016098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772</Words>
  <Characters>4076</Characters>
  <CharactersWithSpaces>4743</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