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Berenson Stephen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SERES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CAMBRIDGE PARK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Seres Therapeutics, Inc.</w:t>
              </w:r>
            </w:hyperlink>
            <w:r>
              <w:rPr/>
              <w:t xml:space="preserve"> [ </w:t>
            </w:r>
            <w:r>
              <w:rPr>
                <w:rFonts w:ascii="Times;serif" w:hAnsi="Times;serif"/>
                <w:color w:val="0000FF"/>
                <w:sz w:val="24"/>
                <w:shd w:fill="FFFFFF" w:val="clear"/>
              </w:rPr>
              <w:t>MCRB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7.14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vests and becomes exercisable on the earlier to occur of (i) July 8, 2027 or (ii) the day immediately prior to the first annual meeting of the Company's stockholders occurring after July 8,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J. DesRosier,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0671" TargetMode="External"/><Relationship Id="rId5" Type="http://schemas.openxmlformats.org/officeDocument/2006/relationships/hyperlink" Target="http://www.sec.gov/cgi-bin/browse-edgar?action=getcompany&amp;CIK=00016098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606</Words>
  <Characters>3281</Characters>
  <CharactersWithSpaces>3825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