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1279d424b5.htm"/>
        <w:bookmarkStart w:id="1" w:name="ksd141279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333-273794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15, 2023) </w:t>
      </w:r>
    </w:p>
    <w:p>
      <w:pPr>
        <w:pStyle w:val="TextBody"/>
        <w:bidi w:val="0"/>
        <w:spacing w:before="240" w:after="0"/>
        <w:jc w:val="center"/>
        <w:rPr>
          <w:rFonts w:ascii="Times New Roman" w:hAnsi="Times New Roman"/>
          <w:b/>
          <w:sz w:val="36"/>
        </w:rPr>
      </w:pPr>
      <w:r>
        <w:rPr>
          <w:rFonts w:ascii="Times New Roman" w:hAnsi="Times New Roman"/>
          <w:b/>
          <w:sz w:val="36"/>
        </w:rPr>
        <w:t xml:space="preserve">103,520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09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90950" cy="14097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103,520 shares of our common stock to BMR-Sidney Research Campus LLC, or BMR-Sidney, pursuant to this prospectus supplement and the accompanying prospectus and a stock issuance agreement, dated as of July 31, 2026, between us and BMR-Sidney, or the Stock Issuance Agreement. The offering price per share is $4.83, which represents the closing price of our common stock on the Nasdaq Global Select Market on July 31, 2026, the date of the Stock Issuance Agreement. We will not receive any proceeds from this offering. Pursuant to the Stock Issuance Agreement, we agreed to issue the shares being offered under this prospectus supplement and accompanying prospectus as part of the payment owed by us to BMR-Sidney pursuant to the Third Amendment to Lease and Termination Agreement, dated as of July 31, 2026, by and between us and BMR-Sidney, or the Lease Termination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or Nasdaq, under the symbol “MCRB.” On August 3, 2026, the last reported sale price of our common stock was $5.03 per share.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high degree of risk. Please read “Risk Factors” in the documents incorporated by reference into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July 31,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sz w:val="20"/>
        </w:rPr>
      </w:pPr>
      <w:r>
        <w:rPr>
          <w:rFonts w:ascii="Times New Roman" w:hAnsi="Times New Roman"/>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2"/>
        <w:gridCol w:w="148"/>
        <w:gridCol w:w="60"/>
        <w:gridCol w:w="352"/>
        <w:gridCol w:w="63"/>
      </w:tblGrid>
      <w:tr>
        <w:trPr/>
        <w:tc>
          <w:tcPr>
            <w:tcW w:w="958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82" w:type="dxa"/>
            <w:tcBorders/>
            <w:vAlign w:val="bottom"/>
          </w:tcPr>
          <w:p>
            <w:pPr>
              <w:pStyle w:val="TableContents"/>
              <w:bidi w:val="0"/>
              <w:spacing w:before="0" w:after="0"/>
              <w:jc w:val="left"/>
              <w:rPr/>
            </w:pPr>
            <w:hyperlink w:anchor="supptoc141279_1">
              <w:r>
                <w:rPr>
                  <w:rStyle w:val="InternetLink"/>
                  <w:rFonts w:ascii="Times New Roman" w:hAnsi="Times New Roman"/>
                  <w:sz w:val="20"/>
                </w:rPr>
                <w:t>ABOUT THIS PROSPECTUS SUPPLEMENT</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2">
              <w:r>
                <w:rPr>
                  <w:rStyle w:val="InternetLink"/>
                  <w:rFonts w:ascii="Times New Roman" w:hAnsi="Times New Roman"/>
                  <w:sz w:val="20"/>
                </w:rPr>
                <w:t>PROSPECTUS SUPPLEMENT SUMMARY</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3">
              <w:r>
                <w:rPr>
                  <w:rStyle w:val="InternetLink"/>
                  <w:rFonts w:ascii="Times New Roman" w:hAnsi="Times New Roman"/>
                  <w:sz w:val="20"/>
                </w:rPr>
                <w:t>SPECIAL NOTE REGARDING FORWARD-LOOKING STATEMENTS</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4">
              <w:r>
                <w:rPr>
                  <w:rStyle w:val="InternetLink"/>
                  <w:rFonts w:ascii="Times New Roman" w:hAnsi="Times New Roman"/>
                  <w:sz w:val="20"/>
                </w:rPr>
                <w:t>USE OF PROCEEDS</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S-4</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5">
              <w:r>
                <w:rPr>
                  <w:rStyle w:val="InternetLink"/>
                  <w:rFonts w:ascii="Times New Roman" w:hAnsi="Times New Roman"/>
                  <w:sz w:val="20"/>
                </w:rPr>
                <w:t>DIVIDEND POLICY</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6">
              <w:r>
                <w:rPr>
                  <w:rStyle w:val="InternetLink"/>
                  <w:rFonts w:ascii="Times New Roman" w:hAnsi="Times New Roman"/>
                  <w:sz w:val="20"/>
                </w:rPr>
                <w:t>DILUTION</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S-6</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7">
              <w:r>
                <w:rPr>
                  <w:rStyle w:val="InternetLink"/>
                  <w:rFonts w:ascii="Times New Roman" w:hAnsi="Times New Roman"/>
                  <w:sz w:val="20"/>
                </w:rPr>
                <w:t>PLAN OF DISTRIBUTION</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8">
              <w:r>
                <w:rPr>
                  <w:rStyle w:val="InternetLink"/>
                  <w:rFonts w:ascii="Times New Roman" w:hAnsi="Times New Roman"/>
                  <w:sz w:val="20"/>
                </w:rPr>
                <w:t>LEGAL MATTERS</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S-8</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9">
              <w:r>
                <w:rPr>
                  <w:rStyle w:val="InternetLink"/>
                  <w:rFonts w:ascii="Times New Roman" w:hAnsi="Times New Roman"/>
                  <w:sz w:val="20"/>
                </w:rPr>
                <w:t>EXPERTS</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S-8</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supptoc141279_10">
              <w:r>
                <w:rPr>
                  <w:rStyle w:val="InternetLink"/>
                  <w:rFonts w:ascii="Times New Roman" w:hAnsi="Times New Roman"/>
                  <w:sz w:val="20"/>
                </w:rPr>
                <w:t>WHERE YOU CAN FIND MORE INFORMATION; INCORPORATION BY REFERENCE</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S-9</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ACCOMPANYING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70"/>
        <w:gridCol w:w="60"/>
        <w:gridCol w:w="264"/>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tcPr>
          <w:p>
            <w:pPr>
              <w:pStyle w:val="TableContents"/>
              <w:bidi w:val="0"/>
              <w:spacing w:before="0" w:after="0"/>
              <w:jc w:val="left"/>
              <w:rPr/>
            </w:pPr>
            <w:hyperlink w:anchor="toc141279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2">
              <w:r>
                <w:rPr>
                  <w:rStyle w:val="InternetLink"/>
                  <w:rFonts w:ascii="Times New Roman" w:hAnsi="Times New Roman"/>
                  <w:sz w:val="20"/>
                </w:rPr>
                <w:t>WHERE YOU CAN FIND MORE INFORMATION; INCORPORATION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3">
              <w:r>
                <w:rPr>
                  <w:rStyle w:val="InternetLink"/>
                  <w:rFonts w:ascii="Times New Roman" w:hAnsi="Times New Roman"/>
                  <w:sz w:val="20"/>
                </w:rPr>
                <w:t>THE COMPANY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6">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7">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8">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9">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10">
              <w:r>
                <w:rPr>
                  <w:rStyle w:val="InternetLink"/>
                  <w:rFonts w:ascii="Times New Roman" w:hAnsi="Times New Roman"/>
                  <w:sz w:val="20"/>
                </w:rPr>
                <w:t>GLOBAL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11">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12">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141279_13">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4127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More Information; Incorporation by Reference” on page S-9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and such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the accompanying prospectus and in any free writing prospectuses we may provide to you in connection with this offering. We have not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information contained in this prospectus supplement, the accompanying prospectus or the documents incorporated by reference,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subject to a high degree of uncertainty and risk due to a variety of factors, including those described in “Risk Factors” in this prospectus supplement, the accompanying prospectus and in our Quarterly Report on Form 10-Q for the period ended March 31, 2026, which is incorporated by reference into this prospectus supplement. These and other important factors could cause our future performance to differ materially from our assumptions and estimates. See “Special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used in this prospectus supplement, the accompanying prospectus and the documents incorporated by reference herein and therein, which are important to our business and many of which are registered under applicable intellectual property laws. Solely for convenience, the trademarks, service marks, logos and trade names referred to in this prospectus supplement, the accompanying prospectus and the documents incorporated by reference herein and therein are without the ® and  symbols, but such references are not intended to indicate, in any way, that we will not assert, to the fullest extent under applicable law, our rights to these trademarks, service marks and trade names. This prospectus supplement, the accompanying prospectus and the documents incorporated by reference herein and therein contain additional trademarks, service marks and trade names of others, which are the property of their respective owners. All trademarks, service marks and trade names appearing in this prospectus supplement, the accompanying prospectus and the documents incorporated by reference herein and therein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141279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this offering and information appearing elsewhere in this prospectus supplement, in the accompanying prospectus and in the documents we incorporate by reference.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the financial statements and related notes, and the other information that we incorporate by reference into this prospectus supplement, including the risks discussed under “Risk Factors” in our Quarterly Report on Form 10-Q for the period ended March 31, 2026.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Seres Therapeutics, Inc.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company focused on improving patient outcomes in medically compromised populations, including oncology patients and those suffering from inflammatory and immune, or I&amp;I, diseases through discovery and development of novel live biotherapeutic product, or LBP, candidates. We led the successful development and approval of VOWST, the first FDA-approved orally administered microbiome biotherapeutic and a Breakthrough Therapy designated drug, which was sold to Société des Produits Nestlé S.A. and with certain of its affiliates in September 2024. We have established field-leading capabilities and platforms that are powered by best-in-field human data sets to advance a portfolio of products that can uniquely address diseases by targeting host pathways that are modulated by microbes in the human body, and, in particular, diseases associated with mucosal barrier-immune interface targets. We believe clinical and nonclinical data across our programs support the development of LBPs to address unmet medical needs in oncology that can lead to interruption to patients’ cancer treatment and/or mortality (by targeting the prevention and treatment of a broad swath of infections risks faced by cancer patients and by treating immune checkpoint-related enterocolitis, or irEC), and to treat I&amp;I diseases. Our pipeline consists of SER-155, SER-603, SER-428, and SER-147, as well as other potential candidates in earlier development.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Corporation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in 2010 under the name Newco LS21, Inc. In October 2011, we changed our name to Seres Health, Inc., and in May 2015, we changed our name to Seres Therapeutics, Inc. Our principal executive offices are located at 101 Cambridgepark Drive, Cambridge, Massachusetts 02140 and our telephone number is (617) 945-9626. Our website address is www.serestherapeutics.com. The information contained in, or accessible through, our website does not constitute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in this offering </w:t>
            </w:r>
          </w:p>
        </w:tc>
        <w:tc>
          <w:tcPr>
            <w:tcW w:w="6330" w:type="dxa"/>
            <w:tcBorders/>
          </w:tcPr>
          <w:p>
            <w:pPr>
              <w:pStyle w:val="TableContents"/>
              <w:bidi w:val="0"/>
              <w:spacing w:before="0" w:after="283"/>
              <w:jc w:val="left"/>
              <w:rPr/>
            </w:pPr>
            <w:r>
              <w:rPr/>
              <w:t xml:space="preserve">103,520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9" w:type="dxa"/>
            <w:tcBorders/>
          </w:tcPr>
          <w:p>
            <w:pPr>
              <w:pStyle w:val="TableContents"/>
              <w:bidi w:val="0"/>
              <w:spacing w:before="0" w:after="283"/>
              <w:jc w:val="left"/>
              <w:rPr/>
            </w:pPr>
            <w:r>
              <w:rPr/>
              <w:t xml:space="preserve">10,044,781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Plan of Distribution </w:t>
            </w:r>
          </w:p>
        </w:tc>
        <w:tc>
          <w:tcPr>
            <w:tcW w:w="6329" w:type="dxa"/>
            <w:tcBorders/>
          </w:tcPr>
          <w:p>
            <w:pPr>
              <w:pStyle w:val="TableContents"/>
              <w:bidi w:val="0"/>
              <w:spacing w:before="0" w:after="283"/>
              <w:jc w:val="left"/>
              <w:rPr/>
            </w:pPr>
            <w:r>
              <w:rPr/>
              <w:t xml:space="preserve">The shares being offered under this prospectus supplement and accompanying prospectus are part of the payment owed by us to BMR-Sidney pursuant to the Third Amendment to Lease and Termination Agreement, dated as of July 31, 2026, by and between us and BMR-Sidney.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7" w:type="dxa"/>
            <w:tcBorders/>
          </w:tcPr>
          <w:p>
            <w:pPr>
              <w:pStyle w:val="TableContents"/>
              <w:bidi w:val="0"/>
              <w:spacing w:before="0" w:after="283"/>
              <w:jc w:val="left"/>
              <w:rPr/>
            </w:pPr>
            <w:r>
              <w:rPr/>
              <w:t>“</w:t>
            </w:r>
            <w:r>
              <w:rPr/>
              <w:t xml:space="preserve">MCRB”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9,941,261 shares of our common stock outstanding as of July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1,731,363 shares of common stock issuable upon exercise of stock options outstanding as of July 31, 2026, at a weighted average exercise price of $39.43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160,540 shares of common stock issuable upon vesting of restricted stock units outstanding as of July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887,251 shares of common stock reserved for issuance under our 2025 Incentive Award Plan, or the 2025 Plan, as of July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102,426 shares of common stock reserved for issuance under our 2015 Employee Stock Purchase Plan, or the 2015 ESPP, as of July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86,826 shares of common stock reserved for issuance under our 2022 Employment Inducement Award Plan, or the 2022 Plan, as of July 31,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32,379 shares of common stock issuable upon exercise of outstanding warrants as of July 31,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this prospectus supplement reflects and assumes no exercise of the outstanding options and warrants and no vesting of the outstanding restricted stock units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oc141279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SEC filings that are incorporated by reference into this prospectus supplement and the accompanying prospectus contain or incorporate by reference “forward-looking statements” within the meaning of the Private Securities Litigation Reform Act of 1995, Section 27A of the Securities Act of 1933, as amended, and Section 21E of the Securities Exchange Act of 1934, as amended.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contained in this prospectus supplement, the accompanying prospectus, and the SEC filings that are incorporated by reference into this prospectus supplement and the accompanying prospectus include, but are not limited to, statements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status as a clinical-stage company and our expectation to incur losses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our future capital needs and our need to raise additional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build a pipeline of product candidates and develop and commercialize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unproven, novel approach to therapeutic intervention;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operating history and difficulty in evaluating the success of our business to date and to assess our future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enroll patients in clinical trials, timely and successfully complete those trials and receive necessary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completion of enrollment and availability of data from our ongoing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and foreign regulatory requirements, including U.S. Food and Drug Administration regulation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U.S. Food and Drug Administration and other government agencies, which could negatively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retain key executives and attract and retain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listing rules from Nasdaq;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intended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involve risks, uncertainties and other important factors that may cause our actual results, performance or achievements to be materially different from any future results, performance or achievements expressed or implied by the forward-looking statements. All forward-looking statements contained herein are expressly qualified in their entirety by this cautionary statement, the risk factors set forth under the heading “Risk Factors” in the accompanying prospectus and incorporated by reference in this prospectus supplement and the accompanying prospectus. These forward-looking statements speak only as of the date of this prospectus supplement. Except to the extent required by applicable laws and regulations, we undertake no obligation to update these forward-looking statements to reflect new information, events or circumstances after the date of this prospectus supplement or to reflect the occurrence of unanticipated events. In light of these risks and uncertainties, the forward-looking events and circumstances described in this prospectus supplement may not occur and actual results could differ materially from those anticipated or implied in the forward-looking statements. Accordingly, you are cautioned not to place undue reliance on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41279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in connection with the offering of common stock described in this prospectus supplement. The total value of the shares being offered under this prospectus supplement and accompanying prospectus is $500,001.60.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41279_5"/>
      <w:bookmarkEnd w:id="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dividends on our capital stock. We currently intend to retain all available funds and any future earnings to fund the development and growth of our business. We do not anticipate paying any dividends on our capital stock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41279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BMR-Sidney’s ownership interest in our common stock will be immediately diluted to the extent of the difference between the offering price per share and the as adjusted net tangible book value per share of our common stock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we had a net tangible book value of approximately $26.5 million, or $2.76 per share of common stock. Our net tangible book value per share represents total tangible assets less total liabilities, divided by the number of shares of common stock outstanding at March 31,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issuance and sale by us of 103,520 shares of common stock in this offering, our as adjusted net tangible book value as of March 31, 2026 would have been approximately $26.5 million, or approximately $2.73 per share. This amount represents an immediate decrease in as adjusted net tangible book value of $0.03 per share to our existing stockholders and an immediate dilution in as adjusted net tangible book value of approximately $2.10 per share to BMR-Sidney.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BMR-Sidney is determined by subtracting as adjusted net tangible book value per share after this offering from the offering price per share. The following table illustrates this dilution on a per share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10"/>
        <w:gridCol w:w="438"/>
        <w:gridCol w:w="219"/>
        <w:gridCol w:w="446"/>
        <w:gridCol w:w="155"/>
        <w:gridCol w:w="438"/>
        <w:gridCol w:w="140"/>
        <w:gridCol w:w="446"/>
        <w:gridCol w:w="63"/>
      </w:tblGrid>
      <w:tr>
        <w:trPr/>
        <w:tc>
          <w:tcPr>
            <w:tcW w:w="5410"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43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4.83</w:t>
            </w:r>
          </w:p>
        </w:tc>
        <w:tc>
          <w:tcPr>
            <w:tcW w:w="63"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43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2.76</w:t>
            </w:r>
          </w:p>
        </w:tc>
        <w:tc>
          <w:tcPr>
            <w:tcW w:w="15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as adjusted net tangible book value per share attributable to this offering</w:t>
            </w:r>
          </w:p>
        </w:tc>
        <w:tc>
          <w:tcPr>
            <w:tcW w:w="43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10"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43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2.73</w:t>
            </w:r>
          </w:p>
        </w:tc>
        <w:tc>
          <w:tcPr>
            <w:tcW w:w="63" w:type="dxa"/>
            <w:tcBorders/>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BMR-Sidney</w:t>
            </w:r>
          </w:p>
        </w:tc>
        <w:tc>
          <w:tcPr>
            <w:tcW w:w="438"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2.10</w:t>
            </w:r>
          </w:p>
        </w:tc>
        <w:tc>
          <w:tcPr>
            <w:tcW w:w="63" w:type="dxa"/>
            <w:tcBorders/>
            <w:shd w:fill="CCEEFF" w:val="clear"/>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9,592,326 shares of our common stock outstanding as of March 31, 2026, and excludes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1,642,883 shares of common stock issuable upon exercise of stock options outstanding as of March 31, 2026, at a weighted average exercise price of $45.73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185,120 shares of common stock issuable upon vesting of restricted stock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54,252 shares of common stock reserved for issuance under our 2025 Plan as of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102,426 shares of common stock reserved for issuance under our 2015 ESPP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86,731 shares of common stock reserved for issuance under our 2022 Plan, as of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32,379 shares of common stock issuable upon exercise of outstanding warrants as of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any of the outstanding options or warrants described above are exercised or outstanding restricted stock units described above vest, there may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41279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On July 31, 2026, we entered into the Stock Issuance Agreement with BMR-Sidney pursuant to which we agreed to issue the shares being offered under this prospectus supplement and accompanying prospectus as part of the payment owed by us to BMR-Sidney pursuant to the Lease Termination Agreement. BMR-Sidney served as our landlord under a lease agreement dated November 11, 2015, as amended, which is being terminated pursuant to the Lease Termination Agreement. BMR-Sidney is not an affiliate of the Company. This issuance is not being made for capital-raising purposes. Rather, the shares are being issued as a portion of the total amount owed by us to BMR-Sidney in connection with the termination of our lease at the Sidney Research Campus pursuant to the Lease Termination Agreement. Under the Stock Issuance Agreement, BMR-Sidney may assign its rights thereunder to an affiliate, and the shares offered hereby may be issued to BMR-Sidney or such affiliate. </w:t>
      </w:r>
    </w:p>
    <w:p>
      <w:pPr>
        <w:pStyle w:val="TextBody"/>
        <w:bidi w:val="0"/>
        <w:spacing w:before="240" w:after="0"/>
        <w:jc w:val="left"/>
        <w:rPr>
          <w:rFonts w:ascii="Times New Roman" w:hAnsi="Times New Roman"/>
          <w:sz w:val="20"/>
        </w:rPr>
      </w:pPr>
      <w:r>
        <w:rPr>
          <w:rFonts w:ascii="Times New Roman" w:hAnsi="Times New Roman"/>
          <w:sz w:val="20"/>
        </w:rPr>
        <w:t xml:space="preserve">No underwriting discounts, commissions, or other compensation will be paid to any person in connection with the issuance of the shares. No underwriter, broker, dealer, or agent is participating in this offering. Each party is responsible for its own costs and expenses in connection with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There are no lock-up agreements or other contractual restrictions on BMR-Sidney’s ability to sell the shares following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41279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Latham &amp; Watkins LLP. </w:t>
      </w:r>
    </w:p>
    <w:p>
      <w:pPr>
        <w:pStyle w:val="TextBody"/>
        <w:bidi w:val="0"/>
        <w:spacing w:before="480" w:after="0"/>
        <w:jc w:val="center"/>
        <w:rPr>
          <w:rFonts w:ascii="Times New Roman" w:hAnsi="Times New Roman"/>
          <w:b/>
          <w:sz w:val="20"/>
        </w:rPr>
      </w:pPr>
      <w:bookmarkStart w:id="11" w:name="supptoc141279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2025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141279_10"/>
      <w:bookmarkEnd w:id="12"/>
      <w:r>
        <w:rPr>
          <w:rFonts w:ascii="Times New Roman" w:hAnsi="Times New Roman"/>
          <w:b/>
          <w:sz w:val="20"/>
        </w:rPr>
        <w:t xml:space="preserve">WHERE YOU CAN FIND MORE INFORMATION; INCORPORATION BY REFERENCE </w:t>
      </w:r>
    </w:p>
    <w:p>
      <w:pPr>
        <w:pStyle w:val="TextBody"/>
        <w:bidi w:val="0"/>
        <w:spacing w:before="240" w:after="0"/>
        <w:jc w:val="center"/>
        <w:rPr>
          <w:rFonts w:ascii="Times New Roman" w:hAnsi="Times New Roman"/>
          <w:b/>
          <w:sz w:val="20"/>
        </w:rPr>
      </w:pPr>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electronically reports, proxy statements and other information with the SEC. The SEC maintains a web site that contains reports, proxy and information statements and other information about issuers, such as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www.serestherapeutics.com. The information on our web site, however, is not, and should not be deemed to be,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and do not contain all of the information in the registration statement. The full registration statement may be obtained from the SEC or us, as provided above.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48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and the accompanying prospectus to the extent that a statement contained in this prospectus supplement or the accompanying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following information or documents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3">
              <w:r>
                <w:rPr>
                  <w:rStyle w:val="InternetLink"/>
                  <w:rFonts w:ascii="Times New Roman" w:hAnsi="Times New Roman"/>
                  <w:sz w:val="20"/>
                </w:rPr>
                <w:t>March 2, 2026</w:t>
              </w:r>
            </w:hyperlink>
            <w:r>
              <w:rPr>
                <w:rFonts w:ascii="Times New Roman" w:hAnsi="Times New Roman"/>
                <w:sz w:val="20"/>
              </w:rPr>
              <w:t xml:space="preserve">, </w:t>
            </w:r>
            <w:hyperlink r:id="rId4">
              <w:r>
                <w:rPr>
                  <w:rStyle w:val="InternetLink"/>
                  <w:rFonts w:ascii="Times New Roman" w:hAnsi="Times New Roman"/>
                  <w:sz w:val="20"/>
                </w:rPr>
                <w:t>March  16, 2026</w:t>
              </w:r>
            </w:hyperlink>
            <w:r>
              <w:rPr>
                <w:rFonts w:ascii="Times New Roman" w:hAnsi="Times New Roman"/>
                <w:sz w:val="20"/>
              </w:rPr>
              <w:t xml:space="preserve">, </w:t>
            </w:r>
            <w:hyperlink r:id="rId5">
              <w:r>
                <w:rPr>
                  <w:rStyle w:val="InternetLink"/>
                  <w:rFonts w:ascii="Times New Roman" w:hAnsi="Times New Roman"/>
                  <w:sz w:val="20"/>
                </w:rPr>
                <w:t>June  1, 2026</w:t>
              </w:r>
            </w:hyperlink>
            <w:r>
              <w:rPr>
                <w:rFonts w:ascii="Times New Roman" w:hAnsi="Times New Roman"/>
                <w:sz w:val="20"/>
              </w:rPr>
              <w:t xml:space="preserve">, </w:t>
            </w:r>
            <w:hyperlink r:id="rId6">
              <w:r>
                <w:rPr>
                  <w:rStyle w:val="InternetLink"/>
                  <w:rFonts w:ascii="Times New Roman" w:hAnsi="Times New Roman"/>
                  <w:sz w:val="20"/>
                </w:rPr>
                <w:t>June  5, 2026</w:t>
              </w:r>
            </w:hyperlink>
            <w:r>
              <w:rPr>
                <w:rFonts w:ascii="Times New Roman" w:hAnsi="Times New Roman"/>
                <w:sz w:val="20"/>
              </w:rPr>
              <w:t xml:space="preserve"> and </w:t>
            </w:r>
            <w:hyperlink r:id="rId7">
              <w:r>
                <w:rPr>
                  <w:rStyle w:val="InternetLink"/>
                  <w:rFonts w:ascii="Times New Roman" w:hAnsi="Times New Roman"/>
                  <w:sz w:val="20"/>
                </w:rPr>
                <w:t>July 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8">
              <w:r>
                <w:rPr>
                  <w:rStyle w:val="InternetLink"/>
                  <w:rFonts w:ascii="Times New Roman" w:hAnsi="Times New Roman"/>
                  <w:sz w:val="20"/>
                </w:rPr>
                <w:t>Form 10-Q</w:t>
              </w:r>
            </w:hyperlink>
            <w:r>
              <w:rPr>
                <w:rFonts w:ascii="Times New Roman" w:hAnsi="Times New Roman"/>
                <w:sz w:val="20"/>
              </w:rPr>
              <w:t xml:space="preserve"> filed with the SEC on May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r>
              <w:fldChar w:fldCharType="begin"/>
            </w:r>
            <w:r>
              <w:rPr>
                <w:rStyle w:val="InternetLink"/>
                <w:sz w:val="20"/>
                <w:rFonts w:ascii="Times New Roman" w:hAnsi="Times New Roman"/>
              </w:rPr>
              <w:instrText xml:space="preserve"> HYPERLINK "http://www.sec.gov/Archives/edgar/data/../../../ix?doc=/Archives/edgar/data/1609809/000119312526103276/mcrb-20251231.htm" \l "signatures"</w:instrText>
            </w:r>
            <w:r>
              <w:rPr>
                <w:rStyle w:val="InternetLink"/>
                <w:sz w:val="20"/>
                <w:rFonts w:ascii="Times New Roman" w:hAnsi="Times New Roman"/>
              </w:rPr>
              <w:fldChar w:fldCharType="separate"/>
            </w:r>
            <w:r>
              <w:rPr>
                <w:rStyle w:val="InternetLink"/>
                <w:rFonts w:ascii="Times New Roman" w:hAnsi="Times New Roman"/>
                <w:sz w:val="20"/>
              </w:rPr>
              <w:t>Form 10-K</w:t>
            </w:r>
            <w:r>
              <w:rPr>
                <w:rStyle w:val="InternetLink"/>
                <w:sz w:val="20"/>
                <w:rFonts w:ascii="Times New Roman" w:hAnsi="Times New Roman"/>
              </w:rPr>
              <w:fldChar w:fldCharType="end"/>
            </w:r>
            <w:r>
              <w:rPr>
                <w:rFonts w:ascii="Times New Roman" w:hAnsi="Times New Roman"/>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dated and filed with the SEC on June 22, 2015,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accompanying prospectus all reports and other documents we subsequently file with the SEC pursuant to Sections 13(a), 13(c), 14 or 15(d) of the Securities Exchange Act of 1934, as amended, between the date of this prospectus supplement and the termination of the offering of the securities described in this prospectus supplement.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 The reports and documents specifically listed above or filed in the future (excluding any information furnished to, rather than filed with, the SEC) are deemed to be part of this prospectus supplement and accompanying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supplement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b/>
          <w:sz w:val="20"/>
        </w:rPr>
      </w:pPr>
      <w:r>
        <w:rPr>
          <w:rFonts w:ascii="Times New Roman" w:hAnsi="Times New Roman"/>
          <w:b/>
          <w:sz w:val="20"/>
        </w:rPr>
        <w:t xml:space="preserve">Seres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101 Cambridgepark Drive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02140 </w:t>
      </w:r>
    </w:p>
    <w:p>
      <w:pPr>
        <w:pStyle w:val="TextBody"/>
        <w:bidi w:val="0"/>
        <w:spacing w:before="0" w:after="0"/>
        <w:jc w:val="center"/>
        <w:rPr>
          <w:rFonts w:ascii="Times New Roman" w:hAnsi="Times New Roman"/>
          <w:b/>
          <w:sz w:val="20"/>
        </w:rPr>
      </w:pPr>
      <w:r>
        <w:rPr>
          <w:rFonts w:ascii="Times New Roman" w:hAnsi="Times New Roman"/>
          <w:b/>
          <w:sz w:val="20"/>
        </w:rPr>
        <w:t xml:space="preserve">(617) 945-9626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62125"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762125" cy="6667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SERES THERAPEUTICS, INC. </w:t>
      </w:r>
    </w:p>
    <w:p>
      <w:pPr>
        <w:pStyle w:val="TextBody"/>
        <w:bidi w:val="0"/>
        <w:spacing w:before="240" w:after="0"/>
        <w:jc w:val="center"/>
        <w:rPr>
          <w:rFonts w:ascii="Times New Roman" w:hAnsi="Times New Roman"/>
          <w:b/>
          <w:sz w:val="36"/>
        </w:rPr>
      </w:pPr>
      <w:r>
        <w:rPr>
          <w:rFonts w:ascii="Times New Roman" w:hAnsi="Times New Roman"/>
          <w:b/>
          <w:sz w:val="36"/>
        </w:rPr>
        <w:t xml:space="preserve">$300,000,000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up to $300,000,000 in the aggregate of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oc141279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“MCRB.” On August 7, 2023, the last reported sale price of our common stock on the Nasdaq Global Select Market was $4.61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15,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70"/>
        <w:gridCol w:w="60"/>
        <w:gridCol w:w="264"/>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oc141279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2">
              <w:r>
                <w:rPr>
                  <w:rStyle w:val="InternetLink"/>
                  <w:rFonts w:ascii="Times New Roman" w:hAnsi="Times New Roman"/>
                  <w:sz w:val="20"/>
                </w:rPr>
                <w:t>WHERE YOU CAN FIND MORE INFORMATION; INCORPORATION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3">
              <w:r>
                <w:rPr>
                  <w:rStyle w:val="InternetLink"/>
                  <w:rFonts w:ascii="Times New Roman" w:hAnsi="Times New Roman"/>
                  <w:sz w:val="20"/>
                </w:rPr>
                <w:t>THE COMPANY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6">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7">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8">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9">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10">
              <w:r>
                <w:rPr>
                  <w:rStyle w:val="InternetLink"/>
                  <w:rFonts w:ascii="Times New Roman" w:hAnsi="Times New Roman"/>
                  <w:sz w:val="20"/>
                </w:rPr>
                <w:t>GLOBAL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11">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12">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41279_13">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41279_1"/>
      <w:bookmarkEnd w:id="1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$300,000,000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“Seres,” “we,” “our,” “us” and the “Company” in this prospectus, we mean Seres Therapeutics, Inc. and its consolidated subsidiaries,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that are used in this prospectus and the documents incorporated by reference herein, which are important to our business and many of which are registered under applicable intellectual property laws. Solely for convenience, the trademarks, service marks, logos and trade names referred to in this prospectus and the documents incorporated by reference herein may be without the ® and  symbols, but such references are not intended to indicate, in any way, that we will not assert, to the fullest extent under applicable law, our rights to these trademarks, service marks and trade names. This prospectus and the documents incorporated by reference herein contain additional trademarks, service marks and trade names of others, which are the property of their respective owners. All trademarks, service marks and trade names appearing in this prospectus and the documents incorporated by reference herein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41279_2"/>
      <w:bookmarkEnd w:id="14"/>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http://www.serestherapeutics.com</w:t>
      </w:r>
      <w:r>
        <w:rPr>
          <w:rFonts w:ascii="Times New Roman" w:hAnsi="Times New Roman"/>
          <w:sz w:val="20"/>
        </w:rPr>
        <w:t xml:space="preserve">. The information on our web 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2022, filed with the SEC on </w:t>
            </w:r>
            <w:hyperlink r:id="rId11">
              <w:r>
                <w:rPr>
                  <w:rStyle w:val="InternetLink"/>
                  <w:rFonts w:ascii="Times New Roman" w:hAnsi="Times New Roman"/>
                  <w:sz w:val="20"/>
                </w:rPr>
                <w:t>March 7,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Schedule 14A, filed with the SEC on </w:t>
            </w:r>
            <w:hyperlink r:id="rId12">
              <w:r>
                <w:rPr>
                  <w:rStyle w:val="InternetLink"/>
                  <w:rFonts w:ascii="Times New Roman" w:hAnsi="Times New Roman"/>
                  <w:sz w:val="20"/>
                </w:rPr>
                <w:t>April 25,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and June 30, 2023, filed with the SEC on </w:t>
            </w:r>
            <w:hyperlink r:id="rId13">
              <w:r>
                <w:rPr>
                  <w:rStyle w:val="InternetLink"/>
                  <w:rFonts w:ascii="Times New Roman" w:hAnsi="Times New Roman"/>
                  <w:sz w:val="20"/>
                </w:rPr>
                <w:t>May  9, 2023</w:t>
              </w:r>
            </w:hyperlink>
            <w:r>
              <w:rPr>
                <w:rFonts w:ascii="Times New Roman" w:hAnsi="Times New Roman"/>
                <w:sz w:val="20"/>
              </w:rPr>
              <w:t xml:space="preserve"> and </w:t>
            </w:r>
            <w:hyperlink r:id="rId14">
              <w:r>
                <w:rPr>
                  <w:rStyle w:val="InternetLink"/>
                  <w:rFonts w:ascii="Times New Roman" w:hAnsi="Times New Roman"/>
                  <w:sz w:val="20"/>
                </w:rPr>
                <w:t>August 8,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5">
              <w:r>
                <w:rPr>
                  <w:rStyle w:val="InternetLink"/>
                  <w:rFonts w:ascii="Times New Roman" w:hAnsi="Times New Roman"/>
                  <w:sz w:val="20"/>
                </w:rPr>
                <w:t>January 5, 2023</w:t>
              </w:r>
            </w:hyperlink>
            <w:r>
              <w:rPr>
                <w:rFonts w:ascii="Times New Roman" w:hAnsi="Times New Roman"/>
                <w:sz w:val="20"/>
              </w:rPr>
              <w:t xml:space="preserve">, </w:t>
            </w:r>
            <w:hyperlink r:id="rId16">
              <w:r>
                <w:rPr>
                  <w:rStyle w:val="InternetLink"/>
                  <w:rFonts w:ascii="Times New Roman" w:hAnsi="Times New Roman"/>
                  <w:sz w:val="20"/>
                </w:rPr>
                <w:t>April  27, 2023</w:t>
              </w:r>
            </w:hyperlink>
            <w:r>
              <w:rPr>
                <w:rFonts w:ascii="Times New Roman" w:hAnsi="Times New Roman"/>
                <w:sz w:val="20"/>
              </w:rPr>
              <w:t xml:space="preserve">, </w:t>
            </w:r>
            <w:hyperlink r:id="rId17">
              <w:r>
                <w:rPr>
                  <w:rStyle w:val="InternetLink"/>
                  <w:rFonts w:ascii="Times New Roman" w:hAnsi="Times New Roman"/>
                  <w:sz w:val="20"/>
                </w:rPr>
                <w:t>June  23, 2023</w:t>
              </w:r>
            </w:hyperlink>
            <w:r>
              <w:rPr>
                <w:rFonts w:ascii="Times New Roman" w:hAnsi="Times New Roman"/>
                <w:sz w:val="20"/>
              </w:rPr>
              <w:t xml:space="preserve"> and </w:t>
            </w:r>
            <w:hyperlink r:id="rId18">
              <w:r>
                <w:rPr>
                  <w:rStyle w:val="InternetLink"/>
                  <w:rFonts w:ascii="Times New Roman" w:hAnsi="Times New Roman"/>
                  <w:sz w:val="20"/>
                </w:rPr>
                <w:t>June 28,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dated and filed with the SEC on </w:t>
            </w:r>
            <w:hyperlink r:id="rId19">
              <w:r>
                <w:rPr>
                  <w:rStyle w:val="InternetLink"/>
                  <w:rFonts w:ascii="Times New Roman" w:hAnsi="Times New Roman"/>
                  <w:sz w:val="20"/>
                </w:rPr>
                <w:t>June 22, 2015</w:t>
              </w:r>
            </w:hyperlink>
            <w:r>
              <w:rPr>
                <w:rFonts w:ascii="Times New Roman" w:hAnsi="Times New Roman"/>
                <w:sz w:val="20"/>
              </w:rPr>
              <w:t xml:space="preserve">,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furnished to, rather than filed with, the SEC, will also be incorporated by reference into this prospectus and deemed to be part of this prospectus from the date of the filing of such reports and documents. We are not, however, incorporating by reference any documents or portions thereof, whether specifically listed above or filed in the future, that are not deemed “filed” with the SEC, including our stock performance graph or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Seres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200 Sidney Street – 4th Floor </w:t>
      </w:r>
    </w:p>
    <w:p>
      <w:pPr>
        <w:pStyle w:val="TextBody"/>
        <w:bidi w:val="0"/>
        <w:spacing w:before="0" w:after="0"/>
        <w:jc w:val="center"/>
        <w:rPr>
          <w:rFonts w:ascii="Times New Roman" w:hAnsi="Times New Roman"/>
          <w:sz w:val="20"/>
        </w:rPr>
      </w:pPr>
      <w:r>
        <w:rPr>
          <w:rFonts w:ascii="Times New Roman" w:hAnsi="Times New Roman"/>
          <w:sz w:val="20"/>
        </w:rPr>
        <w:t xml:space="preserve">Cambridge, MA 02139 </w:t>
      </w:r>
    </w:p>
    <w:p>
      <w:pPr>
        <w:pStyle w:val="TextBody"/>
        <w:bidi w:val="0"/>
        <w:spacing w:before="0" w:after="0"/>
        <w:jc w:val="center"/>
        <w:rPr>
          <w:rFonts w:ascii="Times New Roman" w:hAnsi="Times New Roman"/>
          <w:sz w:val="20"/>
        </w:rPr>
      </w:pPr>
      <w:r>
        <w:rPr>
          <w:rFonts w:ascii="Times New Roman" w:hAnsi="Times New Roman"/>
          <w:sz w:val="20"/>
        </w:rPr>
        <w:t xml:space="preserve">(617) 945-9626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41279_3"/>
      <w:bookmarkEnd w:id="15"/>
      <w:r>
        <w:rPr>
          <w:rFonts w:ascii="Times New Roman" w:hAnsi="Times New Roman"/>
          <w:b/>
          <w:sz w:val="20"/>
        </w:rPr>
        <w:t xml:space="preserve">THE COMPANY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commercial-stage microbiome therapeutics company focused on the development and commercialization of a novel class of biological drugs, which are designed to treat disease by modulating the microbiome to restore health by repairing the function of a disrupted microbiome to a non-disease state. Our first drug, VOWST (fecal microbiota spores, live-brpk), formerly called SER-109, was approved by the U.S. Food and Drug Administration, or FDA, on April 26, 2023 to prevent recurrence of </w:t>
      </w:r>
      <w:r>
        <w:rPr>
          <w:rFonts w:ascii="Times New Roman" w:hAnsi="Times New Roman"/>
          <w:i/>
          <w:sz w:val="20"/>
        </w:rPr>
        <w:t>Clostridioides difficile</w:t>
      </w:r>
      <w:r>
        <w:rPr>
          <w:rFonts w:ascii="Times New Roman" w:hAnsi="Times New Roman"/>
          <w:sz w:val="20"/>
        </w:rPr>
        <w:t xml:space="preserve"> infection, or CDI, in patients 18 or older following antibacterial treatment for recurrent CDI. We launched VOWST in the United States with our collaborator, Nestlé Health Science, in June 2023. </w:t>
      </w:r>
    </w:p>
    <w:p>
      <w:pPr>
        <w:pStyle w:val="TextBody"/>
        <w:bidi w:val="0"/>
        <w:spacing w:before="240" w:after="0"/>
        <w:jc w:val="left"/>
        <w:rPr>
          <w:rFonts w:ascii="Times New Roman" w:hAnsi="Times New Roman"/>
          <w:sz w:val="20"/>
        </w:rPr>
      </w:pPr>
      <w:r>
        <w:rPr>
          <w:rFonts w:ascii="Times New Roman" w:hAnsi="Times New Roman"/>
          <w:sz w:val="20"/>
        </w:rPr>
        <w:t xml:space="preserve">Building upon VOWST, we are developing therapeutic candidates, such as SER-155, to specifically target infections and antimicrobial resistance. SER-155, a microbiome therapeutic candidate consisting of a 16-strain consortium of cultivated bacteria, is designed to prevent enteric-derived infections and resulting blood stream infections, as well as induce immune tolerance responses to reduce the incidence of Graft versus Host Disease (“GvHD”) in patients undergoing allogeneic hematopoietic stem cell transplantation. Gastrointestinal microbiome data from the first 100 days of SER-155 Phase 1b open-label study cohort 1 showed the successful engraftment of SER-155 bacterial strains, and a substantial reduction in the cumulative incidence of pathogen domination, a biomarker associated with the risk of serious enteric infections and resulting bloodstream infections, as well as GvHD. The tolerability profile observed was favorable, with no serious adverse events attributed to SER-155 administration. Enrollment in the placebo-controlled cohort 2 portion of the study is ongoing and 100-day topline results are anticipated in mid-2024. </w:t>
      </w:r>
    </w:p>
    <w:p>
      <w:pPr>
        <w:pStyle w:val="TextBody"/>
        <w:bidi w:val="0"/>
        <w:spacing w:before="240" w:after="0"/>
        <w:jc w:val="left"/>
        <w:rPr>
          <w:rFonts w:ascii="Times New Roman" w:hAnsi="Times New Roman"/>
          <w:sz w:val="20"/>
        </w:rPr>
      </w:pPr>
      <w:r>
        <w:rPr>
          <w:rFonts w:ascii="Times New Roman" w:hAnsi="Times New Roman"/>
          <w:sz w:val="20"/>
        </w:rPr>
        <w:t xml:space="preserve">We are also progressing additional preclinical stage programs to evaluate how microbiome therapeutics may reduce incidence of infections in indications such as cancer neutropenia, chronic liver disease, solid organ transplant, and antimicrobial resistant infections more broadly in settings of high-risk such as intensive care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www.serestherapeutics.com. The information contained in, or accessible through, our website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41279_4"/>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41279_5"/>
      <w:bookmarkEnd w:id="1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41279_6"/>
      <w:bookmarkEnd w:id="1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and certain provisions of our restated certificate of incorporation and amended and restated bylaws are summaries and are qualified in their entirety by reference to the applicable provisions of our restated certificate of incorporation and amended and restated bylaws, which have been publicly filed with the Securities and Exchange Commission. We encourage you to read our restated certificate of incorporation, our amended and restated bylaws and the applicable provisions of the General Corporation Law of the State of Delaware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240,000,000 shares of common stock, par value $0.001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of preferred stock, par value $0.001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 xml:space="preserve">Voting Rights. </w:t>
      </w:r>
      <w:r>
        <w:rPr>
          <w:rFonts w:ascii="Times New Roman" w:hAnsi="Times New Roman"/>
          <w:sz w:val="20"/>
        </w:rPr>
        <w:t xml:space="preserve">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 xml:space="preserve">Rights Upon Liquidation. </w:t>
      </w:r>
      <w:r>
        <w:rPr>
          <w:rFonts w:ascii="Times New Roman" w:hAnsi="Times New Roman"/>
          <w:sz w:val="20"/>
        </w:rPr>
        <w:t xml:space="preserve">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 xml:space="preserve">Other Rights. </w:t>
      </w:r>
      <w:r>
        <w:rPr>
          <w:rFonts w:ascii="Times New Roman" w:hAnsi="Times New Roman"/>
          <w:sz w:val="20"/>
        </w:rPr>
        <w:t xml:space="preserve">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our board of directors is authorized to direct us to issue shares of preferred stock in one or more series without stockholder approval. Our board of directors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240" w:after="0"/>
        <w:jc w:val="left"/>
        <w:rPr>
          <w:rFonts w:ascii="Times New Roman" w:hAnsi="Times New Roman"/>
          <w:sz w:val="20"/>
        </w:rPr>
      </w:pPr>
      <w:r>
        <w:rPr>
          <w:rFonts w:ascii="Times New Roman" w:hAnsi="Times New Roman"/>
          <w:i/>
          <w:sz w:val="20"/>
        </w:rPr>
        <w:t>Undesignated Preferred Stock</w:t>
      </w:r>
      <w:r>
        <w:rPr>
          <w:rFonts w:ascii="Times New Roman" w:hAnsi="Times New Roman"/>
          <w:sz w:val="20"/>
        </w:rPr>
        <w:t xml:space="preserve">. The ability of our board of directors, without action by the stockholders, to 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 </w:t>
      </w:r>
    </w:p>
    <w:p>
      <w:pPr>
        <w:pStyle w:val="TextBody"/>
        <w:bidi w:val="0"/>
        <w:spacing w:before="240" w:after="0"/>
        <w:jc w:val="left"/>
        <w:rPr>
          <w:rFonts w:ascii="Times New Roman" w:hAnsi="Times New Roman"/>
          <w:sz w:val="20"/>
        </w:rPr>
      </w:pPr>
      <w:r>
        <w:rPr>
          <w:rFonts w:ascii="Times New Roman" w:hAnsi="Times New Roman"/>
          <w:i/>
          <w:sz w:val="20"/>
        </w:rPr>
        <w:t>Stockholder Meetings</w:t>
      </w:r>
      <w:r>
        <w:rPr>
          <w:rFonts w:ascii="Times New Roman" w:hAnsi="Times New Roman"/>
          <w:sz w:val="20"/>
        </w:rPr>
        <w:t xml:space="preserve">. Our amended and restated bylaws provide that a special meeting of stockholders may be called only by our chairman of the board, chief executive officer or president (in the absence of a chief executive officer), or by a resolution adopted by a majority of our board of directors. </w:t>
      </w:r>
    </w:p>
    <w:p>
      <w:pPr>
        <w:pStyle w:val="TextBody"/>
        <w:bidi w:val="0"/>
        <w:spacing w:before="240" w:after="0"/>
        <w:jc w:val="left"/>
        <w:rPr>
          <w:rFonts w:ascii="Times New Roman" w:hAnsi="Times New Roman"/>
          <w:sz w:val="20"/>
        </w:rPr>
      </w:pPr>
      <w:r>
        <w:rPr>
          <w:rFonts w:ascii="Times New Roman" w:hAnsi="Times New Roman"/>
          <w:i/>
          <w:sz w:val="20"/>
        </w:rPr>
        <w:t>Requirements for Advance Notification of Stockholder Nominations and Proposals</w:t>
      </w:r>
      <w:r>
        <w:rPr>
          <w:rFonts w:ascii="Times New Roman" w:hAnsi="Times New Roman"/>
          <w:sz w:val="20"/>
        </w:rPr>
        <w:t xml:space="preserve">. 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240" w:after="0"/>
        <w:jc w:val="left"/>
        <w:rPr>
          <w:rFonts w:ascii="Times New Roman" w:hAnsi="Times New Roman"/>
          <w:sz w:val="20"/>
        </w:rPr>
      </w:pPr>
      <w:r>
        <w:rPr>
          <w:rFonts w:ascii="Times New Roman" w:hAnsi="Times New Roman"/>
          <w:i/>
          <w:sz w:val="20"/>
        </w:rPr>
        <w:t>Elimination of Stockholder Action by Written Consent</w:t>
      </w:r>
      <w:r>
        <w:rPr>
          <w:rFonts w:ascii="Times New Roman" w:hAnsi="Times New Roman"/>
          <w:sz w:val="20"/>
        </w:rPr>
        <w:t xml:space="preserve">. Our restated certificate of incorporation eliminates the right of stockholders to act by written consent without a meeting. </w:t>
      </w:r>
    </w:p>
    <w:p>
      <w:pPr>
        <w:pStyle w:val="TextBody"/>
        <w:bidi w:val="0"/>
        <w:spacing w:before="240" w:after="0"/>
        <w:jc w:val="left"/>
        <w:rPr>
          <w:rFonts w:ascii="Times New Roman" w:hAnsi="Times New Roman"/>
          <w:sz w:val="20"/>
        </w:rPr>
      </w:pPr>
      <w:r>
        <w:rPr>
          <w:rFonts w:ascii="Times New Roman" w:hAnsi="Times New Roman"/>
          <w:i/>
          <w:sz w:val="20"/>
        </w:rPr>
        <w:t>Staggered Board</w:t>
      </w:r>
      <w:r>
        <w:rPr>
          <w:rFonts w:ascii="Times New Roman" w:hAnsi="Times New Roman"/>
          <w:sz w:val="20"/>
        </w:rPr>
        <w:t xml:space="preserve">. 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Stockholders Not Entitled to Cumulative Voting.</w:t>
      </w:r>
      <w:r>
        <w:rPr>
          <w:rFonts w:ascii="Times New Roman" w:hAnsi="Times New Roman"/>
          <w:sz w:val="20"/>
        </w:rPr>
        <w:t xml:space="preserve"> 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xml:space="preserve"> 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 </w:t>
      </w:r>
    </w:p>
    <w:p>
      <w:pPr>
        <w:pStyle w:val="TextBody"/>
        <w:bidi w:val="0"/>
        <w:spacing w:before="240" w:after="0"/>
        <w:jc w:val="left"/>
        <w:rPr>
          <w:rFonts w:ascii="Times New Roman" w:hAnsi="Times New Roman"/>
          <w:sz w:val="20"/>
        </w:rPr>
      </w:pPr>
      <w:r>
        <w:rPr>
          <w:rFonts w:ascii="Times New Roman" w:hAnsi="Times New Roman"/>
          <w:i/>
          <w:sz w:val="20"/>
        </w:rPr>
        <w:t>Choice of Forum.</w:t>
      </w:r>
      <w:r>
        <w:rPr>
          <w:rFonts w:ascii="Times New Roman" w:hAnsi="Times New Roman"/>
          <w:sz w:val="20"/>
        </w:rPr>
        <w:t xml:space="preserve"> 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will be deemed to have notice of and to have consented to these choice of forum provisions. It is possible that a court of law could find the choice of forum provisions contained in our restated certificate of incorporation or bylaws to be inapplicable or unenforceable if challenged in a proceeding or otherwise. </w:t>
      </w:r>
    </w:p>
    <w:p>
      <w:pPr>
        <w:pStyle w:val="TextBody"/>
        <w:bidi w:val="0"/>
        <w:spacing w:before="240" w:after="0"/>
        <w:jc w:val="left"/>
        <w:rPr>
          <w:rFonts w:ascii="Times New Roman" w:hAnsi="Times New Roman"/>
          <w:sz w:val="20"/>
        </w:rPr>
      </w:pPr>
      <w:r>
        <w:rPr>
          <w:rFonts w:ascii="Times New Roman" w:hAnsi="Times New Roman"/>
          <w:i/>
          <w:sz w:val="20"/>
        </w:rPr>
        <w:t xml:space="preserve">Amendment of Restated Certificate of Incorporation. </w:t>
      </w:r>
      <w:r>
        <w:rPr>
          <w:rFonts w:ascii="Times New Roman" w:hAnsi="Times New Roman"/>
          <w:sz w:val="20"/>
        </w:rPr>
        <w:t xml:space="preserve">The amendment of any of the above provisions in our restated certificate of incorporation, except for the provision making it possible for our board of directors to issue preferred stock and the provision prohibiting cumulative voting, would require approval by holders of at least two-thirds in voting power of the outstanding shares of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41279_7"/>
      <w:bookmarkEnd w:id="1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“Seres,” “we,” “our” or “us” refer to Seres Therapeutics,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entity or the successor person (if other than Seres) is a corporation, partnership, trust or other entity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Seres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Seres;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41279_8"/>
      <w:bookmarkEnd w:id="2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shareholders with respect to any meeting of shareholders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shareholders of Seres.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41279_9"/>
      <w:bookmarkEnd w:id="2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41279_10"/>
      <w:bookmarkEnd w:id="22"/>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41279_11"/>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41279_12"/>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Seres Therapeutics,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5" w:name="toc141279_13"/>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2022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103,520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09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3790950" cy="14097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July 31,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09809/000119312526085368/d13425d8k.htm" TargetMode="External"/><Relationship Id="rId4" Type="http://schemas.openxmlformats.org/officeDocument/2006/relationships/hyperlink" Target="http://www.sec.gov/Archives/edgar/data/../../../ix?doc=/Archives/edgar/data/1609809/000119312526108482/d47103d8k.htm" TargetMode="External"/><Relationship Id="rId5" Type="http://schemas.openxmlformats.org/officeDocument/2006/relationships/hyperlink" Target="http://www.sec.gov/Archives/edgar/data/../../../ix?doc=/Archives/edgar/data/1609809/000119312526251548/d100982d8k.htm" TargetMode="External"/><Relationship Id="rId6" Type="http://schemas.openxmlformats.org/officeDocument/2006/relationships/hyperlink" Target="http://www.sec.gov/Archives/edgar/data/../../../ix?doc=/Archives/edgar/data/1609809/000119312526258366/d156701d8k.htm" TargetMode="External"/><Relationship Id="rId7" Type="http://schemas.openxmlformats.org/officeDocument/2006/relationships/hyperlink" Target="http://www.sec.gov/Archives/edgar/data/../../../ix?doc=/Archives/edgar/data/1609809/000119312526298005/d130829d8k.htm" TargetMode="External"/><Relationship Id="rId8" Type="http://schemas.openxmlformats.org/officeDocument/2006/relationships/hyperlink" Target="http://www.sec.gov/Archives/edgar/data/../../../ix?doc=/Archives/edgar/data/1609809/000119312526205434/mcrb-20260331.htm" TargetMode="External"/><Relationship Id="rId9" Type="http://schemas.openxmlformats.org/officeDocument/2006/relationships/hyperlink" Target="http://www.sec.gov/Archives/edgar/data/1609809/000119312515230190/d816354d8a12b.htm" TargetMode="External"/><Relationship Id="rId10" Type="http://schemas.openxmlformats.org/officeDocument/2006/relationships/image" Target="media/image2.jpeg"/><Relationship Id="rId11" Type="http://schemas.openxmlformats.org/officeDocument/2006/relationships/hyperlink" Target="http://www.sec.gov/Archives/edgar/data/../../../ix?doc=/Archives/edgar/data/1609809/000095017023006374/mcrb-20221231.htm" TargetMode="External"/><Relationship Id="rId12" Type="http://schemas.openxmlformats.org/officeDocument/2006/relationships/hyperlink" Target="http://www.sec.gov/Archives/edgar/data/../../../ix?doc=/Archives/edgar/data/1609809/000095017023014419/mcrb-20230425.htm" TargetMode="External"/><Relationship Id="rId13" Type="http://schemas.openxmlformats.org/officeDocument/2006/relationships/hyperlink" Target="http://www.sec.gov/Archives/edgar/data/../../../ix?doc=/Archives/edgar/data/1609809/000095017023019222/mcrb-20230331.htm" TargetMode="External"/><Relationship Id="rId14" Type="http://schemas.openxmlformats.org/officeDocument/2006/relationships/hyperlink" Target="http://www.sec.gov/Archives/edgar/data/../../../ix?doc=/Archives/edgar/data/1609809/000095017023039439/mcrb-20230630.htm" TargetMode="External"/><Relationship Id="rId15" Type="http://schemas.openxmlformats.org/officeDocument/2006/relationships/hyperlink" Target="http://www.sec.gov/Archives/edgar/data/../../../ix?doc=/Archives/edgar/data/1609809/000119312523002405/d436852d8k.htm" TargetMode="External"/><Relationship Id="rId16" Type="http://schemas.openxmlformats.org/officeDocument/2006/relationships/hyperlink" Target="http://www.sec.gov/Archives/edgar/data/../../../ix?doc=/Archives/edgar/data/1609809/000119312523120045/d200991d8k.htm" TargetMode="External"/><Relationship Id="rId17" Type="http://schemas.openxmlformats.org/officeDocument/2006/relationships/hyperlink" Target="http://www.sec.gov/Archives/edgar/data/../../../ix?doc=/Archives/edgar/data/1609809/000119312523173803/d518244d8k.htm" TargetMode="External"/><Relationship Id="rId18" Type="http://schemas.openxmlformats.org/officeDocument/2006/relationships/hyperlink" Target="http://www.sec.gov/Archives/edgar/data/../../../ix?doc=/Archives/edgar/data/1609809/000119312523176795/d506361d8k.htm" TargetMode="External"/><Relationship Id="rId19" Type="http://schemas.openxmlformats.org/officeDocument/2006/relationships/hyperlink" Target="http://www.sec.gov/Archives/edgar/data/1609809/000119312515230190/d816354d8a12b.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18003</Words>
  <Characters>95534</Characters>
  <CharactersWithSpaces>113915</CharactersWithSpaces>
  <Paragraphs>1238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