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68580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ANNUAL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91"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90" w:lineRule="exact"/>
        <w:rPr>
          <w:sz w:val="24"/>
          <w:szCs w:val="24"/>
          <w:color w:val="auto"/>
        </w:rPr>
      </w:pPr>
    </w:p>
    <w:p>
      <w:pPr>
        <w:ind w:left="414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001-37465</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Seres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-274320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060" w:type="dxa"/>
            <w:vAlign w:val="bottom"/>
          </w:tcPr>
          <w:p>
            <w:pPr>
              <w:jc w:val="center"/>
              <w:ind w:left="1484"/>
              <w:spacing w:after="0"/>
              <w:rPr>
                <w:sz w:val="20"/>
                <w:szCs w:val="20"/>
                <w:color w:val="auto"/>
              </w:rPr>
            </w:pPr>
            <w:r>
              <w:rPr>
                <w:rFonts w:ascii="Arial" w:cs="Arial" w:eastAsia="Arial" w:hAnsi="Arial"/>
                <w:sz w:val="16"/>
                <w:szCs w:val="16"/>
                <w:b w:val="1"/>
                <w:bCs w:val="1"/>
                <w:color w:val="auto"/>
                <w:w w:val="93"/>
              </w:rPr>
              <w:t>Delaware</w:t>
            </w:r>
          </w:p>
        </w:tc>
        <w:tc>
          <w:tcPr>
            <w:tcW w:w="7360" w:type="dxa"/>
            <w:vAlign w:val="bottom"/>
            <w:gridSpan w:val="7"/>
          </w:tcPr>
          <w:p>
            <w:pPr>
              <w:jc w:val="right"/>
              <w:ind w:right="2319"/>
              <w:spacing w:after="0"/>
              <w:rPr>
                <w:sz w:val="20"/>
                <w:szCs w:val="20"/>
                <w:color w:val="auto"/>
              </w:rPr>
            </w:pPr>
            <w:r>
              <w:rPr>
                <w:rFonts w:ascii="Arial" w:cs="Arial" w:eastAsia="Arial" w:hAnsi="Arial"/>
                <w:sz w:val="16"/>
                <w:szCs w:val="16"/>
                <w:b w:val="1"/>
                <w:bCs w:val="1"/>
                <w:color w:val="231F20"/>
              </w:rPr>
              <w:t>27-4326290</w:t>
            </w:r>
          </w:p>
        </w:tc>
        <w:tc>
          <w:tcPr>
            <w:tcW w:w="0" w:type="dxa"/>
            <w:vAlign w:val="bottom"/>
          </w:tcPr>
          <w:p>
            <w:pPr>
              <w:spacing w:after="0"/>
              <w:rPr>
                <w:sz w:val="1"/>
                <w:szCs w:val="1"/>
                <w:color w:val="auto"/>
              </w:rPr>
            </w:pPr>
          </w:p>
        </w:tc>
      </w:tr>
      <w:tr>
        <w:trPr>
          <w:trHeight w:val="149"/>
        </w:trPr>
        <w:tc>
          <w:tcPr>
            <w:tcW w:w="4060" w:type="dxa"/>
            <w:vAlign w:val="bottom"/>
          </w:tcPr>
          <w:p>
            <w:pPr>
              <w:jc w:val="center"/>
              <w:ind w:left="148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560" w:type="dxa"/>
            <w:vAlign w:val="bottom"/>
            <w:gridSpan w:val="3"/>
          </w:tcPr>
          <w:p>
            <w:pPr>
              <w:jc w:val="center"/>
              <w:ind w:right="939"/>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4060" w:type="dxa"/>
            <w:vAlign w:val="bottom"/>
          </w:tcPr>
          <w:p>
            <w:pPr>
              <w:jc w:val="center"/>
              <w:ind w:left="1484"/>
              <w:spacing w:after="0"/>
              <w:rPr>
                <w:sz w:val="20"/>
                <w:szCs w:val="20"/>
                <w:color w:val="auto"/>
              </w:rPr>
            </w:pPr>
            <w:r>
              <w:rPr>
                <w:rFonts w:ascii="Arial" w:cs="Arial" w:eastAsia="Arial" w:hAnsi="Arial"/>
                <w:sz w:val="14"/>
                <w:szCs w:val="14"/>
                <w:b w:val="1"/>
                <w:bCs w:val="1"/>
                <w:color w:val="auto"/>
                <w:w w:val="95"/>
              </w:rPr>
              <w:t>Incorporation or Organization)</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560" w:type="dxa"/>
            <w:vAlign w:val="bottom"/>
            <w:gridSpan w:val="3"/>
          </w:tcPr>
          <w:p>
            <w:pPr>
              <w:jc w:val="center"/>
              <w:ind w:right="959"/>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55"/>
        </w:trPr>
        <w:tc>
          <w:tcPr>
            <w:tcW w:w="4060" w:type="dxa"/>
            <w:vAlign w:val="bottom"/>
          </w:tcPr>
          <w:p>
            <w:pPr>
              <w:jc w:val="center"/>
              <w:ind w:left="1484"/>
              <w:spacing w:after="0" w:line="254" w:lineRule="exact"/>
              <w:rPr>
                <w:sz w:val="20"/>
                <w:szCs w:val="20"/>
                <w:color w:val="auto"/>
              </w:rPr>
            </w:pPr>
            <w:r>
              <w:rPr>
                <w:rFonts w:ascii="Arial" w:cs="Arial" w:eastAsia="Arial" w:hAnsi="Arial"/>
                <w:sz w:val="16"/>
                <w:szCs w:val="16"/>
                <w:b w:val="1"/>
                <w:bCs w:val="1"/>
                <w:color w:val="auto"/>
                <w:w w:val="89"/>
              </w:rPr>
              <w:t>200 Sidney Street – 4</w:t>
            </w:r>
            <w:r>
              <w:rPr>
                <w:rFonts w:ascii="Arial" w:cs="Arial" w:eastAsia="Arial" w:hAnsi="Arial"/>
                <w:sz w:val="27"/>
                <w:szCs w:val="27"/>
                <w:b w:val="1"/>
                <w:bCs w:val="1"/>
                <w:color w:val="auto"/>
                <w:w w:val="89"/>
                <w:vertAlign w:val="superscript"/>
              </w:rPr>
              <w:t>th</w:t>
            </w:r>
            <w:r>
              <w:rPr>
                <w:rFonts w:ascii="Arial" w:cs="Arial" w:eastAsia="Arial" w:hAnsi="Arial"/>
                <w:sz w:val="16"/>
                <w:szCs w:val="16"/>
                <w:b w:val="1"/>
                <w:bCs w:val="1"/>
                <w:color w:val="auto"/>
                <w:w w:val="89"/>
              </w:rPr>
              <w:t xml:space="preserve"> Floor</w:t>
            </w: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060" w:type="dxa"/>
            <w:vAlign w:val="bottom"/>
          </w:tcPr>
          <w:p>
            <w:pPr>
              <w:jc w:val="center"/>
              <w:ind w:left="1484"/>
              <w:spacing w:after="0"/>
              <w:rPr>
                <w:sz w:val="20"/>
                <w:szCs w:val="20"/>
                <w:color w:val="auto"/>
              </w:rPr>
            </w:pPr>
            <w:r>
              <w:rPr>
                <w:rFonts w:ascii="Arial" w:cs="Arial" w:eastAsia="Arial" w:hAnsi="Arial"/>
                <w:sz w:val="16"/>
                <w:szCs w:val="16"/>
                <w:b w:val="1"/>
                <w:bCs w:val="1"/>
                <w:color w:val="auto"/>
                <w:w w:val="89"/>
              </w:rPr>
              <w:t>Cambridge, Massachusetts</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b w:val="1"/>
                <w:bCs w:val="1"/>
                <w:color w:val="auto"/>
              </w:rPr>
              <w:t>02139</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60" w:type="dxa"/>
            <w:vAlign w:val="bottom"/>
          </w:tcPr>
          <w:p>
            <w:pPr>
              <w:jc w:val="center"/>
              <w:ind w:left="148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140" w:type="dxa"/>
            <w:vAlign w:val="bottom"/>
            <w:gridSpan w:val="2"/>
          </w:tcPr>
          <w:p>
            <w:pPr>
              <w:jc w:val="center"/>
              <w:ind w:right="235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73"/>
        </w:trPr>
        <w:tc>
          <w:tcPr>
            <w:tcW w:w="4060" w:type="dxa"/>
            <w:vAlign w:val="bottom"/>
          </w:tcPr>
          <w:p>
            <w:pPr>
              <w:spacing w:after="0"/>
              <w:rPr>
                <w:sz w:val="23"/>
                <w:szCs w:val="23"/>
                <w:color w:val="auto"/>
              </w:rPr>
            </w:pPr>
          </w:p>
        </w:tc>
        <w:tc>
          <w:tcPr>
            <w:tcW w:w="2800" w:type="dxa"/>
            <w:vAlign w:val="bottom"/>
            <w:gridSpan w:val="4"/>
          </w:tcPr>
          <w:p>
            <w:pPr>
              <w:jc w:val="center"/>
              <w:ind w:left="422"/>
              <w:spacing w:after="0"/>
              <w:rPr>
                <w:sz w:val="20"/>
                <w:szCs w:val="20"/>
                <w:color w:val="auto"/>
              </w:rPr>
            </w:pPr>
            <w:r>
              <w:rPr>
                <w:rFonts w:ascii="Arial" w:cs="Arial" w:eastAsia="Arial" w:hAnsi="Arial"/>
                <w:sz w:val="16"/>
                <w:szCs w:val="16"/>
                <w:b w:val="1"/>
                <w:bCs w:val="1"/>
                <w:color w:val="auto"/>
                <w:w w:val="93"/>
              </w:rPr>
              <w:t>(617) 945-9626</w:t>
            </w:r>
          </w:p>
        </w:tc>
        <w:tc>
          <w:tcPr>
            <w:tcW w:w="1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8280" w:type="dxa"/>
            <w:vAlign w:val="bottom"/>
            <w:gridSpan w:val="6"/>
          </w:tcPr>
          <w:p>
            <w:pPr>
              <w:jc w:val="center"/>
              <w:ind w:left="3084"/>
              <w:spacing w:after="0" w:line="153" w:lineRule="exact"/>
              <w:rPr>
                <w:sz w:val="20"/>
                <w:szCs w:val="20"/>
                <w:color w:val="auto"/>
              </w:rPr>
            </w:pPr>
            <w:r>
              <w:rPr>
                <w:rFonts w:ascii="Arial" w:cs="Arial" w:eastAsia="Arial" w:hAnsi="Arial"/>
                <w:sz w:val="14"/>
                <w:szCs w:val="14"/>
                <w:b w:val="1"/>
                <w:bCs w:val="1"/>
                <w:color w:val="auto"/>
                <w:w w:val="93"/>
              </w:rPr>
              <w:t>(Registrant’s Telephone Number, Including Area Code)</w:t>
            </w:r>
          </w:p>
        </w:tc>
        <w:tc>
          <w:tcPr>
            <w:tcW w:w="6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4220" w:type="dxa"/>
            <w:vAlign w:val="bottom"/>
            <w:gridSpan w:val="5"/>
          </w:tcPr>
          <w:p>
            <w:pPr>
              <w:jc w:val="center"/>
              <w:ind w:right="82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6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4060" w:type="dxa"/>
            <w:vAlign w:val="bottom"/>
            <w:tcBorders>
              <w:bottom w:val="single" w:sz="8" w:color="auto"/>
            </w:tcBorders>
          </w:tcPr>
          <w:p>
            <w:pPr>
              <w:jc w:val="center"/>
              <w:ind w:left="1504"/>
              <w:spacing w:after="0"/>
              <w:rPr>
                <w:sz w:val="20"/>
                <w:szCs w:val="20"/>
                <w:color w:val="auto"/>
              </w:rPr>
            </w:pPr>
            <w:r>
              <w:rPr>
                <w:rFonts w:ascii="Arial" w:cs="Arial" w:eastAsia="Arial" w:hAnsi="Arial"/>
                <w:sz w:val="14"/>
                <w:szCs w:val="14"/>
                <w:b w:val="1"/>
                <w:bCs w:val="1"/>
                <w:color w:val="auto"/>
                <w:w w:val="89"/>
              </w:rPr>
              <w:t>Title of each class</w:t>
            </w: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959"/>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6"/>
        </w:trPr>
        <w:tc>
          <w:tcPr>
            <w:tcW w:w="4060" w:type="dxa"/>
            <w:vAlign w:val="bottom"/>
          </w:tcPr>
          <w:p>
            <w:pPr>
              <w:jc w:val="center"/>
              <w:ind w:left="1484"/>
              <w:spacing w:after="0"/>
              <w:rPr>
                <w:sz w:val="20"/>
                <w:szCs w:val="20"/>
                <w:color w:val="auto"/>
              </w:rPr>
            </w:pPr>
            <w:r>
              <w:rPr>
                <w:rFonts w:ascii="Arial" w:cs="Arial" w:eastAsia="Arial" w:hAnsi="Arial"/>
                <w:sz w:val="14"/>
                <w:szCs w:val="14"/>
                <w:color w:val="auto"/>
                <w:w w:val="91"/>
              </w:rPr>
              <w:t>Common stock, par value $0.001 per share</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560" w:type="dxa"/>
            <w:vAlign w:val="bottom"/>
            <w:gridSpan w:val="3"/>
          </w:tcPr>
          <w:p>
            <w:pPr>
              <w:jc w:val="center"/>
              <w:ind w:right="959"/>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211"/>
        </w:trPr>
        <w:tc>
          <w:tcPr>
            <w:tcW w:w="8280" w:type="dxa"/>
            <w:vAlign w:val="bottom"/>
            <w:gridSpan w:val="6"/>
          </w:tcPr>
          <w:p>
            <w:pPr>
              <w:jc w:val="center"/>
              <w:ind w:left="3084"/>
              <w:spacing w:after="0"/>
              <w:rPr>
                <w:sz w:val="20"/>
                <w:szCs w:val="20"/>
                <w:color w:val="auto"/>
              </w:rPr>
            </w:pPr>
            <w:r>
              <w:rPr>
                <w:rFonts w:ascii="Arial" w:cs="Arial" w:eastAsia="Arial" w:hAnsi="Arial"/>
                <w:sz w:val="14"/>
                <w:szCs w:val="14"/>
                <w:color w:val="auto"/>
                <w:w w:val="93"/>
              </w:rPr>
              <w:t>Securities Registered pursuant to Section 12(g) of the Act: None</w:t>
            </w:r>
          </w:p>
        </w:tc>
        <w:tc>
          <w:tcPr>
            <w:tcW w:w="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580" w:type="dxa"/>
            <w:vAlign w:val="bottom"/>
            <w:gridSpan w:val="2"/>
          </w:tcPr>
          <w:p>
            <w:pPr>
              <w:spacing w:after="0"/>
              <w:rPr>
                <w:sz w:val="6"/>
                <w:szCs w:val="6"/>
                <w:color w:val="auto"/>
              </w:rPr>
            </w:pPr>
          </w:p>
        </w:tc>
        <w:tc>
          <w:tcPr>
            <w:tcW w:w="2280" w:type="dxa"/>
            <w:vAlign w:val="bottom"/>
            <w:tcBorders>
              <w:bottom w:val="single" w:sz="8" w:color="auto"/>
            </w:tcBorders>
            <w:gridSpan w:val="3"/>
          </w:tcPr>
          <w:p>
            <w:pPr>
              <w:spacing w:after="0"/>
              <w:rPr>
                <w:sz w:val="6"/>
                <w:szCs w:val="6"/>
                <w:color w:val="auto"/>
              </w:rPr>
            </w:pPr>
          </w:p>
        </w:tc>
        <w:tc>
          <w:tcPr>
            <w:tcW w:w="1420" w:type="dxa"/>
            <w:vAlign w:val="bottom"/>
          </w:tcPr>
          <w:p>
            <w:pPr>
              <w:spacing w:after="0"/>
              <w:rPr>
                <w:sz w:val="6"/>
                <w:szCs w:val="6"/>
                <w:color w:val="auto"/>
              </w:rPr>
            </w:pPr>
          </w:p>
        </w:tc>
        <w:tc>
          <w:tcPr>
            <w:tcW w:w="640" w:type="dxa"/>
            <w:vAlign w:val="bottom"/>
            <w:vMerge w:val="restart"/>
          </w:tcPr>
          <w:p>
            <w:pPr>
              <w:ind w:left="2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p>
        </w:tc>
        <w:tc>
          <w:tcPr>
            <w:tcW w:w="2500" w:type="dxa"/>
            <w:vAlign w:val="bottom"/>
            <w:vMerge w:val="restart"/>
          </w:tcPr>
          <w:p>
            <w:pPr>
              <w:spacing w:after="0" w:line="184" w:lineRule="exact"/>
              <w:rPr>
                <w:sz w:val="20"/>
                <w:szCs w:val="20"/>
                <w:color w:val="auto"/>
              </w:rPr>
            </w:pP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6"/>
        </w:trPr>
        <w:tc>
          <w:tcPr>
            <w:tcW w:w="8280" w:type="dxa"/>
            <w:vAlign w:val="bottom"/>
            <w:gridSpan w:val="6"/>
          </w:tcPr>
          <w:p>
            <w:pPr>
              <w:ind w:left="52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40" w:type="dxa"/>
            <w:vAlign w:val="bottom"/>
            <w:vMerge w:val="continue"/>
          </w:tcPr>
          <w:p>
            <w:pPr>
              <w:spacing w:after="0"/>
              <w:rPr>
                <w:sz w:val="23"/>
                <w:szCs w:val="23"/>
                <w:color w:val="auto"/>
              </w:rPr>
            </w:pPr>
          </w:p>
        </w:tc>
        <w:tc>
          <w:tcPr>
            <w:tcW w:w="2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280" w:type="dxa"/>
            <w:vAlign w:val="bottom"/>
            <w:gridSpan w:val="6"/>
          </w:tcPr>
          <w:p>
            <w:pPr>
              <w:ind w:left="52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40" w:type="dxa"/>
            <w:vAlign w:val="bottom"/>
          </w:tcPr>
          <w:p>
            <w:pPr>
              <w:ind w:left="160"/>
              <w:spacing w:after="0" w:line="184" w:lineRule="exact"/>
              <w:rPr>
                <w:sz w:val="20"/>
                <w:szCs w:val="20"/>
                <w:color w:val="auto"/>
              </w:rPr>
            </w:pPr>
            <w:r>
              <w:rPr>
                <w:rFonts w:ascii="Arial" w:cs="Arial" w:eastAsia="Arial" w:hAnsi="Arial"/>
                <w:sz w:val="16"/>
                <w:szCs w:val="16"/>
                <w:b w:val="1"/>
                <w:bCs w:val="1"/>
                <w:color w:val="auto"/>
                <w:w w:val="93"/>
              </w:rPr>
              <w:t xml:space="preserve">Yes </w:t>
            </w:r>
            <w:r>
              <w:rPr>
                <w:rFonts w:ascii="MS PGothic" w:cs="MS PGothic" w:eastAsia="MS PGothic" w:hAnsi="MS PGothic"/>
                <w:sz w:val="16"/>
                <w:szCs w:val="16"/>
                <w:color w:val="auto"/>
                <w:w w:val="93"/>
              </w:rPr>
              <w:t>☐</w:t>
            </w:r>
          </w:p>
        </w:tc>
        <w:tc>
          <w:tcPr>
            <w:tcW w:w="2500" w:type="dxa"/>
            <w:vAlign w:val="bottom"/>
          </w:tcPr>
          <w:p>
            <w:pPr>
              <w:ind w:left="140"/>
              <w:spacing w:after="0" w:line="184" w:lineRule="exact"/>
              <w:rPr>
                <w:sz w:val="20"/>
                <w:szCs w:val="20"/>
                <w:color w:val="auto"/>
              </w:rPr>
            </w:pP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right="30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700" w:val="left"/>
          <w:tab w:leader="none" w:pos="1320" w:val="left"/>
        </w:tabs>
        <w:rPr>
          <w:sz w:val="20"/>
          <w:szCs w:val="20"/>
          <w:color w:val="auto"/>
        </w:rPr>
      </w:pPr>
      <w:r>
        <w:rPr>
          <w:rFonts w:ascii="Arial" w:cs="Arial" w:eastAsia="Arial" w:hAnsi="Arial"/>
          <w:sz w:val="16"/>
          <w:szCs w:val="16"/>
          <w:color w:val="auto"/>
        </w:rPr>
        <w:t>90 days.</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3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61" w:lineRule="exact"/>
        <w:rPr>
          <w:sz w:val="24"/>
          <w:szCs w:val="24"/>
          <w:color w:val="auto"/>
        </w:rPr>
      </w:pPr>
    </w:p>
    <w:p>
      <w:pPr>
        <w:ind w:right="80" w:firstLine="518"/>
        <w:spacing w:after="0" w:line="21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7" w:lineRule="exact"/>
        <w:rPr>
          <w:sz w:val="24"/>
          <w:szCs w:val="24"/>
          <w:color w:val="auto"/>
        </w:rPr>
      </w:pPr>
    </w:p>
    <w:p>
      <w:pPr>
        <w:ind w:right="12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the "large accelerated filer," "accelerated filer," "non-accelerated filer," "smaller reporting company" and “emerging growth company” in Rule 12b-2 of the Exchange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24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0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240" w:type="dxa"/>
            <w:vAlign w:val="bottom"/>
          </w:tcPr>
          <w:p>
            <w:pPr>
              <w:ind w:left="108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460" w:type="dxa"/>
            <w:vAlign w:val="bottom"/>
          </w:tcPr>
          <w:p>
            <w:pPr>
              <w:spacing w:after="0"/>
              <w:rPr>
                <w:sz w:val="20"/>
                <w:szCs w:val="20"/>
                <w:color w:val="auto"/>
              </w:rPr>
            </w:pPr>
            <w:r>
              <w:rPr>
                <w:rFonts w:ascii="Arial" w:cs="Arial" w:eastAsia="Arial" w:hAnsi="Arial"/>
                <w:sz w:val="16"/>
                <w:szCs w:val="16"/>
                <w:color w:val="auto"/>
              </w:rPr>
              <w:t>Non-accelerated filer</w:t>
            </w:r>
          </w:p>
        </w:tc>
        <w:tc>
          <w:tcPr>
            <w:tcW w:w="5040" w:type="dxa"/>
            <w:vAlign w:val="bottom"/>
          </w:tcPr>
          <w:p>
            <w:pPr>
              <w:ind w:left="700"/>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(Do not check if a smaller reporting company)</w:t>
            </w:r>
          </w:p>
        </w:tc>
        <w:tc>
          <w:tcPr>
            <w:tcW w:w="3240" w:type="dxa"/>
            <w:vAlign w:val="bottom"/>
          </w:tcPr>
          <w:p>
            <w:pPr>
              <w:ind w:left="108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4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0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24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54" w:lineRule="exact"/>
        <w:rPr>
          <w:sz w:val="24"/>
          <w:szCs w:val="24"/>
          <w:color w:val="auto"/>
        </w:rPr>
      </w:pPr>
    </w:p>
    <w:p>
      <w:pPr>
        <w:ind w:right="20" w:firstLine="518"/>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8" w:lineRule="exact"/>
        <w:rPr>
          <w:sz w:val="24"/>
          <w:szCs w:val="24"/>
          <w:color w:val="auto"/>
        </w:rPr>
      </w:pPr>
    </w:p>
    <w:p>
      <w:pPr>
        <w:ind w:left="520"/>
        <w:spacing w:after="0" w:line="184" w:lineRule="exact"/>
        <w:tabs>
          <w:tab w:leader="none" w:pos="7360" w:val="left"/>
          <w:tab w:leader="none" w:pos="7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340" w:firstLine="518"/>
        <w:spacing w:after="0" w:line="293" w:lineRule="auto"/>
        <w:rPr>
          <w:sz w:val="20"/>
          <w:szCs w:val="20"/>
          <w:color w:val="auto"/>
        </w:rPr>
      </w:pPr>
      <w:r>
        <w:rPr>
          <w:rFonts w:ascii="Arial" w:cs="Arial" w:eastAsia="Arial" w:hAnsi="Arial"/>
          <w:sz w:val="16"/>
          <w:szCs w:val="16"/>
          <w:color w:val="auto"/>
        </w:rPr>
        <w:t>The aggregate market value of common stock held by non-affiliates of the registrant based on the closing price of the registrant’s common stock as reported on the Nasdaq Global Select Market on June 30, 2017, was $229,703,925.</w:t>
      </w:r>
    </w:p>
    <w:p>
      <w:pPr>
        <w:spacing w:after="0" w:line="2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March 2, 2018, there were 40,648,356 shares of the registrant’s common stock, par value $0.001 per share, outstanding.</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right="260" w:firstLine="518"/>
        <w:spacing w:after="0" w:line="253" w:lineRule="auto"/>
        <w:rPr>
          <w:sz w:val="20"/>
          <w:szCs w:val="20"/>
          <w:color w:val="auto"/>
        </w:rPr>
      </w:pPr>
      <w:r>
        <w:rPr>
          <w:rFonts w:ascii="Arial" w:cs="Arial" w:eastAsia="Arial" w:hAnsi="Arial"/>
          <w:sz w:val="14"/>
          <w:szCs w:val="14"/>
          <w:color w:val="auto"/>
        </w:rPr>
        <w:t>Portions of the registrant’s definitive Proxy Statement relating to its 2018 Annual Meeting of Stockholders to be filed with the Securities and Exchange Commission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546735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40" w:type="dxa"/>
            <w:vAlign w:val="bottom"/>
            <w:gridSpan w:val="8"/>
          </w:tcPr>
          <w:p>
            <w:pPr>
              <w:ind w:left="160"/>
              <w:spacing w:after="0"/>
              <w:rPr>
                <w:sz w:val="20"/>
                <w:szCs w:val="20"/>
                <w:color w:val="auto"/>
              </w:rPr>
            </w:pPr>
            <w:r>
              <w:rPr>
                <w:rFonts w:ascii="Arial" w:cs="Arial" w:eastAsia="Arial" w:hAnsi="Arial"/>
                <w:sz w:val="18"/>
                <w:szCs w:val="18"/>
                <w:b w:val="1"/>
                <w:bCs w:val="1"/>
                <w:color w:val="auto"/>
              </w:rPr>
              <w:t>TABLE OF CONTENTS</w:t>
            </w:r>
          </w:p>
        </w:tc>
      </w:tr>
      <w:tr>
        <w:trPr>
          <w:trHeight w:val="581"/>
        </w:trPr>
        <w:tc>
          <w:tcPr>
            <w:tcW w:w="64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80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6"/>
        </w:trPr>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6660" w:type="dxa"/>
            <w:vAlign w:val="bottom"/>
            <w:gridSpan w:val="20"/>
          </w:tcPr>
          <w:p>
            <w:pPr>
              <w:spacing w:after="0"/>
              <w:rPr>
                <w:sz w:val="17"/>
                <w:szCs w:val="17"/>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730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7300" w:type="dxa"/>
            <w:vAlign w:val="bottom"/>
            <w:gridSpan w:val="2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Unresolved Staff Comments</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Properties</w:t>
              </w:r>
            </w:hyperlink>
          </w:p>
        </w:tc>
        <w:tc>
          <w:tcPr>
            <w:tcW w:w="5260" w:type="dxa"/>
            <w:vAlign w:val="bottom"/>
            <w:gridSpan w:val="10"/>
          </w:tcPr>
          <w:p>
            <w:pPr>
              <w:spacing w:after="0"/>
              <w:rPr>
                <w:sz w:val="18"/>
                <w:szCs w:val="18"/>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Legal Proceedings</w:t>
              </w:r>
            </w:hyperlink>
          </w:p>
        </w:tc>
        <w:tc>
          <w:tcPr>
            <w:tcW w:w="5960" w:type="dxa"/>
            <w:vAlign w:val="bottom"/>
            <w:gridSpan w:val="16"/>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4.</w:t>
            </w:r>
          </w:p>
        </w:tc>
        <w:tc>
          <w:tcPr>
            <w:tcW w:w="7300" w:type="dxa"/>
            <w:vAlign w:val="bottom"/>
            <w:gridSpan w:val="2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Mine Safety Disclosures</w:t>
              </w:r>
            </w:hyperlink>
          </w:p>
        </w:tc>
      </w:tr>
      <w:tr>
        <w:trPr>
          <w:trHeight w:val="358"/>
        </w:trPr>
        <w:tc>
          <w:tcPr>
            <w:tcW w:w="1440" w:type="dxa"/>
            <w:vAlign w:val="bottom"/>
            <w:gridSpan w:val="6"/>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0"/>
        </w:trPr>
        <w:tc>
          <w:tcPr>
            <w:tcW w:w="7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740" w:type="dxa"/>
            <w:vAlign w:val="bottom"/>
            <w:gridSpan w:val="4"/>
          </w:tcPr>
          <w:p>
            <w:pPr>
              <w:spacing w:after="0"/>
              <w:rPr>
                <w:sz w:val="18"/>
                <w:szCs w:val="18"/>
                <w:color w:val="auto"/>
              </w:rPr>
            </w:pPr>
          </w:p>
        </w:tc>
        <w:tc>
          <w:tcPr>
            <w:tcW w:w="684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Market for Registrant’s Common Equity, Related Stockholder Matters and Issuer Purchases of</w:t>
              </w:r>
            </w:hyperlink>
          </w:p>
        </w:tc>
        <w:tc>
          <w:tcPr>
            <w:tcW w:w="460" w:type="dxa"/>
            <w:vAlign w:val="bottom"/>
          </w:tcPr>
          <w:p>
            <w:pPr>
              <w:spacing w:after="0"/>
              <w:rPr>
                <w:sz w:val="18"/>
                <w:szCs w:val="18"/>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Equity Securities</w:t>
              </w:r>
            </w:hyperlink>
          </w:p>
        </w:tc>
        <w:tc>
          <w:tcPr>
            <w:tcW w:w="5840" w:type="dxa"/>
            <w:vAlign w:val="bottom"/>
            <w:gridSpan w:val="15"/>
          </w:tcPr>
          <w:p>
            <w:pPr>
              <w:spacing w:after="0"/>
              <w:rPr>
                <w:sz w:val="17"/>
                <w:szCs w:val="17"/>
                <w:color w:val="auto"/>
              </w:rPr>
            </w:pPr>
          </w:p>
        </w:tc>
      </w:tr>
      <w:tr>
        <w:trPr>
          <w:trHeight w:val="196"/>
        </w:trPr>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7300" w:type="dxa"/>
            <w:vAlign w:val="bottom"/>
            <w:gridSpan w:val="2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Selected Financial Data</w:t>
              </w:r>
            </w:hyperlink>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Management’s Discussion and Analysis of Financial Condition and Results of Operations</w:t>
              </w:r>
            </w:hyperlink>
          </w:p>
        </w:tc>
        <w:tc>
          <w:tcPr>
            <w:tcW w:w="840" w:type="dxa"/>
            <w:vAlign w:val="bottom"/>
            <w:gridSpan w:val="3"/>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7300" w:type="dxa"/>
            <w:vAlign w:val="bottom"/>
            <w:gridSpan w:val="2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Quantitative and Qualitative Disclosures about Market Risk</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Financial Statements and Supplementary Data</w:t>
              </w:r>
            </w:hyperlink>
          </w:p>
        </w:tc>
        <w:tc>
          <w:tcPr>
            <w:tcW w:w="3000" w:type="dxa"/>
            <w:vAlign w:val="bottom"/>
            <w:gridSpan w:val="5"/>
          </w:tcPr>
          <w:p>
            <w:pPr>
              <w:spacing w:after="0"/>
              <w:rPr>
                <w:sz w:val="18"/>
                <w:szCs w:val="18"/>
                <w:color w:val="auto"/>
              </w:rPr>
            </w:pPr>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Changes in and Disagreements with Accountants on Accounting and Financial Disclosure</w:t>
              </w:r>
            </w:hyperlink>
          </w:p>
        </w:tc>
        <w:tc>
          <w:tcPr>
            <w:tcW w:w="820" w:type="dxa"/>
            <w:vAlign w:val="bottom"/>
            <w:gridSpan w:val="2"/>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7300" w:type="dxa"/>
            <w:vAlign w:val="bottom"/>
            <w:gridSpan w:val="2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Controls and Procedures</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5540" w:type="dxa"/>
            <w:vAlign w:val="bottom"/>
            <w:gridSpan w:val="12"/>
          </w:tcPr>
          <w:p>
            <w:pPr>
              <w:spacing w:after="0"/>
              <w:rPr>
                <w:sz w:val="18"/>
                <w:szCs w:val="18"/>
                <w:color w:val="auto"/>
              </w:rPr>
            </w:pPr>
          </w:p>
        </w:tc>
      </w:tr>
      <w:tr>
        <w:trPr>
          <w:trHeight w:val="358"/>
        </w:trPr>
        <w:tc>
          <w:tcPr>
            <w:tcW w:w="7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PART III.</w:t>
              </w:r>
            </w:hyperlink>
          </w:p>
        </w:tc>
        <w:tc>
          <w:tcPr>
            <w:tcW w:w="660" w:type="dxa"/>
            <w:vAlign w:val="bottom"/>
            <w:gridSpan w:val="2"/>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Directors, Executive Officers and Corporate Governance</w:t>
              </w:r>
            </w:hyperlink>
          </w:p>
        </w:tc>
        <w:tc>
          <w:tcPr>
            <w:tcW w:w="3200" w:type="dxa"/>
            <w:vAlign w:val="bottom"/>
            <w:gridSpan w:val="6"/>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7300" w:type="dxa"/>
            <w:vAlign w:val="bottom"/>
            <w:gridSpan w:val="2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Executive Compensation</w:t>
              </w:r>
            </w:hyperlink>
          </w:p>
        </w:tc>
      </w:tr>
      <w:tr>
        <w:trPr>
          <w:trHeight w:val="20"/>
        </w:trPr>
        <w:tc>
          <w:tcPr>
            <w:tcW w:w="7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Security Ownership of Certain Beneficial Owners and Management and Related Stockholder Matters</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7300" w:type="dxa"/>
            <w:vAlign w:val="bottom"/>
            <w:gridSpan w:val="2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Certain Relationships and Related Transactions and Director Independence</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5400" w:type="dxa"/>
            <w:vAlign w:val="bottom"/>
            <w:tcBorders>
              <w:top w:val="single" w:sz="8" w:color="0000EE"/>
            </w:tcBorders>
            <w:gridSpan w:val="1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Principal Accountant Fees and Services</w:t>
              </w:r>
            </w:hyperlink>
          </w:p>
        </w:tc>
        <w:tc>
          <w:tcPr>
            <w:tcW w:w="1900" w:type="dxa"/>
            <w:vAlign w:val="bottom"/>
            <w:gridSpan w:val="4"/>
          </w:tcPr>
          <w:p>
            <w:pPr>
              <w:spacing w:after="0"/>
              <w:rPr>
                <w:sz w:val="18"/>
                <w:szCs w:val="18"/>
                <w:color w:val="auto"/>
              </w:rPr>
            </w:pPr>
          </w:p>
        </w:tc>
      </w:tr>
      <w:tr>
        <w:trPr>
          <w:trHeight w:val="358"/>
        </w:trPr>
        <w:tc>
          <w:tcPr>
            <w:tcW w:w="1440" w:type="dxa"/>
            <w:vAlign w:val="bottom"/>
            <w:gridSpan w:val="6"/>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PART IV.</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0"/>
        </w:trPr>
        <w:tc>
          <w:tcPr>
            <w:tcW w:w="7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700" w:type="dxa"/>
            <w:vAlign w:val="bottom"/>
            <w:gridSpan w:val="3"/>
          </w:tcPr>
          <w:p>
            <w:pPr>
              <w:spacing w:after="0"/>
              <w:rPr>
                <w:sz w:val="18"/>
                <w:szCs w:val="18"/>
                <w:color w:val="auto"/>
              </w:rPr>
            </w:pPr>
          </w:p>
        </w:tc>
        <w:tc>
          <w:tcPr>
            <w:tcW w:w="31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Exhibits and Financial Statement Schedules</w:t>
              </w:r>
            </w:hyperlink>
          </w:p>
        </w:tc>
        <w:tc>
          <w:tcPr>
            <w:tcW w:w="4140" w:type="dxa"/>
            <w:vAlign w:val="bottom"/>
            <w:gridSpan w:val="8"/>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7300" w:type="dxa"/>
            <w:vAlign w:val="bottom"/>
            <w:gridSpan w:val="22"/>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Form 10-K Summary</w:t>
              </w:r>
            </w:hyperlink>
          </w:p>
        </w:tc>
      </w:tr>
      <w:tr>
        <w:trPr>
          <w:trHeight w:val="358"/>
        </w:trPr>
        <w:tc>
          <w:tcPr>
            <w:tcW w:w="1440" w:type="dxa"/>
            <w:vAlign w:val="bottom"/>
            <w:gridSpan w:val="6"/>
          </w:tcPr>
          <w:p>
            <w:pPr>
              <w:spacing w:after="0"/>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SIGNATURES</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898"/>
        </w:trPr>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400" w:type="dxa"/>
            <w:vAlign w:val="bottom"/>
            <w:gridSpan w:val="18"/>
          </w:tcPr>
          <w:p>
            <w:pPr>
              <w:ind w:left="4220"/>
              <w:spacing w:after="0"/>
              <w:rPr>
                <w:sz w:val="20"/>
                <w:szCs w:val="20"/>
                <w:color w:val="auto"/>
              </w:rPr>
            </w:pPr>
            <w:r>
              <w:rPr>
                <w:rFonts w:ascii="Arial" w:cs="Arial" w:eastAsia="Arial" w:hAnsi="Arial"/>
                <w:sz w:val="18"/>
                <w:szCs w:val="18"/>
                <w:color w:val="auto"/>
              </w:rPr>
              <w:t>2</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6350</wp:posOffset>
            </wp:positionV>
            <wp:extent cx="394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ectPr>
          <w:pgSz w:w="11900" w:h="16838" w:orient="portrait"/>
          <w:cols w:equalWidth="0" w:num="2">
            <w:col w:w="10240" w:space="720"/>
            <w:col w:w="460"/>
          </w:cols>
          <w:pgMar w:left="240" w:top="121"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231F20"/>
        </w:rPr>
        <w:t>FORWARD-LOOKING STATEMENTS</w:t>
      </w:r>
    </w:p>
    <w:p>
      <w:pPr>
        <w:spacing w:after="0" w:line="270"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on Form 10-K, including statements regarding our future results of operations and financial position, business strategy, prospective products, product approvals, research and development costs, timing and likelihood of success,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7"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important factors that could cause actual results to differ materially from those in the forward-looking statements, including the risks, uncertainties and assumptions described under the sections in this report titled “Risk Factors” and “Management’s Discussion and Analysis of Financial Condition and Results of Operations” and elsewhere in this report. These forward-looking statements are subject to numerous risks, including, without limitation, the following:</w:t>
      </w:r>
    </w:p>
    <w:p>
      <w:pPr>
        <w:spacing w:after="0" w:line="58"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clinical-stage company and our expectation to incur losses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enroll patients in clinical trials, timely and successfully complete those trials and receive necessary regulatory approvals;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our own manufacturing facilities and to receive or manufacture sufficient quantities of our product candidates;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federal, state, and foreign regulatory requirements, including U.S. Food and Drug Administration regulation of our product candidates;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52"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21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are a microbiome therapeutics platform company developing a novel class of biological drugs, which we refer to as Ecobiotic® microbiome therapeutics. The human microbiome is an ecology of microorganisms, including bacteria, fungi and viruses, that, when unhealthy, or dysbiotic, can leave the body more susceptible to infections, metabolic disorders, allergies, autoimmune disease, inflammation and other serious conditions. Our drug candidates are designed to restore health by repairing the function of a dysbiotic microbiome. We are initially focused on implementing our microbiome therapeutics platform to develop Ecobiotic microbiome therapeutics that treat dysbiosis in the colonic microbiome, one of the most diverse microbial ecologies in the human body.</w:t>
      </w:r>
    </w:p>
    <w:p>
      <w:pPr>
        <w:spacing w:after="0" w:line="19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human microbiome is one of the richest and most diverse ecosystems on earth, with a population of more than 40 trillion microorganisms that live in our intestines, mouth, skin and elsewhere in the body. In a healthy, symbiotic state the colonic microbiome plays an important role in human health, helping the body digest food, resist pathogens, regulate the metabolic systems, develop and regulate the immune system and synthesize essential nutrients and vitamins. However, the colonic microbiome may change in composition for a variety of reasons, including in response to long-term or high-dose antibiotics or following gastrointestinal infection. These changes in composition may result in the loss of key microbes, resulting in a state of dysbiosis. While the study of the human microbiome is not new, the scientific community’s understanding of the microbiome, and the colonic microbiome in particular, has been significantly advanced through metagenomics, which has enabled the broader understanding of the human microbiome at the organismal, functional and community level. Scientific research has correlated dysbiosis in the colonic microbiome with various indications, including: infectious diseases, metabolic diseases, and inflammatory and immune diseases, including immuno-oncology.</w:t>
      </w:r>
    </w:p>
    <w:p>
      <w:pPr>
        <w:spacing w:after="0" w:line="182"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auto"/>
        </w:rPr>
        <w:t>We are developing a new approach to treating disease by restoring a dysbiotic colonic microbiome to a healthy state using our Ecobiotic microbiome therapeutics. Our approach is premised on the hypothesis that the proximal cause of many diseases is a dysbiosis in the natural state of the colonic microbiome that perpetuates the conditions that allow disease to take hold and flourish. We believe that the restoration of a dysbiotic colonic microbiome using rationally-designed therapeutics represents a paradigm shift in the approach to treating the underlying disease. Our Ecobiotic microbiome therapeutic candidates, which are derived from our microbiome therapeutics platform, are rationally-designed ecological compositions, consisting of discrete combinations of beneficial microorganisms with functional properties that provide the ability to re-establish keystone features of a functional microbiome in settings of disease. There are currently no therapeutics approved by the U.S. Food and Drug Administration, or the FDA, that are designed to restore the microbiome to a healthy state.</w:t>
      </w:r>
    </w:p>
    <w:p>
      <w:pPr>
        <w:spacing w:after="0" w:line="19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Our approach to discovery and design is based on an iterative bedside-to-bench-to-bedside drug discovery strategy that begins with data on the human microbiome that we gather from clinical studies. From these data, we identify the microbiological and functional differences between a healthy and a diseased microbiome, which we then use to rationally design potential Ecobiotic microbiome therapeutics. After further in-lab testing, selected Ecobiotic microbiome therapeutic candidates are then studied in clinical trials. We apply a comparative genomic systems biology framework that leverages proprietary computational, microbiological and screening capabilities to design lead candidates targeted at these microbiological and functional deficiencies. We are able to apply this framework and experience to clinical data sets from published studies and those generated with our collaborators, as well as to the proprietary clinical data set we have generated through our clinical trials. We believe we can utilize our knowledge and data to design Ecobiotic microbiome therapeutics to treat various medical conditions. We also have advanced capabilities in the production and formulation of colonic bacteria as well as spore forms of bacteria into therapeutics. We believe that the combination of experience, proprietary data and proprietary know-how that comprise our microbiome therapeutics platform provides us with a competitive advantage in the design and development of microbiome therapeutics. Further, our approach and platform, which enable the rational design, testing, optimization, manufacturing and formulation of Ecobiotic microbiome therapeutic candidates, provide a framework that we believe can significantly reduce the time typically required to advance therapeutics to the clinic.</w:t>
      </w:r>
    </w:p>
    <w:p>
      <w:pPr>
        <w:spacing w:after="0" w:line="16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Using our microbiome therapeutics platform, we are developing our lead clinical product candidate, SER-109, which is designed to rapidly and durably repair dysbiosis in the colonic microbiome in the setting of recurrent </w:t>
      </w:r>
      <w:r>
        <w:rPr>
          <w:rFonts w:ascii="Arial" w:cs="Arial" w:eastAsia="Arial" w:hAnsi="Arial"/>
          <w:sz w:val="17"/>
          <w:szCs w:val="17"/>
          <w:i w:val="1"/>
          <w:iCs w:val="1"/>
          <w:color w:val="auto"/>
        </w:rPr>
        <w:t>Clostridium difficile</w:t>
      </w:r>
      <w:r>
        <w:rPr>
          <w:rFonts w:ascii="Arial" w:cs="Arial" w:eastAsia="Arial" w:hAnsi="Arial"/>
          <w:sz w:val="17"/>
          <w:szCs w:val="17"/>
          <w:color w:val="auto"/>
        </w:rPr>
        <w:t xml:space="preserve"> infection, or CDI. CDI is most often caused by the use of broad spectrum antibiotics which induce dysbiosis of the microbiome causing susceptibility to infection by </w:t>
      </w:r>
      <w:r>
        <w:rPr>
          <w:rFonts w:ascii="Arial" w:cs="Arial" w:eastAsia="Arial" w:hAnsi="Arial"/>
          <w:sz w:val="17"/>
          <w:szCs w:val="17"/>
          <w:i w:val="1"/>
          <w:iCs w:val="1"/>
          <w:color w:val="auto"/>
        </w:rPr>
        <w:t>Clostridium difficile</w:t>
      </w:r>
      <w:r>
        <w:rPr>
          <w:rFonts w:ascii="Arial" w:cs="Arial" w:eastAsia="Arial" w:hAnsi="Arial"/>
          <w:sz w:val="17"/>
          <w:szCs w:val="17"/>
          <w:color w:val="auto"/>
        </w:rPr>
        <w:t xml:space="preserve">, or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a spore forming bacterium. CDI can express toxins leading to debilitating diarrhea in infected individuals, but can also lead to more severe outcomes, such as inflammation of the colon (colitis), toxic megacolon and death. The U.S. Centers for Disease Control, or CDC, has identified CDI as one of the top three most urgent antibiotic-resistant bacterial threats in the United States. It is the most common cause of hospital acquired infection in the United States and has overtaken methicillin-resistant </w:t>
      </w:r>
      <w:r>
        <w:rPr>
          <w:rFonts w:ascii="Arial" w:cs="Arial" w:eastAsia="Arial" w:hAnsi="Arial"/>
          <w:sz w:val="17"/>
          <w:szCs w:val="17"/>
          <w:i w:val="1"/>
          <w:iCs w:val="1"/>
          <w:color w:val="auto"/>
        </w:rPr>
        <w:t>Staphylococcus aureus</w:t>
      </w:r>
      <w:r>
        <w:rPr>
          <w:rFonts w:ascii="Arial" w:cs="Arial" w:eastAsia="Arial" w:hAnsi="Arial"/>
          <w:sz w:val="17"/>
          <w:szCs w:val="17"/>
          <w:color w:val="auto"/>
        </w:rPr>
        <w:t>, or MRSA. CDI is responsible for the deaths of approximately 29,000 Americans each year. Based on an epidemiological study conducted by the CDC, the incidence of CDI in the United States, based on a positive toxin or molecular assay in patients who did not have a positive result in the previous eight weeks, was estimated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80"/>
        <w:spacing w:after="0" w:line="272" w:lineRule="auto"/>
        <w:rPr>
          <w:sz w:val="20"/>
          <w:szCs w:val="20"/>
          <w:color w:val="auto"/>
        </w:rPr>
      </w:pPr>
      <w:r>
        <w:rPr>
          <w:rFonts w:ascii="Arial" w:cs="Arial" w:eastAsia="Arial" w:hAnsi="Arial"/>
          <w:sz w:val="17"/>
          <w:szCs w:val="17"/>
          <w:color w:val="auto"/>
        </w:rPr>
        <w:t>to be 453,000 (95% confidence interval, 397,100 to 508,500) (</w:t>
      </w:r>
      <w:r>
        <w:rPr>
          <w:rFonts w:ascii="Arial" w:cs="Arial" w:eastAsia="Arial" w:hAnsi="Arial"/>
          <w:sz w:val="17"/>
          <w:szCs w:val="17"/>
          <w:i w:val="1"/>
          <w:iCs w:val="1"/>
          <w:color w:val="auto"/>
        </w:rPr>
        <w:t>Lessa</w:t>
      </w:r>
      <w:r>
        <w:rPr>
          <w:rFonts w:ascii="Arial" w:cs="Arial" w:eastAsia="Arial" w:hAnsi="Arial"/>
          <w:sz w:val="17"/>
          <w:szCs w:val="17"/>
          <w:color w:val="auto"/>
        </w:rPr>
        <w:t xml:space="preserve"> et. al.</w:t>
      </w:r>
      <w:r>
        <w:rPr>
          <w:rFonts w:ascii="Arial" w:cs="Arial" w:eastAsia="Arial" w:hAnsi="Arial"/>
          <w:sz w:val="17"/>
          <w:szCs w:val="17"/>
          <w:i w:val="1"/>
          <w:iCs w:val="1"/>
          <w:color w:val="auto"/>
        </w:rPr>
        <w:t>, Burden of Clostridium difficile Infection in the United States,</w:t>
      </w:r>
      <w:r>
        <w:rPr>
          <w:rFonts w:ascii="Arial" w:cs="Arial" w:eastAsia="Arial" w:hAnsi="Arial"/>
          <w:sz w:val="17"/>
          <w:szCs w:val="17"/>
          <w:color w:val="auto"/>
        </w:rPr>
        <w:t xml:space="preserve"> New England J. of Medicine, 2015). While the epidemiological data are varied outside the United States, we believe that, due to the widespread use of antibiotics, CDI is a growing global disease. The standard of care for CDI is to treat with antibiotics. In many cases, antibiotic treatments may resolve the acute infection caused by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However, these antibiotic treatments kill bacteria broadly, inducing a dysbiosis of the microbiome and potentially making patients more susceptible to a recurrence of CDI. For those patients who experience a CDI recurrence, we believe it is this dysbiosis of the microbiome, not the presence of </w:t>
      </w:r>
      <w:r>
        <w:rPr>
          <w:rFonts w:ascii="Arial" w:cs="Arial" w:eastAsia="Arial" w:hAnsi="Arial"/>
          <w:sz w:val="17"/>
          <w:szCs w:val="17"/>
          <w:i w:val="1"/>
          <w:iCs w:val="1"/>
          <w:color w:val="auto"/>
        </w:rPr>
        <w:t>C. difficile</w:t>
      </w:r>
      <w:r>
        <w:rPr>
          <w:rFonts w:ascii="Arial" w:cs="Arial" w:eastAsia="Arial" w:hAnsi="Arial"/>
          <w:sz w:val="17"/>
          <w:szCs w:val="17"/>
          <w:color w:val="auto"/>
        </w:rPr>
        <w:t>, which is the proximal cause of disease. Published data suggests that the risk of recurrence is approximately 25% after the primary CDI, 40% after</w:t>
      </w:r>
      <w:r>
        <w:rPr>
          <w:rFonts w:ascii="Arial" w:cs="Arial" w:eastAsia="Arial" w:hAnsi="Arial"/>
          <w:sz w:val="17"/>
          <w:szCs w:val="17"/>
          <w:i w:val="1"/>
          <w:iCs w:val="1"/>
          <w:color w:val="auto"/>
        </w:rPr>
        <w:t xml:space="preserve"> </w:t>
      </w:r>
      <w:r>
        <w:rPr>
          <w:rFonts w:ascii="Arial" w:cs="Arial" w:eastAsia="Arial" w:hAnsi="Arial"/>
          <w:sz w:val="17"/>
          <w:szCs w:val="17"/>
          <w:color w:val="auto"/>
        </w:rPr>
        <w:t>a first recurrence and approximately 60% for those experiencing two or more recurrences.</w:t>
      </w:r>
    </w:p>
    <w:p>
      <w:pPr>
        <w:spacing w:after="0" w:line="178"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 xml:space="preserve">SER-109 is a bacterial spore ecology consisting of an average of approximately 50 bacterial species derived from healthy donors’ fecal matter. SER-109 is designed to prevent further recurrences of CDI in patients suffering from recurrent CDI by restoring the dysbiotic microbiome to a state of health. If approved by the FDA, SER-109 could be a first-in-field oral microbiome drug. In June 2017 we initiated a Phase 3 clinical study of SER-109 in approximately 320 patients with multiply recurrent CDI. The new study is designed to evaluate patients for 24 weeks with the primary endpoint of comparing the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recurrence rate in subjects who receive SER-109 verses placebo at up to eight weeks after dosing.</w:t>
      </w:r>
    </w:p>
    <w:p>
      <w:pPr>
        <w:spacing w:after="0" w:line="17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progressed our drug discovery and development platforms with the initiation in July 2016 of a Phase 1b dose-escalating study for SER-262, the first clinical, rationally designed ecology of spore forming bacteria designed to be used following antibiotic treatment for primary CDI to prevent an initial recurrence of CDI. We believe there are several advantages to using a rationally designed approach to developing microbiome therapeutics, such as scaling-up manufacturing of rationally designed product candidates to meet global demand in a reliable and reproducible manner, with well-defined</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characteristics. Based on our metagenomics expertise, proprietary in silico algorithms, extensive proprietary bacterial library, and advanced manufacturing capabilities, we believe we can rationally design microbiome therapeutic candidates for specific target indications. We believe these capabilities provide us with a competitive advantage in developing microbiome therapeutics. SER-262, available in oral capsule form, is derived from a manufacturing process that does not require human donor material. SER-262 contains a consortium of 12 bacterial strains in spore form constructed from strains from our microbiome strain library via in vitro fermentation.</w:t>
      </w:r>
    </w:p>
    <w:p>
      <w:pPr>
        <w:spacing w:after="0" w:line="191"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The Phase 1b clinical study is a 24-week, randomized, placebo-controlled, dose-escalation trial. The study was initially designed to evaluate a single dose administration of SER-262 at ascending spore doses ranging from 1 x 10</w:t>
      </w:r>
      <w:r>
        <w:rPr>
          <w:rFonts w:ascii="Arial" w:cs="Arial" w:eastAsia="Arial" w:hAnsi="Arial"/>
          <w:sz w:val="14"/>
          <w:szCs w:val="14"/>
          <w:color w:val="auto"/>
        </w:rPr>
        <w:t>4</w:t>
      </w:r>
      <w:r>
        <w:rPr>
          <w:rFonts w:ascii="Arial" w:cs="Arial" w:eastAsia="Arial" w:hAnsi="Arial"/>
          <w:sz w:val="17"/>
          <w:szCs w:val="17"/>
          <w:color w:val="auto"/>
        </w:rPr>
        <w:t xml:space="preserve"> to 1 x 10</w:t>
      </w:r>
      <w:r>
        <w:rPr>
          <w:rFonts w:ascii="Arial" w:cs="Arial" w:eastAsia="Arial" w:hAnsi="Arial"/>
          <w:sz w:val="14"/>
          <w:szCs w:val="14"/>
          <w:color w:val="auto"/>
        </w:rPr>
        <w:t>8</w:t>
      </w:r>
      <w:r>
        <w:rPr>
          <w:rFonts w:ascii="Arial" w:cs="Arial" w:eastAsia="Arial" w:hAnsi="Arial"/>
          <w:sz w:val="17"/>
          <w:szCs w:val="17"/>
          <w:color w:val="auto"/>
        </w:rPr>
        <w:t xml:space="preserve"> Spore Colony Forming Units, or SCFU, with each dosing cohort comprised of 10 subjects treated with SER-262 and two subjects administered placebo. Following analysis of prior SER-109 clinical studies that suggest higher doses of microbiome therapeutics may be important to rapidly address dysbiosis and provide increased efficacy, in mid-2017 we added additional multiple-dose cohorts to the Phase 1b study of 1x10</w:t>
      </w:r>
      <w:r>
        <w:rPr>
          <w:rFonts w:ascii="Arial" w:cs="Arial" w:eastAsia="Arial" w:hAnsi="Arial"/>
          <w:sz w:val="14"/>
          <w:szCs w:val="14"/>
          <w:color w:val="auto"/>
        </w:rPr>
        <w:t>6</w:t>
      </w:r>
      <w:r>
        <w:rPr>
          <w:rFonts w:ascii="Arial" w:cs="Arial" w:eastAsia="Arial" w:hAnsi="Arial"/>
          <w:sz w:val="17"/>
          <w:szCs w:val="17"/>
          <w:color w:val="auto"/>
        </w:rPr>
        <w:t>, 1x10</w:t>
      </w:r>
      <w:r>
        <w:rPr>
          <w:rFonts w:ascii="Arial" w:cs="Arial" w:eastAsia="Arial" w:hAnsi="Arial"/>
          <w:sz w:val="14"/>
          <w:szCs w:val="14"/>
          <w:color w:val="auto"/>
        </w:rPr>
        <w:t>7</w:t>
      </w:r>
      <w:r>
        <w:rPr>
          <w:rFonts w:ascii="Arial" w:cs="Arial" w:eastAsia="Arial" w:hAnsi="Arial"/>
          <w:sz w:val="17"/>
          <w:szCs w:val="17"/>
          <w:color w:val="auto"/>
        </w:rPr>
        <w:t xml:space="preserve"> and 1x10</w:t>
      </w:r>
      <w:r>
        <w:rPr>
          <w:rFonts w:ascii="Arial" w:cs="Arial" w:eastAsia="Arial" w:hAnsi="Arial"/>
          <w:sz w:val="14"/>
          <w:szCs w:val="14"/>
          <w:color w:val="auto"/>
        </w:rPr>
        <w:t>8</w:t>
      </w:r>
      <w:r>
        <w:rPr>
          <w:rFonts w:ascii="Arial" w:cs="Arial" w:eastAsia="Arial" w:hAnsi="Arial"/>
          <w:sz w:val="17"/>
          <w:szCs w:val="17"/>
          <w:color w:val="auto"/>
        </w:rPr>
        <w:t xml:space="preserve"> SCFU per day of SER-262, for a three-day period.</w:t>
      </w:r>
    </w:p>
    <w:p>
      <w:pPr>
        <w:spacing w:after="0" w:line="173"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The primary endpoints of the study are to evaluate the safety and tolerability of SER-262 and to compare the CDI recurrence rate between the SER-262 and placebo groups at up to eight weeks post-dosing. A secondary endpoint is the analysis of the SER-262 bacterial strain engraftment in patient microbiomes. As of now, we have received unblinded clinical data on all but the final 1 x 10</w:t>
      </w:r>
      <w:r>
        <w:rPr>
          <w:rFonts w:ascii="Arial" w:cs="Arial" w:eastAsia="Arial" w:hAnsi="Arial"/>
          <w:sz w:val="13"/>
          <w:szCs w:val="13"/>
          <w:color w:val="auto"/>
        </w:rPr>
        <w:t>8</w:t>
      </w:r>
      <w:r>
        <w:rPr>
          <w:rFonts w:ascii="Arial" w:cs="Arial" w:eastAsia="Arial" w:hAnsi="Arial"/>
          <w:sz w:val="16"/>
          <w:szCs w:val="16"/>
          <w:color w:val="auto"/>
        </w:rPr>
        <w:t xml:space="preserve"> multiple dose cohort, which continues to enroll subjects. No drug-related serious adverse events were observed in these first seven cohorts. No relevant differences were observed in the relative risk of recurrence rates in patients administered SER-262 as compared to placebo. However, this small, first-in-human, Phase 1b study was not powered to detect a statistically significant difference in recurrence rates compared to placebo. A small group of placebo patients were included in this study and, in that group, no recurrences were observed. In addition, there was a measurable difference in recurrence rates in patients treated with Vancomycin and SER-262, as compared to those treated with Metronidazole and SER-262 (4% versus 31%, respectively). This difference was statistically significant with a p value of 0.0049. The medical literature suggests a recurrence rate of about 25% in patients treated with vancomycin for primary CDI.</w:t>
      </w:r>
    </w:p>
    <w:p>
      <w:pPr>
        <w:spacing w:after="0" w:line="16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Microbiome analysis has been conducted on the first five, lowest dose cohorts to assess drug pharmacokinetics. We detected a majority of SER-262 strains in patients receiving SER-262; detection of strains was variable across subjects. Partial engraftment of strains was also a characteristic in our SER-109 clinical studies, and has been reported in fecal microbiota treatment, or FMT of CDI. Engraftment of SER-262 strains was associated with broader changes in the microbiome composition. Microbiome profile differences, based on the antibiotics that were used to treat each patient’s CDI, were also demonstrated. Vancomycin led to more rapid and more robust engraftment of SER-262 strains as compared to Metronidazole. More detailed microbiome and metabolomic analyses remain ongoing. These SER-262 proprietary data, the first ever obtained from a rationally-designed microbiome development candidate, will be used to inform the further development of SER-262 and our other therapeutic candidates.</w:t>
      </w:r>
    </w:p>
    <w:p>
      <w:pPr>
        <w:spacing w:after="0" w:line="178"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The clinical development of SER-287 to treat ulcerative colitis, or UC is supported by preclinical studies in multiple animal models of colitis which provide evidence that SER-287 administration results in reduced pathology. Published clinical reports furthermore suggest that modulation of the microbiome through repetitive FMT may lead to meaningful clinical response in certain UC patients. We initiated our Phase 1b clinical study for our IBD drug candidate, SER-287, in December 2015 and enrolled subjects with active mild to moderate UC, a form of IBD, to evaluate the safety and efficacy of SER-287 added to standard of care treatment.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right="100"/>
        <w:spacing w:after="0" w:line="277" w:lineRule="auto"/>
        <w:rPr>
          <w:sz w:val="20"/>
          <w:szCs w:val="20"/>
          <w:color w:val="auto"/>
        </w:rPr>
      </w:pPr>
      <w:r>
        <w:rPr>
          <w:rFonts w:ascii="Arial" w:cs="Arial" w:eastAsia="Arial" w:hAnsi="Arial"/>
          <w:sz w:val="18"/>
          <w:szCs w:val="18"/>
          <w:color w:val="auto"/>
        </w:rPr>
        <w:t>The randomized, placebo-controlled multiple dose Phase 1b study of SER-287 enrolled 58 subjects with active mild-to-moderate UC, who are failing current therapies.</w:t>
      </w:r>
    </w:p>
    <w:p>
      <w:pPr>
        <w:spacing w:after="0" w:line="211"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On October 2, 2017, we announced positive topline results from our Phase 1b clinical trial of SER-287 in patients with UC. The SER-287 Phase 1b study, a randomized, double-blinded, placebo-controlled, multiple-dose, induction study enrolled patients with active mild-to-moderate UC, with Total Modified Mayo scores of 4 to 10. The study enrolled 58 patients at 20 sites across the United States. Study subjects exhibited pre-study disease activity despite use of current therapies in a majority of subjects, which included 5-amino-salacylic acid, low dose corticosteroids, or immunomodulatory therapy. An evaluation of SER-287 safety and tolerability was a primary study endpoint. Study results demonstrated no imbalance in adverse events in SER-287-treated patients as compared to patients treated with placebo. There were no drug related serious adverse events.</w:t>
      </w:r>
    </w:p>
    <w:p>
      <w:pPr>
        <w:spacing w:after="0" w:line="205"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Analyses of study patients’ microbiome data, a co-primary study endpoint of the trial, demonstrated that SER-287 induced dose-dependent engraftment of SER-287-derived bacterial species into the colonic microbiome of the patients treated with SER-287. Patients administered vancomycin pre-treatment followed by daily administration of SER-287 had the highest level of SER-287 engraftment, which was statistically significant. This patient cohort corresponded with the study arm where the most significant clinical benefits were observed, including clinical remission and endoscopic improvement. Differences in the composition of the microbiome post treatment were also associated with clinical remission. Bacterial engraftment signatures were durable throughout the dosing period of the trial and were also observed at four weeks post administration of the final SER-287 dose. The SER-287 Phase 1b study microbiome data support the previously reported clinical results.</w:t>
      </w:r>
    </w:p>
    <w:p>
      <w:pPr>
        <w:spacing w:after="0" w:line="21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are also designing and developing SER-401, for use with checkpoint inhibitors, or CPIs in patients with solid tumors to enhance efficacy and improve survival. CPIs are used to block mechanisms used by cancer to evade detection and destruction by the immune system. In 2015, studies showed that CPI efficacy in mouse models was dependent on the composition of the microbiome. That work was extended to humans in November 2017 when additional studies showed that human subjects who respond to CPI treatment have a different microbiome composition than non-responders. One of these reports was from a group led by Dr. Jennifer Wargo of MD Anderson Cancer Center, or MD Anderson. In November 2017, we announced a collaboration with MD Anderson and the Parker Institute for Cancer Immunotherapy, or the Parker Institute, to evaluate the potential of SER-401 to improve the outcomes of cancer patients treated with currently-available immunotherapy. MD Anderson granted us an exclusive option, with pre-defined financial terms, to license intellectual property rights from them related to the use of bacteria in combination with CPIs.</w:t>
      </w:r>
    </w:p>
    <w:p>
      <w:pPr>
        <w:spacing w:after="0" w:line="219"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We are also designing and developing SER-301, a rationally designed Ecobiotic microbiome therapeutic candidate for the treatment of IBD. The design is being driven by insights into the microbiome and metabolomic data gained from the Phase 1b study of SER-287 as well as insights from FMT for UC conducted by our academic collaborators. The SER-301 program also benefits from what we learn about rationally designed Ecobiotic microbiome therapeutic development in our SER-262 program.</w:t>
      </w:r>
    </w:p>
    <w:p>
      <w:pPr>
        <w:spacing w:after="0" w:line="21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also designing and developing SER-155, a rationally designed product candidate to prevent infections and improve gastrointestinal barrier function (including the consequences of graft versus host disease, or GvHD) in patients following allogeneic hematopoietic stem cell transplants, or allo-HSCT, or solid organ transplants. This preclinical program is based on published clinical evidence from our collaborators at Memorial Sloan Kettering Cancer Center showing that allo-HSCT patients with reduced microbiome diversity are far more likely to die due to infection and/or lethal GvHD. In November 2017, we were awarded a grant from Combating Antibiotic-Resistant Bacteria Accelerator, or CARB-X, to support continued preclinical research and early development work for SER-155. The CARB-X grant provides us with up to $2.5 million of research funding with potential for an additional $3.1 million upon completion of milestones.</w:t>
      </w:r>
    </w:p>
    <w:p>
      <w:pPr>
        <w:spacing w:after="0" w:line="230"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We are also researching Ecobiotic microbiome therapeutics for the treatment of metabolic diseases, such as early-stage, non-insulin dependent diabetes, non-alcoholic steatohepatitis, or NASH, obesity and metabolic syndrome. Research in these indications is focused on developing Ecobiotic drugs that address specific functional defects in the microbiome, including the specific metabolic products made by the microbes. We believe this approach may enable pursuit of a range of disorders including various forms of liver disease and rare genetic diseases of metabolism.</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left="520"/>
        <w:spacing w:after="0"/>
        <w:rPr>
          <w:sz w:val="20"/>
          <w:szCs w:val="20"/>
          <w:color w:val="auto"/>
        </w:rPr>
      </w:pPr>
      <w:r>
        <w:rPr>
          <w:rFonts w:ascii="Arial" w:cs="Arial" w:eastAsia="Arial" w:hAnsi="Arial"/>
          <w:sz w:val="18"/>
          <w:szCs w:val="18"/>
          <w:color w:val="auto"/>
        </w:rPr>
        <w:t>The following chart summarizes our current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83185</wp:posOffset>
            </wp:positionV>
            <wp:extent cx="6165850" cy="3447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65850"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We have assembled a world class group of scientists, clinicians, directors and investors, who have established our leadership in the field of microbiome therapeutics. We were co-founded by Drs. Noubar Afeyan, David Berry and Geoffrey von Maltzahn of Flagship Pioneering, the innovation foundry of Flagship Ventures. Through Flagship Pioneering’s contribution of foundational scientific concepts and intellectual property, assembly of our management team and critical early-stage support, we launched as the first company focused on the ecological nature of the microbiome. Led by Dr. Roger Pomerantz, our Chairman, President and Chief Executive Officer, our experienced management team possesses core capabilities in microbiome therapeutics, infectious disease, drug development, commercialization, chemistry, manufacturing and controls, or CMC, public company management and finance. Dr. Pomerantz, an infectious disease physician-scientist, has extensive experience in infectious disease drug development and commercialization, licensing and acquisitions gained over a 10-year career in senior executive positions at Merck &amp; Co, Johnson &amp; Johnson and Tibotec Pharmaceuticals. Dr. Pomerantz led the development and commercialization of ten FDA-approved infectious disease drugs in his career. Our management team has extensive experience in microbial ecology, microbiology and live biologicals, with over 25 years of experience studying the microbiome and over 60 published papers on the science of the microbiome. Additionally, our team has extensive experience in building out commercial capabilities in specialty diseases and has a track record for success in the commercialization of vaccine products, which have analogous manufacturing processes to that of Ecobiotic microbiome therapeutics.</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right="100" w:firstLine="518"/>
        <w:spacing w:after="0" w:line="286" w:lineRule="auto"/>
        <w:rPr>
          <w:sz w:val="20"/>
          <w:szCs w:val="20"/>
          <w:color w:val="auto"/>
        </w:rPr>
      </w:pPr>
      <w:r>
        <w:rPr>
          <w:rFonts w:ascii="Arial" w:cs="Arial" w:eastAsia="Arial" w:hAnsi="Arial"/>
          <w:sz w:val="17"/>
          <w:szCs w:val="17"/>
          <w:color w:val="auto"/>
        </w:rPr>
        <w:t>Our goal is to remain the leading biopharmaceutical company developing and commercializing microbiome therapeutics to address significant unmet medical needs. We intend to focus in the near term on the highest priority clinical programs which we believe will optimally advance our pipeline: SER-287 for UC; SER-109 for recurrent CDI; and the SER-401 immuno-oncology program. The critical components of our strategy include:</w:t>
      </w:r>
    </w:p>
    <w:p>
      <w:pPr>
        <w:spacing w:after="0" w:line="57" w:lineRule="exact"/>
        <w:rPr>
          <w:sz w:val="20"/>
          <w:szCs w:val="20"/>
          <w:color w:val="auto"/>
        </w:rPr>
      </w:pPr>
    </w:p>
    <w:p>
      <w:pPr>
        <w:ind w:left="1040" w:right="420" w:hanging="519"/>
        <w:spacing w:after="0" w:line="29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Continuing clinical development of SER-287 for the treatment of UC. </w:t>
      </w:r>
      <w:r>
        <w:rPr>
          <w:rFonts w:ascii="Arial" w:cs="Arial" w:eastAsia="Arial" w:hAnsi="Arial"/>
          <w:sz w:val="16"/>
          <w:szCs w:val="16"/>
          <w:color w:val="auto"/>
        </w:rPr>
        <w:t>The clinical development of SER-287 to treat UC is supported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preclinical studies in multiple animal models of colitis that provide evidence that SER-287 administration results in reduced</w:t>
      </w:r>
    </w:p>
    <w:p>
      <w:pPr>
        <w:ind w:left="1040"/>
        <w:spacing w:after="0" w:line="216" w:lineRule="exact"/>
        <w:rPr>
          <w:rFonts w:ascii="Arial" w:cs="Arial" w:eastAsia="Arial" w:hAnsi="Arial"/>
          <w:sz w:val="16"/>
          <w:szCs w:val="16"/>
          <w:color w:val="auto"/>
        </w:rPr>
      </w:pPr>
      <w:r>
        <w:rPr>
          <w:rFonts w:ascii="Arial" w:cs="Arial" w:eastAsia="Arial" w:hAnsi="Arial"/>
          <w:sz w:val="16"/>
          <w:szCs w:val="16"/>
          <w:color w:val="auto"/>
        </w:rPr>
        <w:t>pathology. Published clinical reports furthermore suggest that modulation of the microbiome through repetitive FMT may lead to meaningful clinical response in certain UC patients. In December 2015, we initiated a Phase 1b clinical trial evaluating SER</w:t>
      </w:r>
      <w:r>
        <w:rPr>
          <w:rFonts w:ascii="MS PGothic" w:cs="MS PGothic" w:eastAsia="MS PGothic" w:hAnsi="MS PGothic"/>
          <w:sz w:val="16"/>
          <w:szCs w:val="16"/>
          <w:color w:val="auto"/>
        </w:rPr>
        <w:t>‐</w:t>
      </w:r>
      <w:r>
        <w:rPr>
          <w:rFonts w:ascii="Arial" w:cs="Arial" w:eastAsia="Arial" w:hAnsi="Arial"/>
          <w:sz w:val="16"/>
          <w:szCs w:val="16"/>
          <w:color w:val="auto"/>
        </w:rPr>
        <w:t>287 in patients with mild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 xml:space="preserve"> moderate UC. In October 2017, we announced positive topline results from our Phase 1b clinical trial of SER-287 in patients with UC. The SER-287 Phase 1b study, a randomized, double-blinded, placebo-controlled, multiple-dose, induction study enrolled patients with active mild-to-moderate UC, with Total Modified Mayo scores of 4 to 10. The study enrolled 58 patients at 20 sites across the United States. Study subjects exhibited pre-study disease activity despite use of current therapies in a majority of subjects, which</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 w:name="page8"/>
    <w:bookmarkEnd w:id="7"/>
    <w:p>
      <w:pPr>
        <w:ind w:left="520"/>
        <w:spacing w:after="0" w:line="308" w:lineRule="auto"/>
        <w:rPr>
          <w:sz w:val="20"/>
          <w:szCs w:val="20"/>
          <w:color w:val="auto"/>
        </w:rPr>
      </w:pPr>
      <w:r>
        <w:rPr>
          <w:rFonts w:ascii="Arial" w:cs="Arial" w:eastAsia="Arial" w:hAnsi="Arial"/>
          <w:sz w:val="17"/>
          <w:szCs w:val="17"/>
          <w:color w:val="auto"/>
        </w:rPr>
        <w:t>included 5-amino-salacylic acid, low dose corticosteroids, or immunomodulatory therapy. In addition, SER-287 has been awarded Orphan Drug Designation for pediatric UC. We are currently in discussions with the FDA on the design of our next clinical study of SER-287.</w:t>
      </w:r>
    </w:p>
    <w:p>
      <w:pPr>
        <w:spacing w:after="0" w:line="38" w:lineRule="exact"/>
        <w:rPr>
          <w:sz w:val="20"/>
          <w:szCs w:val="20"/>
          <w:color w:val="auto"/>
        </w:rPr>
      </w:pPr>
    </w:p>
    <w:p>
      <w:pPr>
        <w:ind w:left="520" w:right="180" w:hanging="519"/>
        <w:spacing w:after="0" w:line="303" w:lineRule="auto"/>
        <w:tabs>
          <w:tab w:leader="none" w:pos="52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Rapidly advancing the development of our lead product candidate, SER-109, for the prevention of further recurrences of CDI in patients with recurrent CDI. </w:t>
      </w:r>
      <w:r>
        <w:rPr>
          <w:rFonts w:ascii="Arial" w:cs="Arial" w:eastAsia="Arial" w:hAnsi="Arial"/>
          <w:sz w:val="15"/>
          <w:szCs w:val="15"/>
          <w:color w:val="auto"/>
        </w:rPr>
        <w:t>SER-109 has been granted both Orphan Drug and Breakthrough Therapy designation by the FDA for the treatment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CDI. Breakthrough Therapy designation provides for intensive guidance from the FDA in an effort to expedite the drug development process. In our randomized, double-blind, placebo controlled Phase 2 clinical study, 44% of subjects (26 of 59) who received SER-109 experienced a recurrence at the 8 week endpoint compared to 53% of subjects (16 of 30) who received placebo, a result that was not statistically significant. Based on a detailed analysis of clinical, microbiome and CMC factors that may have contributed to the outcome of this study, as well as a comparison to our earlier Phase 1b/2 clinical study and following discussions with the FDA, a new SER-109 clinical study in approximately</w:t>
      </w:r>
    </w:p>
    <w:p>
      <w:pPr>
        <w:spacing w:after="0" w:line="2" w:lineRule="exact"/>
        <w:rPr>
          <w:rFonts w:ascii="Arial" w:cs="Arial" w:eastAsia="Arial" w:hAnsi="Arial"/>
          <w:sz w:val="15"/>
          <w:szCs w:val="15"/>
          <w:color w:val="auto"/>
        </w:rPr>
      </w:pPr>
    </w:p>
    <w:p>
      <w:pPr>
        <w:ind w:left="520" w:right="160"/>
        <w:spacing w:after="0" w:line="323" w:lineRule="auto"/>
        <w:rPr>
          <w:rFonts w:ascii="Arial" w:cs="Arial" w:eastAsia="Arial" w:hAnsi="Arial"/>
          <w:sz w:val="15"/>
          <w:szCs w:val="15"/>
          <w:color w:val="auto"/>
        </w:rPr>
      </w:pPr>
      <w:r>
        <w:rPr>
          <w:rFonts w:ascii="Arial" w:cs="Arial" w:eastAsia="Arial" w:hAnsi="Arial"/>
          <w:sz w:val="16"/>
          <w:szCs w:val="16"/>
          <w:color w:val="auto"/>
        </w:rPr>
        <w:t>320 patients with multiply recurrent CDI was initiated in June 2017. Study participants will be randomized 1:1 between SER-109 and placebo and will receive a total dose that is approximately 10-fold higher than in the Phase 2 study, administered over three consecutive days.</w:t>
      </w:r>
    </w:p>
    <w:p>
      <w:pPr>
        <w:spacing w:after="0" w:line="30" w:lineRule="exact"/>
        <w:rPr>
          <w:rFonts w:ascii="Arial" w:cs="Arial" w:eastAsia="Arial" w:hAnsi="Arial"/>
          <w:sz w:val="15"/>
          <w:szCs w:val="15"/>
          <w:color w:val="auto"/>
        </w:rPr>
      </w:pPr>
    </w:p>
    <w:p>
      <w:pPr>
        <w:ind w:left="520" w:right="40" w:hanging="519"/>
        <w:spacing w:after="0" w:line="297"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Developing SER-401 for use with CPIs in patients with solid tumors. </w:t>
      </w:r>
      <w:r>
        <w:rPr>
          <w:rFonts w:ascii="Arial" w:cs="Arial" w:eastAsia="Arial" w:hAnsi="Arial"/>
          <w:sz w:val="16"/>
          <w:szCs w:val="16"/>
          <w:color w:val="auto"/>
        </w:rPr>
        <w:t>We are designing and developing SER-401, for administration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with CPI treatment to increase efficacy in patients with solid tumors. The design is being driven by insights from our collaborators at MD Anderson and recent published data in a number of high profile scientific journals from other international research groups that suggest that the microbiome may impact patients’ response to CPI treatment. Together with our collaborators, we plan to initiate a Phase 1b multicenter study in metastatic melanoma patients as part of our collaboration with MD Anderson and the Parker Institute this year.</w:t>
      </w:r>
    </w:p>
    <w:p>
      <w:pPr>
        <w:spacing w:after="0" w:line="50" w:lineRule="exact"/>
        <w:rPr>
          <w:rFonts w:ascii="Arial" w:cs="Arial" w:eastAsia="Arial" w:hAnsi="Arial"/>
          <w:sz w:val="16"/>
          <w:szCs w:val="16"/>
          <w:color w:val="auto"/>
        </w:rPr>
      </w:pPr>
    </w:p>
    <w:p>
      <w:pPr>
        <w:ind w:left="520" w:hanging="519"/>
        <w:spacing w:after="0" w:line="284"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Advancing the clinical development of SER-262 to be used following antibiotic treatment of primary CDI to prevent an initial recurrence of CDI. </w:t>
      </w:r>
      <w:r>
        <w:rPr>
          <w:rFonts w:ascii="Arial" w:cs="Arial" w:eastAsia="Arial" w:hAnsi="Arial"/>
          <w:sz w:val="16"/>
          <w:szCs w:val="16"/>
          <w:color w:val="auto"/>
        </w:rPr>
        <w:t>We are developing SER-262 as a therapeutic to be used following antibiotic treatment of primary CDI to prevent an initial recurrence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CDI. SER-262 contains bacteria that are a subset of the bacterial ecology comprising SER-109, however, SER-262 is not derived from human stool and, in contrast, is rationally designed based on in vitro and in vivo screening data and made in bacterial fermenters. Pre-clinical studies of SER-262 have demonstrated efficacy in a mouse model of CDI, similar to pre-clinical studies of SER-109. In July 2016, we initiated a randomized, placebo-controlled dose escalation Phase 1b study. The study is expected to enroll up to 96 patients who have experienced a first episode of CDI. The primary endpoints of the study are to evaluate the safety and tolerability of SER-262 in subjects with primary CDI and compare the CDI recurrence rate between the SER-262 dosing cohorts and the pooled placebo group at up to eight weeks after dosing. As of now, we have received unblinded clinical data on all but the final 1 x 10</w:t>
      </w:r>
      <w:r>
        <w:rPr>
          <w:rFonts w:ascii="Arial" w:cs="Arial" w:eastAsia="Arial" w:hAnsi="Arial"/>
          <w:sz w:val="13"/>
          <w:szCs w:val="13"/>
          <w:color w:val="auto"/>
        </w:rPr>
        <w:t>8</w:t>
      </w:r>
      <w:r>
        <w:rPr>
          <w:rFonts w:ascii="Arial" w:cs="Arial" w:eastAsia="Arial" w:hAnsi="Arial"/>
          <w:sz w:val="16"/>
          <w:szCs w:val="16"/>
          <w:color w:val="auto"/>
        </w:rPr>
        <w:t xml:space="preserve"> multiple dose cohort, which continues to enroll subjects. No drug-related serious adverse events were observed in these first seven cohorts. No relevant differences were observed in the relative risk of recurrence rates in patients administered SER-262 as compared to placebo. However, this small, first-in-human, Phase 1b study was not powered to detect a statistically significant difference in recurrence rates compared to placebo. A small group of placebo patients were included in this study and, in that group, no recurrences were observed. In addition, there was a measurable difference in recurrence rates in patients treated with Vancomycin and SER-262, as compared to those treated with Metronidazole and SER-262 (4% versus 31%, respectively). This difference was statistically significant with a p value of 0.0049. The medical literature suggests a recurrence rate of about 25% in patients treated solely with vancomycin for primary CDI. Microbiome analysis has been conducted on the first five, lowest dose cohorts to assess drug pharmacokinetics. We detected a majority of SER-262 strains in patients receiving SER-262; detection of strains was variable across subjects. Partial engraftment of strains was also a characteristic in our SER-109 clinical studies, and has been reported in FMT of CDI. Engraftment of SER-262 strains was associated with broader changes in the microbiome composition. Microbiome profile differences, based on the antibiotics that were used to treat each patient’s CDI, were also demonstrated. Vancomycin led to more rapid and more robust engraftment of SER-262 strains as compared to Metronidazole. More detailed microbiome and metabolomic analyses remain ongoing. These SER-262 proprietary data, the first ever obtained from a rationally-designed microbiome development candidate, will be used to inform the further development of SER-262 and our other therapeutic candidates.</w:t>
      </w:r>
    </w:p>
    <w:p>
      <w:pPr>
        <w:spacing w:after="0" w:line="288" w:lineRule="exact"/>
        <w:rPr>
          <w:rFonts w:ascii="Arial" w:cs="Arial" w:eastAsia="Arial" w:hAnsi="Arial"/>
          <w:sz w:val="16"/>
          <w:szCs w:val="16"/>
          <w:color w:val="auto"/>
        </w:rPr>
      </w:pPr>
    </w:p>
    <w:p>
      <w:pPr>
        <w:jc w:val="both"/>
        <w:ind w:left="520" w:right="500" w:hanging="519"/>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Developing SER-301 for the treatment of IBD. </w:t>
      </w:r>
      <w:r>
        <w:rPr>
          <w:rFonts w:ascii="Arial" w:cs="Arial" w:eastAsia="Arial" w:hAnsi="Arial"/>
          <w:sz w:val="18"/>
          <w:szCs w:val="18"/>
          <w:color w:val="auto"/>
        </w:rPr>
        <w:t>We are designing and developing SER-301, a rationally designed Ecobiotic microbiome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candidate for the treatment of IBD. The design is driven by insights from FMT and will leverage information from SER-287, including changes to the microbiome in patients with UC</w:t>
      </w:r>
    </w:p>
    <w:p>
      <w:pPr>
        <w:spacing w:after="0" w:line="73" w:lineRule="exact"/>
        <w:rPr>
          <w:rFonts w:ascii="Arial" w:cs="Arial" w:eastAsia="Arial" w:hAnsi="Arial"/>
          <w:sz w:val="18"/>
          <w:szCs w:val="18"/>
          <w:color w:val="auto"/>
        </w:rPr>
      </w:pPr>
    </w:p>
    <w:p>
      <w:pPr>
        <w:ind w:left="520" w:hanging="519"/>
        <w:spacing w:after="0" w:line="25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Developing SER-155 for the prevention of transplant-related mortality. </w:t>
      </w:r>
      <w:r>
        <w:rPr>
          <w:rFonts w:ascii="Arial" w:cs="Arial" w:eastAsia="Arial" w:hAnsi="Arial"/>
          <w:sz w:val="18"/>
          <w:szCs w:val="18"/>
          <w:color w:val="auto"/>
        </w:rPr>
        <w:t>We are designing and developing SER-155, a rationally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Ecobiotic microbiome therapeutic candidate for the prevention of transplant-related mortality (due to infection and GvHD) in allo-HSCT recipients. The design is driven by insights from our collaborators at Memorial Sloan Kettering Cancer Center into the microbiome composition of patients following allo-HSCT. Some of the costs of preclinical development of SER-155 are being supported by a grant from the CARB-X, a joint program funded by BARDA and the Wellcome Trust.</w:t>
      </w:r>
    </w:p>
    <w:p>
      <w:pPr>
        <w:spacing w:after="0" w:line="80" w:lineRule="exact"/>
        <w:rPr>
          <w:rFonts w:ascii="Arial" w:cs="Arial" w:eastAsia="Arial" w:hAnsi="Arial"/>
          <w:sz w:val="18"/>
          <w:szCs w:val="18"/>
          <w:color w:val="auto"/>
        </w:rPr>
      </w:pPr>
    </w:p>
    <w:p>
      <w:pPr>
        <w:jc w:val="both"/>
        <w:ind w:left="520" w:right="220" w:hanging="519"/>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Leveraging our leading microbiome therapeutics platform to develop additional innovative and novel Ecobiotic microbiome therapeutics across a range of serious medical conditions with high unmet need including infectious disease, metabolic disease, inflammatory disease, rare genetic disease, and applications in immuno-oncology. </w:t>
      </w:r>
      <w:r>
        <w:rPr>
          <w:rFonts w:ascii="Arial" w:cs="Arial" w:eastAsia="Arial" w:hAnsi="Arial"/>
          <w:sz w:val="18"/>
          <w:szCs w:val="18"/>
          <w:color w:val="auto"/>
        </w:rPr>
        <w:t>We</w:t>
      </w:r>
    </w:p>
    <w:p>
      <w:pPr>
        <w:spacing w:after="0" w:line="1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125" w:right="239" w:bottom="1440" w:gutter="0" w:footer="0" w:header="0"/>
        </w:sectPr>
      </w:pPr>
    </w:p>
    <w:bookmarkStart w:id="8" w:name="page9"/>
    <w:bookmarkEnd w:id="8"/>
    <w:p>
      <w:pPr>
        <w:ind w:left="1040" w:right="220"/>
        <w:spacing w:after="0" w:line="279" w:lineRule="auto"/>
        <w:rPr>
          <w:sz w:val="20"/>
          <w:szCs w:val="20"/>
          <w:color w:val="auto"/>
        </w:rPr>
      </w:pPr>
      <w:r>
        <w:rPr>
          <w:rFonts w:ascii="Arial" w:cs="Arial" w:eastAsia="Arial" w:hAnsi="Arial"/>
          <w:sz w:val="17"/>
          <w:szCs w:val="17"/>
          <w:color w:val="auto"/>
        </w:rPr>
        <w:t>believe that the combination of experience, proprietary data and proprietary know-how related to the microbiome and of the production of microbial strains provides us a competitive advantage in the design and development of microbiome therapeutics. Our platform enables us to build upon our existing and growing clinical experience to rationally design treatments for acute and complex chronic diseases. We intend to leverage this advantage to develop additional innovative Ecobiotic microbiome therapeutics.</w:t>
      </w:r>
    </w:p>
    <w:p>
      <w:pPr>
        <w:spacing w:after="0" w:line="63" w:lineRule="exact"/>
        <w:rPr>
          <w:sz w:val="20"/>
          <w:szCs w:val="20"/>
          <w:color w:val="auto"/>
        </w:rPr>
      </w:pPr>
    </w:p>
    <w:p>
      <w:pPr>
        <w:ind w:left="1040" w:hanging="519"/>
        <w:spacing w:after="0" w:line="272"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Commercializing our Ecobiotic microbiome therapeutics, including SER-109, if approved, directly in the United States and Canada and with collaborators outside of North America. </w:t>
      </w:r>
      <w:r>
        <w:rPr>
          <w:rFonts w:ascii="Arial" w:cs="Arial" w:eastAsia="Arial" w:hAnsi="Arial"/>
          <w:sz w:val="17"/>
          <w:szCs w:val="17"/>
          <w:color w:val="auto"/>
        </w:rPr>
        <w:t>In January 2016, we entered into a strategic collaboration with NHS for microbiome-based CDI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IBD therapies in markets outside the United States and Canada. We have retained the worldwide rights for therapies developed outside of these indications. We believe the market for recurrent CDI is sufficiently concentrated to permit us to effectively commercialize SER-109 in the United States and Canada with a highly focused and specialized sales force of less than 100 individuals. To the extent we are able to commercialize SER-109 in the United States, we will leverage that experience to further build our direct sales force to address the larger patient population to be addressed by SER-262.</w:t>
      </w:r>
    </w:p>
    <w:p>
      <w:pPr>
        <w:spacing w:after="0" w:line="69" w:lineRule="exact"/>
        <w:rPr>
          <w:rFonts w:ascii="Arial" w:cs="Arial" w:eastAsia="Arial" w:hAnsi="Arial"/>
          <w:sz w:val="17"/>
          <w:szCs w:val="17"/>
          <w:color w:val="auto"/>
        </w:rPr>
      </w:pPr>
    </w:p>
    <w:p>
      <w:pPr>
        <w:ind w:left="1040" w:hanging="519"/>
        <w:spacing w:after="0" w:line="25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Developing manufacturing capabilities sufficient to support commercialization of any approved Ecobiotic microbiome therapeutic candidates. </w:t>
      </w:r>
      <w:r>
        <w:rPr>
          <w:rFonts w:ascii="Arial" w:cs="Arial" w:eastAsia="Arial" w:hAnsi="Arial"/>
          <w:sz w:val="18"/>
          <w:szCs w:val="18"/>
          <w:color w:val="auto"/>
        </w:rPr>
        <w:t>Ecobiotic microbiome therapeutic manufacturing will require capabilities that are distinct from other biologic drugs. We have made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investments in manufacturing capabilities to help ensure that we maintain control of our know-how and also because we believe these capabilities will be necessary and highly advantageous for the development of future Ecobiotic microbiome therapeutic candidates. Our bioprocess and manufacturing personnel are focused on creating a platform of manufacturing expertise that will set the stage for further advances in the emerging field of microbiome therapeutics.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Understanding the Microbiome and Its Impact on Disease</w:t>
      </w:r>
    </w:p>
    <w:p>
      <w:pPr>
        <w:spacing w:after="0" w:line="117"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The human microbiome is one of the richest and most diverse ecosystems on earth with a population of approximately 40 trillion microorganisms that live in our intestines, mouth, skin and elsewhere in the body. These microbial ecologies have numerous beneficial functions necessary to supporting health, such as digesting food, preventing disease-causing bacteria from invading the body, regulating our immune system and synthesizing essential nutrients and vitamins. Among the various microbial ecologies in the human body, the colonic microbiome is one of the most diverse microbial communities with up to</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100 billion to one trillion cells per milliliter. In a healthy, symbiotic state the colonic microbiome enables the body to function normally. However, the colonic microbiome can change in composition, such as in response to long-term or high-dose exposure to antibiotics or following a gastrointestinal infection. As a result, there can be a loss of key microbes that results in a state of dysbiosis. Dysbiosis of the microbiome is associated with a wide range of disease and infections.</w:t>
      </w:r>
    </w:p>
    <w:p>
      <w:pPr>
        <w:spacing w:after="0" w:line="190" w:lineRule="exact"/>
        <w:rPr>
          <w:sz w:val="20"/>
          <w:szCs w:val="20"/>
          <w:color w:val="auto"/>
        </w:rPr>
      </w:pPr>
    </w:p>
    <w:p>
      <w:pPr>
        <w:ind w:right="380" w:firstLine="518"/>
        <w:spacing w:after="0" w:line="259" w:lineRule="auto"/>
        <w:rPr>
          <w:sz w:val="20"/>
          <w:szCs w:val="20"/>
          <w:color w:val="auto"/>
        </w:rPr>
      </w:pPr>
      <w:r>
        <w:rPr>
          <w:rFonts w:ascii="Arial" w:cs="Arial" w:eastAsia="Arial" w:hAnsi="Arial"/>
          <w:sz w:val="18"/>
          <w:szCs w:val="18"/>
          <w:color w:val="auto"/>
        </w:rPr>
        <w:t>Although bacteria are often associated with infection and disease, much of the bacteria that colonize the human body are essential for life. Until recently, few scientific studies focused on the benefits of the bacteria comprising the microbiome. In 2005, the National Institutes of Health funded the Human Microbiome Project, or HMP, which had as one of its goals the characterization of the microbiome with enough specificity to enable the study of variations in the microbiome and their influence on disease.</w:t>
      </w:r>
    </w:p>
    <w:p>
      <w:pPr>
        <w:spacing w:after="0" w:line="187"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Historically, researchers studied microbes in patients by isolating pathogens and growing them in culture. This process typically identifies only a limited diversity of microbial species. The HMP used metagenomic sequencing technologies to analyze 5,000 samples, representing more than 3.5 terabases of genome sequence data, to identify specific genetic sequences found only in bacteria. HMP researchers estimate that 500 to 1,000 unique bacterial species occupy the human ecosystem, and these researchers believe they have characterized the normal range of microbial variation in the U.S. population. Importantly, HMP researchers have discovered that different consortia of microbes may accomplish the same metabolic activity, and the presence of those metabolic activities is more important than the exact species of microbe providing the function. Results from the HMP have provided a robust baseline microbiome against which disease states can be compared.</w:t>
      </w:r>
    </w:p>
    <w:p>
      <w:pPr>
        <w:spacing w:after="0" w:line="178"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 xml:space="preserve">Compared to the baseline data developed by the HMP, numerous scientific studies are emerging in both animals and humans, suggesting that many human diseases can be correlated with dysbiosis of the microbiome. These include infections, such as CDI or vancomycin-resistant </w:t>
      </w:r>
      <w:r>
        <w:rPr>
          <w:rFonts w:ascii="Arial" w:cs="Arial" w:eastAsia="Arial" w:hAnsi="Arial"/>
          <w:sz w:val="18"/>
          <w:szCs w:val="18"/>
          <w:i w:val="1"/>
          <w:iCs w:val="1"/>
          <w:color w:val="auto"/>
        </w:rPr>
        <w:t>Enterococcus</w:t>
      </w:r>
      <w:r>
        <w:rPr>
          <w:rFonts w:ascii="Arial" w:cs="Arial" w:eastAsia="Arial" w:hAnsi="Arial"/>
          <w:sz w:val="18"/>
          <w:szCs w:val="18"/>
          <w:color w:val="auto"/>
        </w:rPr>
        <w:t>, or VRE; metabolic disorders, such as early-stage, non-insulin dependent diabetes, obesity and non-alcoholic fatty liver disease, or NAFLD/NASH; allergies; autoimmune disease; inflammatory diseases, such as UC, Crohn’s disease and pouchitis; and cancer, including immune-oncology related applications. Examples of some studies include:</w:t>
      </w:r>
    </w:p>
    <w:p>
      <w:pPr>
        <w:spacing w:after="0" w:line="80" w:lineRule="exact"/>
        <w:rPr>
          <w:sz w:val="20"/>
          <w:szCs w:val="20"/>
          <w:color w:val="auto"/>
        </w:rPr>
      </w:pPr>
    </w:p>
    <w:p>
      <w:pPr>
        <w:ind w:left="1040" w:hanging="519"/>
        <w:spacing w:after="0" w:line="25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study published in PLOS Pathogens in 2012 suggested that a mixture of six different bacteria found naturally in the gastrointestinal system of mice, when isolated from stool and reintroduced into the infected mice, was effective at suppressing CDI (Lawley et al., PLOS Pathogens, 2012) . Researchers in the study found that a single treatment of the bacteria was sufficient and that the suppression lasted for months. Seres has shown that SER-262, it’s clinical consortium of human-derived bacterial species formulated as spores, can protect mice from disease in a </w:t>
      </w:r>
      <w:r>
        <w:rPr>
          <w:rFonts w:ascii="Arial" w:cs="Arial" w:eastAsia="Arial" w:hAnsi="Arial"/>
          <w:sz w:val="18"/>
          <w:szCs w:val="18"/>
          <w:i w:val="1"/>
          <w:iCs w:val="1"/>
          <w:color w:val="auto"/>
        </w:rPr>
        <w:t xml:space="preserve">Clostridium difficile </w:t>
      </w:r>
      <w:r>
        <w:rPr>
          <w:rFonts w:ascii="Arial" w:cs="Arial" w:eastAsia="Arial" w:hAnsi="Arial"/>
          <w:sz w:val="18"/>
          <w:szCs w:val="18"/>
          <w:color w:val="auto"/>
        </w:rPr>
        <w:t>infection model.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ind w:left="1040" w:hanging="519"/>
        <w:spacing w:after="0" w:line="270"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placebo-controlled, randomized, blinded clinical study published in Gastroenterology in 2015 showed that repetitive FMT delivered via enema weekly for 6 weeks could induce clinical remissions in 24% of patients with active UC compared to 5% receiving placebo (Moayyedi et al., Gastroenterology, 2015). This study utilized endoscopy, a direct visualization of the colon, before and after treatment to assess the efficacy of FMT, thus demonstrating the role of the microbiome in treating active UC. A subsequent randomized, placebo controlled, blinded study of FMT delivered via enema 5 days per week for 8 weeks demonstrated similar clinical remission rates: 27% receiving FMT and 8% receiving placebo (Paramsothy et al., Lancet, 2017). We announced top-line clinical data from its Phase 1b clinical trial for SER-287 in October 2017. In patient with mild-to-moderate UC, those receiving a vancomycin pre-treatment followed by a daily oral dose of SER-287 for 8 weeks achieved a 40% rate of clinical remission compared to 0% for placebo. This analysis followed the Intent-to-Treat “worst case” analysis used for drug registration studies in which missing data is counted as failure.</w:t>
      </w:r>
    </w:p>
    <w:p>
      <w:pPr>
        <w:spacing w:after="0" w:line="73" w:lineRule="exact"/>
        <w:rPr>
          <w:rFonts w:ascii="Arial" w:cs="Arial" w:eastAsia="Arial" w:hAnsi="Arial"/>
          <w:sz w:val="17"/>
          <w:szCs w:val="17"/>
          <w:color w:val="auto"/>
        </w:rPr>
      </w:pPr>
    </w:p>
    <w:p>
      <w:pPr>
        <w:ind w:left="1040" w:right="100" w:hanging="519"/>
        <w:spacing w:after="0" w:line="273"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Data from cancer patients undergoing allo-HSCT show the influence of the microbiome on patient survival. An observational study of allo-HSCT patients following allo-HSCT demonstrated that 3-year survival in patients with a low diversity microbiome was 36% whereas survival in patients with a medium to high diversity microbiome was ≥60%. Excess mortality in the low diversity subset was driven by deaths due to infection and GvHD, not the underlying cancer itself (Taur et al, Blood, 2014). A follow up from the same researchers looked at allo-HSCT patients receiving transplants who are at highest risk of GvHD and showed a greater than 5-fold increase in mortality was correlated with microbiome composition. (Jenq et al., Biol of Blood and Marrow Transplant, 2015).</w:t>
      </w:r>
    </w:p>
    <w:p>
      <w:pPr>
        <w:spacing w:after="0" w:line="70" w:lineRule="exact"/>
        <w:rPr>
          <w:rFonts w:ascii="Arial" w:cs="Arial" w:eastAsia="Arial" w:hAnsi="Arial"/>
          <w:sz w:val="17"/>
          <w:szCs w:val="17"/>
          <w:color w:val="auto"/>
        </w:rPr>
      </w:pPr>
    </w:p>
    <w:p>
      <w:pPr>
        <w:ind w:left="1040" w:right="100" w:hanging="519"/>
        <w:spacing w:after="0" w:line="290"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Two studies in mouse cancer models, both published in Science in 2015, demonstrated that the anti-tumor response to immunel checkpoint inhibitors could be enhanced by altering the microbiome (Velizou et al., Science 2015; Slvan et al., Science 2015). More recently, independent groups from MD Anderson, the Institute Gustave Roussy in Paris, France, and the University of Chicago have published data from human studies showing that cancer patients who successfully respond to immune checkpoint inhibitors tend to have a distinct microbiome from patients who do not respond. Moreover, when human fecal samples from responding and non-responding patients are transferred into mice, these have been shown to exhibit the same response to checkpoint inhibitors in tumor model experiments as their human donors (Golpalakrishnan et al, </w:t>
      </w:r>
      <w:r>
        <w:rPr>
          <w:rFonts w:ascii="Arial" w:cs="Arial" w:eastAsia="Arial" w:hAnsi="Arial"/>
          <w:sz w:val="16"/>
          <w:szCs w:val="16"/>
          <w:i w:val="1"/>
          <w:iCs w:val="1"/>
          <w:color w:val="auto"/>
        </w:rPr>
        <w:t>Science</w:t>
      </w:r>
      <w:r>
        <w:rPr>
          <w:rFonts w:ascii="Arial" w:cs="Arial" w:eastAsia="Arial" w:hAnsi="Arial"/>
          <w:sz w:val="16"/>
          <w:szCs w:val="16"/>
          <w:color w:val="auto"/>
        </w:rPr>
        <w:t xml:space="preserve">, 2017; Routy et al, </w:t>
      </w:r>
      <w:r>
        <w:rPr>
          <w:rFonts w:ascii="Arial" w:cs="Arial" w:eastAsia="Arial" w:hAnsi="Arial"/>
          <w:sz w:val="16"/>
          <w:szCs w:val="16"/>
          <w:i w:val="1"/>
          <w:iCs w:val="1"/>
          <w:color w:val="auto"/>
        </w:rPr>
        <w:t>Science</w:t>
      </w:r>
      <w:r>
        <w:rPr>
          <w:rFonts w:ascii="Arial" w:cs="Arial" w:eastAsia="Arial" w:hAnsi="Arial"/>
          <w:sz w:val="16"/>
          <w:szCs w:val="16"/>
          <w:color w:val="auto"/>
        </w:rPr>
        <w:t xml:space="preserve">, 2017; Matson et al, </w:t>
      </w:r>
      <w:r>
        <w:rPr>
          <w:rFonts w:ascii="Arial" w:cs="Arial" w:eastAsia="Arial" w:hAnsi="Arial"/>
          <w:sz w:val="16"/>
          <w:szCs w:val="16"/>
          <w:i w:val="1"/>
          <w:iCs w:val="1"/>
          <w:color w:val="auto"/>
        </w:rPr>
        <w:t>Science</w:t>
      </w:r>
      <w:r>
        <w:rPr>
          <w:rFonts w:ascii="Arial" w:cs="Arial" w:eastAsia="Arial" w:hAnsi="Arial"/>
          <w:sz w:val="16"/>
          <w:szCs w:val="16"/>
          <w:color w:val="auto"/>
        </w:rPr>
        <w:t>, 2018). Taken together, these results suggest that microbiome therapies might improve the efficacy of checkpoint inhibitors in immuno-oncology treatments.</w:t>
      </w:r>
    </w:p>
    <w:p>
      <w:pPr>
        <w:spacing w:after="0" w:line="58" w:lineRule="exact"/>
        <w:rPr>
          <w:rFonts w:ascii="Arial" w:cs="Arial" w:eastAsia="Arial" w:hAnsi="Arial"/>
          <w:sz w:val="16"/>
          <w:szCs w:val="16"/>
          <w:color w:val="auto"/>
        </w:rPr>
      </w:pPr>
    </w:p>
    <w:p>
      <w:pPr>
        <w:ind w:left="1040" w:right="180" w:hanging="519"/>
        <w:spacing w:after="0" w:line="259"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study published in the Journal of Clinical Investigation in 2015 demonstrated that the microbiome of mice could be engineered to treat hyperammonemia, a clinical consequence of a set of rare genetic diseases known as Urea Cycle Disorders (Shen et al., JCI, 2015). In this preclinical model, gut microbes that lack a functional urease gene were able to alter ammonia balance in the blood, suggesting a new route to novel therapeutics.</w:t>
      </w:r>
    </w:p>
    <w:p>
      <w:pPr>
        <w:spacing w:after="0" w:line="227"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There are currently no microbiome therapeutics approved by the FDA. We believe that the ability to develop drugs that are able to modulate the microbiome and return a dysbiotic microbiome to its healthy state presents a significant opportunity to improve human health.</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Microbiome Therapeutics Platform</w:t>
      </w:r>
    </w:p>
    <w:p>
      <w:pPr>
        <w:spacing w:after="0" w:line="117"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We have developed the leading microbiome therapeutics platform, which we believe enables us to significantly reduce the time typically required to advance therapeutics to the clinic, and ultimately, to the market. We use reverse translation, the practice of starting with microbiome data from healthy volunteers and patients to understand the role of the microbiome in disease, and use that data in our design and development programs.</w:t>
      </w:r>
    </w:p>
    <w:p>
      <w:pPr>
        <w:spacing w:after="0" w:line="14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Our microbiome therapeutics platform combines two approaches. Our donor-derived platform has two product candidates, SER-109 and SER-287. In this setting, we target indications where we believe a deficiency in the spore-forming bacterial population is likely to cause or contribute to disease, such as recurrent CDI and IBD. Our donor-derived product candidates have been rapidly translated into clinical studies in patients. Our rationally-designed platform produces ecological compositions that consist of discrete combinations of beneficial microorganisms, selected from our strain library to have functional properties relevant to the underlying cause of disease.</w:t>
      </w:r>
    </w:p>
    <w:p>
      <w:pPr>
        <w:spacing w:after="0" w:line="18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discovery process begins with human data derived from clinical trials and cohort studies, which we use as a basis for designing our Ecobiotic microbiome therapeutic candidates. We compare healthy, normal colonic microbiomes to those in an unhealthy dysbiotic state, revealing the ecological and functional differences. We then develop our Ecobiotic microbiome therapeutic candidates to target these differences. Our clinical data from the SER-109 and SER-287 programs, and microbiome data generated with external collaborators, serve to instruct us on how the introduction of certain keystone microbes can restore a dysbiotic colonic microbiome.</w:t>
      </w:r>
    </w:p>
    <w:p>
      <w:pPr>
        <w:spacing w:after="0" w:line="188"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We have developed a proprietary suite of bioinformatics and computational tools, which facilitate our insights into the human microbiome. Using whole metagenomic shotgun sequencing, and our proprietary, curated, reference database of novel bacterial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 w:name="page11"/>
    <w:bookmarkEnd w:id="10"/>
    <w:p>
      <w:pPr>
        <w:ind w:right="220"/>
        <w:spacing w:after="0" w:line="264" w:lineRule="auto"/>
        <w:rPr>
          <w:sz w:val="20"/>
          <w:szCs w:val="20"/>
          <w:color w:val="auto"/>
        </w:rPr>
      </w:pPr>
      <w:r>
        <w:rPr>
          <w:rFonts w:ascii="Arial" w:cs="Arial" w:eastAsia="Arial" w:hAnsi="Arial"/>
          <w:sz w:val="18"/>
          <w:szCs w:val="18"/>
          <w:color w:val="auto"/>
        </w:rPr>
        <w:t>genomes, our algorithms enable us to track changes in the microbiome at the level of individual bacterial strains. We have also developed tools integrating metabolomics data (the small molecules made by the microbiome) with genomic data (the collection of bacteria defined by sequencing) to understand the functions related groups of organisms contribute to the state of disease or health.</w:t>
      </w:r>
    </w:p>
    <w:p>
      <w:pPr>
        <w:spacing w:after="0" w:line="181"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Our proprietary strain library of over 35,000 bacterial isolates from healthy donors and patients enables us to translate computational insights into defined compositions. It includes the majority of the National Institute of Health’s Human Microbiome Project’s “most wanted” and many novel species not described in other databases or the scientific literature. Using proprietary assays, we characterize the functional capabilities of the bacteria in our strain library, based on both metabolomics and how the bacteria interact with human colonic epithelial cells and the human immune system. We also seek to understand how these microbes improve colonic barrier health and how colonic barrier health impacts immune responses.</w:t>
      </w:r>
    </w:p>
    <w:p>
      <w:pPr>
        <w:spacing w:after="0" w:line="173"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We select bacteria from our library with specific predicted properties using novel algorithms for functional design and grow the compositions in the lab to be tested both in vitro and in animal models. Our animal models include using “humanized” mice that possess only bacteria derived from humans, which we developed to minimize confounding variables presented by murine microbes. This data is analyzed and used to optimize the next round of screening; introducing new bacterial strains and optimizing existing strains until we identify a composition for clinical testing.</w:t>
      </w:r>
    </w:p>
    <w:p>
      <w:pPr>
        <w:spacing w:after="0" w:line="17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Finally, we manufacture the bacterial composition under current Good Manufacturing Practices, or cGMP, which are required by FDA and European regulators. We believe our manufacturing is successful because we are uniquely positioned to interpret and implement regulations given our development position and we have proprietary data enabling us to better understand the biology of human commensal bacteria. We have optimized fermentation conditions to generate spores and enhance bacterial yields in anaerobic fermentation and have in-house capabilities to formulate both spores and live bacteria. Our manufacturing facility in Cambridge, Massachusetts is uniquely fit-for-purpose and is highly differentiated compared to the offerings of commercial contract research organizations. We address quality control requirements for our Ecobiotic microbiome therapeutic candidates using proprietary microbiological and qualified sequence-based testing schemes, including high-throughput quantitative analytics to assess the identity, potency and purity of the final product.</w:t>
      </w:r>
    </w:p>
    <w:p>
      <w:pPr>
        <w:spacing w:after="0" w:line="16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Taken together, our platform, spanning drug discovery, pre-clinical translation, and novel manufacturing and quality control approaches, has enabled a field leading pipeline across a range of therapeutics areas.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Disease Overview and Our Product Pipeline</w:t>
      </w:r>
    </w:p>
    <w:p>
      <w:pPr>
        <w:spacing w:after="0" w:line="229"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believe our Ecobiotic microbiome therapeutic candidates represent a novel approach with potential application across a broad range of human diseases. Our most advanced drug development program, SER-109, focuses on recurrent CDI. SER-109 has been designated as a Breakthrough Therapy and an Orphan Drug by the FDA. Based on feedback received from the FDA, we have initiated a new Phase 3 SER-109 clinical study in approximately 320 patients with multiply recurrent CDI. SER-262 is an Ecobiotic drug candidate under development for treatment of dysbiosis following primary CDI, in order to prevent recurrence, and is currently in a Phase 1b study in the United States. SER-287 is under development for the treatment of active mild-to-moderate UC and has completed a Phase 1b study in the United States. SER-287 has been designated an Orphan Drug for pediatric UC by the FDA. We are designing SER-301, a rationally-designed Ecobiotic microbiome therapeutic candidate, for the treatment of IBD, SER-401 for combination therapy with immune checkpoint inhibitors in cancer, and SER-155, a designed Ecobiotic microbiome therapeutic candidate, for the prevention of transplant-related mortality (due to infection and GvHD) following allo-HSCT or liver transplant. We are also researching potential Ecobiotic microbiome therapeutic candidates for the treatment of metabolic disorders, such as early-stage, non-insulin dependent diabetes , NASH, obesity and metabolic syndrome. Research in these indications is focused on developing Ecobiotic drugs that address specific functional defects in the microbiome, including the specific metabolic products made by the microbes. We believe this approach may enable pursuit of a range of disorders including various forms of liver disease and rare genetic diseases of metabolism.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CDI Overview and Product Candidates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Clostridium difficile Infection</w:t>
      </w:r>
    </w:p>
    <w:p>
      <w:pPr>
        <w:spacing w:after="0" w:line="11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i w:val="1"/>
          <w:iCs w:val="1"/>
          <w:color w:val="auto"/>
        </w:rPr>
        <w:t xml:space="preserve">C. difficile </w:t>
      </w:r>
      <w:r>
        <w:rPr>
          <w:rFonts w:ascii="Arial" w:cs="Arial" w:eastAsia="Arial" w:hAnsi="Arial"/>
          <w:sz w:val="16"/>
          <w:szCs w:val="16"/>
          <w:color w:val="auto"/>
        </w:rPr>
        <w:t>is a Gram-positive, toxin-producing, spore forming bacterium that may cause debilitating diarrhea in infected individuals, but can also lead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more severe outcomes, such as inflammation of the colon (colitis), toxic megacolon and death.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bacteria express toxins that disrupt the structural architecture of cells causing leakage of fluids through the gastrointestinal epithelium. The cells disrupted by these toxins eventually undergo apoptosis and die, releasing their contents into the colon, resulting in inflammation of the colon, severe and persistent diarrhea and, in the most serious cases, death.</w:t>
      </w:r>
    </w:p>
    <w:p>
      <w:pPr>
        <w:spacing w:after="0" w:line="154"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 xml:space="preserve">CDI is most often associated with the prior use of antibiotics, although age and poor immune status are important risk factors as well. Antibiotics are thought to decrease resistance to CDI by causing dysbiosis in the microbiome. Since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spores are able to survive for long periods of time outside the body, and because healthcare settings are often sites of significant antibiotic use, CDI transmission rates in hospitals, long-term acute care facilities and nursing homes have been increasing. CDI is also a cause of</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 w:name="page12"/>
    <w:bookmarkEnd w:id="11"/>
    <w:p>
      <w:pPr>
        <w:jc w:val="both"/>
        <w:ind w:right="100"/>
        <w:spacing w:after="0" w:line="286" w:lineRule="auto"/>
        <w:rPr>
          <w:sz w:val="20"/>
          <w:szCs w:val="20"/>
          <w:color w:val="auto"/>
        </w:rPr>
      </w:pPr>
      <w:r>
        <w:rPr>
          <w:rFonts w:ascii="Arial" w:cs="Arial" w:eastAsia="Arial" w:hAnsi="Arial"/>
          <w:sz w:val="17"/>
          <w:szCs w:val="17"/>
          <w:color w:val="auto"/>
        </w:rPr>
        <w:t>morbidity and mortality among hospitalized cancer patients and bone marrow transplant patients as their immune systems are suppressed by cytotoxic drugs, which are drugs that inhibit or prevent the function of cells including cells of the immune system, and they may be heavily treated with antibiotics to prevent or treat infections. More recently, the rise of community-acquired CDI has been recognized as a growing problem.</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The CDC has identified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as one of the top three most urgent antibiotic-resistant bacterial threats in the United States. It is the most common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cause of hospital acquired infection in the United States, having overtaken MRSA. CDI is responsible for the deaths of approximately 29,000 Americans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CDI is also costly to the healthcare system. According to a study published in Clinical Infectious Diseases, the economic burden of CDI in 2008 in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acute care facilities alone was estimated to be as much as $4.8 billion. In addition, a summary of studies published in 2009 in </w:t>
      </w:r>
      <w:r>
        <w:rPr>
          <w:rFonts w:ascii="Arial" w:cs="Arial" w:eastAsia="Arial" w:hAnsi="Arial"/>
          <w:sz w:val="17"/>
          <w:szCs w:val="17"/>
          <w:i w:val="1"/>
          <w:iCs w:val="1"/>
          <w:color w:val="auto"/>
        </w:rPr>
        <w:t>The Journal of Hospital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Infection</w:t>
      </w:r>
      <w:r>
        <w:rPr>
          <w:rFonts w:ascii="Arial" w:cs="Arial" w:eastAsia="Arial" w:hAnsi="Arial"/>
          <w:sz w:val="16"/>
          <w:szCs w:val="16"/>
          <w:color w:val="auto"/>
        </w:rPr>
        <w:t>, calculated that the treatment cost per episode of primary CDI was as much as $5,000 and as much as $18,000 per recurrence of CDI (Ghantoji et 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2010). Further, according to a 2014 article in the </w:t>
      </w:r>
      <w:r>
        <w:rPr>
          <w:rFonts w:ascii="Arial" w:cs="Arial" w:eastAsia="Arial" w:hAnsi="Arial"/>
          <w:sz w:val="16"/>
          <w:szCs w:val="16"/>
          <w:i w:val="1"/>
          <w:iCs w:val="1"/>
          <w:color w:val="auto"/>
        </w:rPr>
        <w:t>American Journal of Infection Control</w:t>
      </w:r>
      <w:r>
        <w:rPr>
          <w:rFonts w:ascii="Arial" w:cs="Arial" w:eastAsia="Arial" w:hAnsi="Arial"/>
          <w:sz w:val="16"/>
          <w:szCs w:val="16"/>
          <w:color w:val="auto"/>
        </w:rPr>
        <w:t>, from 2001 to 2010, incidence of CDI per 1,000 patients discharged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from 4.5 to 8.2 with an average hospital stay of eight days. Research suggests that the risk of recurrence is approximately 25% after primary CDI,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 after a first recurrence and greater than 60% for those experiencing two or more recurrences (Higa &amp; Kelly</w:t>
      </w:r>
      <w:r>
        <w:rPr>
          <w:rFonts w:ascii="Arial" w:cs="Arial" w:eastAsia="Arial" w:hAnsi="Arial"/>
          <w:sz w:val="16"/>
          <w:szCs w:val="16"/>
          <w:i w:val="1"/>
          <w:iCs w:val="1"/>
          <w:color w:val="auto"/>
        </w:rPr>
        <w:t>, New Drugs and Strategies for Management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of </w:t>
      </w:r>
      <w:r>
        <w:rPr>
          <w:rFonts w:ascii="Arial" w:cs="Arial" w:eastAsia="Arial" w:hAnsi="Arial"/>
          <w:sz w:val="17"/>
          <w:szCs w:val="17"/>
          <w:color w:val="auto"/>
        </w:rPr>
        <w:t>Clostridium difficile</w:t>
      </w:r>
      <w:r>
        <w:rPr>
          <w:rFonts w:ascii="Arial" w:cs="Arial" w:eastAsia="Arial" w:hAnsi="Arial"/>
          <w:sz w:val="17"/>
          <w:szCs w:val="17"/>
          <w:i w:val="1"/>
          <w:iCs w:val="1"/>
          <w:color w:val="auto"/>
        </w:rPr>
        <w:t xml:space="preserve"> Colitis</w:t>
      </w:r>
      <w:r>
        <w:rPr>
          <w:rFonts w:ascii="Arial" w:cs="Arial" w:eastAsia="Arial" w:hAnsi="Arial"/>
          <w:sz w:val="17"/>
          <w:szCs w:val="17"/>
          <w:color w:val="auto"/>
        </w:rPr>
        <w:t>, J. of Intensive Care Medicine, 2013). Based on an epidemiological study conducted by the CDC, the incidence of</w:t>
      </w:r>
      <w:r>
        <w:rPr>
          <w:rFonts w:ascii="Arial" w:cs="Arial" w:eastAsia="Arial" w:hAnsi="Arial"/>
          <w:sz w:val="17"/>
          <w:szCs w:val="17"/>
          <w:i w:val="1"/>
          <w:iCs w:val="1"/>
          <w:color w:val="auto"/>
        </w:rPr>
        <w:t xml:space="preserve"> 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difficile </w:t>
      </w:r>
      <w:r>
        <w:rPr>
          <w:rFonts w:ascii="Arial" w:cs="Arial" w:eastAsia="Arial" w:hAnsi="Arial"/>
          <w:sz w:val="16"/>
          <w:szCs w:val="16"/>
          <w:color w:val="auto"/>
        </w:rPr>
        <w:t>infection in the United States, based on a positive toxin or molecular assay in patients who did not have a positive result in the previous 8 weeks,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estimated to be 453,000 (95% confidence interval [CI], 397,100 to 508,500) (Lessa et. al., </w:t>
      </w:r>
      <w:r>
        <w:rPr>
          <w:rFonts w:ascii="Arial" w:cs="Arial" w:eastAsia="Arial" w:hAnsi="Arial"/>
          <w:sz w:val="16"/>
          <w:szCs w:val="16"/>
          <w:i w:val="1"/>
          <w:iCs w:val="1"/>
          <w:color w:val="auto"/>
        </w:rPr>
        <w:t>Burden of</w:t>
      </w:r>
      <w:r>
        <w:rPr>
          <w:rFonts w:ascii="Arial" w:cs="Arial" w:eastAsia="Arial" w:hAnsi="Arial"/>
          <w:sz w:val="16"/>
          <w:szCs w:val="16"/>
          <w:color w:val="auto"/>
        </w:rPr>
        <w:t xml:space="preserve"> Clostridium difficile </w:t>
      </w:r>
      <w:r>
        <w:rPr>
          <w:rFonts w:ascii="Arial" w:cs="Arial" w:eastAsia="Arial" w:hAnsi="Arial"/>
          <w:sz w:val="16"/>
          <w:szCs w:val="16"/>
          <w:i w:val="1"/>
          <w:iCs w:val="1"/>
          <w:color w:val="auto"/>
        </w:rPr>
        <w:t>Infection in the United States</w:t>
      </w:r>
      <w:r>
        <w:rPr>
          <w:rFonts w:ascii="Arial" w:cs="Arial" w:eastAsia="Arial" w:hAnsi="Arial"/>
          <w:sz w:val="16"/>
          <w:szCs w:val="16"/>
          <w:color w:val="auto"/>
        </w:rPr>
        <w:t>,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England J. of Medicine, 2015).</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Current and developing treatment alternatives and their limitations</w:t>
      </w:r>
    </w:p>
    <w:p>
      <w:pPr>
        <w:spacing w:after="0" w:line="117"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Patients with CDI utilize antibiotics, FMT, unapproved over-the-counter probiotics, and antibodies. Several therapeutic vaccines are also being developed.</w:t>
      </w:r>
    </w:p>
    <w:p>
      <w:pPr>
        <w:spacing w:after="0" w:line="62" w:lineRule="exact"/>
        <w:rPr>
          <w:sz w:val="20"/>
          <w:szCs w:val="20"/>
          <w:color w:val="auto"/>
        </w:rPr>
      </w:pPr>
    </w:p>
    <w:p>
      <w:pPr>
        <w:ind w:left="520" w:right="200" w:firstLine="495"/>
        <w:spacing w:after="0" w:line="259" w:lineRule="auto"/>
        <w:rPr>
          <w:sz w:val="20"/>
          <w:szCs w:val="20"/>
          <w:color w:val="auto"/>
        </w:rPr>
      </w:pPr>
      <w:r>
        <w:rPr>
          <w:rFonts w:ascii="Arial" w:cs="Arial" w:eastAsia="Arial" w:hAnsi="Arial"/>
          <w:sz w:val="18"/>
          <w:szCs w:val="18"/>
          <w:i w:val="1"/>
          <w:iCs w:val="1"/>
          <w:color w:val="auto"/>
        </w:rPr>
        <w:t>Antibiotics</w:t>
      </w:r>
      <w:r>
        <w:rPr>
          <w:rFonts w:ascii="Arial" w:cs="Arial" w:eastAsia="Arial" w:hAnsi="Arial"/>
          <w:sz w:val="18"/>
          <w:szCs w:val="18"/>
          <w:color w:val="auto"/>
        </w:rPr>
        <w:t>. According to the Infectious Disease Society of America, or IDSA, guidelines, the current standard of care for primary CDI is to</w:t>
      </w:r>
      <w:r>
        <w:rPr>
          <w:rFonts w:ascii="Arial" w:cs="Arial" w:eastAsia="Arial" w:hAnsi="Arial"/>
          <w:sz w:val="18"/>
          <w:szCs w:val="18"/>
          <w:i w:val="1"/>
          <w:iCs w:val="1"/>
          <w:color w:val="auto"/>
        </w:rPr>
        <w:t xml:space="preserve"> </w:t>
      </w:r>
      <w:r>
        <w:rPr>
          <w:rFonts w:ascii="Arial" w:cs="Arial" w:eastAsia="Arial" w:hAnsi="Arial"/>
          <w:sz w:val="18"/>
          <w:szCs w:val="18"/>
          <w:color w:val="auto"/>
        </w:rPr>
        <w:t>treat with antibiotics, such as fidaxomicin or vancomycin. Metronidazole is only recommended for mild disease or where access to other drugs is limited. In addition, while fidaxomicin is recommended to treat primary CDI, it does not have a label claim to reduce or prevent CDI recurrence. No antibiotic therapeutics are currently approved for treatment of recurrent CDI.</w:t>
      </w:r>
    </w:p>
    <w:p>
      <w:pPr>
        <w:spacing w:after="0" w:line="79" w:lineRule="exact"/>
        <w:rPr>
          <w:sz w:val="20"/>
          <w:szCs w:val="20"/>
          <w:color w:val="auto"/>
        </w:rPr>
      </w:pPr>
    </w:p>
    <w:p>
      <w:pPr>
        <w:ind w:left="520" w:right="40" w:firstLine="495"/>
        <w:spacing w:after="0" w:line="257" w:lineRule="auto"/>
        <w:rPr>
          <w:sz w:val="20"/>
          <w:szCs w:val="20"/>
          <w:color w:val="auto"/>
        </w:rPr>
      </w:pPr>
      <w:r>
        <w:rPr>
          <w:rFonts w:ascii="Arial" w:cs="Arial" w:eastAsia="Arial" w:hAnsi="Arial"/>
          <w:sz w:val="18"/>
          <w:szCs w:val="18"/>
          <w:color w:val="auto"/>
        </w:rPr>
        <w:t xml:space="preserve">Recurrent CDI, defined as the presence of diarrhea and a positive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stool assay within two to eight weeks following the initial episode, is not well addressed by any of the available antibiotics. When a patient has recurred two or more times after the initial occurrence, CDI recurrence rates are greater than 60% and the probability of additional recurrences increases with successive cycles. In extreme cases, patients are treated continuously for years with vancomycin, even while they continue to experience gastrointestinal symptoms including diarrhea and abdominal discomfort.</w:t>
      </w:r>
    </w:p>
    <w:p>
      <w:pPr>
        <w:spacing w:after="0" w:line="80" w:lineRule="exact"/>
        <w:rPr>
          <w:sz w:val="20"/>
          <w:szCs w:val="20"/>
          <w:color w:val="auto"/>
        </w:rPr>
      </w:pPr>
    </w:p>
    <w:p>
      <w:pPr>
        <w:ind w:left="520" w:right="140" w:firstLine="495"/>
        <w:spacing w:after="0" w:line="273" w:lineRule="auto"/>
        <w:rPr>
          <w:sz w:val="20"/>
          <w:szCs w:val="20"/>
          <w:color w:val="auto"/>
        </w:rPr>
      </w:pPr>
      <w:r>
        <w:rPr>
          <w:rFonts w:ascii="Arial" w:cs="Arial" w:eastAsia="Arial" w:hAnsi="Arial"/>
          <w:sz w:val="17"/>
          <w:szCs w:val="17"/>
          <w:color w:val="auto"/>
        </w:rPr>
        <w:t xml:space="preserve">The primary limitation of antibiotics is that their use appears to exacerbate dysbiosis, resulting in increased risk of future CDI. Research in animal models has shown that antibiotic use not only eliminates many healthy bacteria in the gastrointestinal tract, but also leads to the release of nutrients that facilitate the growth of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Antibiotics have also been shown to change the ratio of primary versus secondary bile acids in the colon by killing bacteria required to metabolize bile acids. This shift to a predominance of primary bile acids further facilitates the growth of </w:t>
      </w:r>
      <w:r>
        <w:rPr>
          <w:rFonts w:ascii="Arial" w:cs="Arial" w:eastAsia="Arial" w:hAnsi="Arial"/>
          <w:sz w:val="17"/>
          <w:szCs w:val="17"/>
          <w:i w:val="1"/>
          <w:iCs w:val="1"/>
          <w:color w:val="auto"/>
        </w:rPr>
        <w:t>C.</w:t>
      </w:r>
      <w:r>
        <w:rPr>
          <w:rFonts w:ascii="Arial" w:cs="Arial" w:eastAsia="Arial" w:hAnsi="Arial"/>
          <w:sz w:val="17"/>
          <w:szCs w:val="17"/>
          <w:color w:val="auto"/>
        </w:rPr>
        <w:t xml:space="preserve"> </w:t>
      </w:r>
      <w:r>
        <w:rPr>
          <w:rFonts w:ascii="Arial" w:cs="Arial" w:eastAsia="Arial" w:hAnsi="Arial"/>
          <w:sz w:val="17"/>
          <w:szCs w:val="17"/>
          <w:i w:val="1"/>
          <w:iCs w:val="1"/>
          <w:color w:val="auto"/>
        </w:rPr>
        <w:t>difficile</w:t>
      </w:r>
      <w:r>
        <w:rPr>
          <w:rFonts w:ascii="Arial" w:cs="Arial" w:eastAsia="Arial" w:hAnsi="Arial"/>
          <w:sz w:val="17"/>
          <w:szCs w:val="17"/>
          <w:color w:val="auto"/>
        </w:rPr>
        <w:t>, as it requires primary bile acids for germination of its spores. As a result, antibiotic use may induce a lasting dysbiosis that makes it possible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to colonize a person and then cause, or further perpetuate, disease.</w:t>
      </w:r>
    </w:p>
    <w:p>
      <w:pPr>
        <w:spacing w:after="0" w:line="70" w:lineRule="exact"/>
        <w:rPr>
          <w:sz w:val="20"/>
          <w:szCs w:val="20"/>
          <w:color w:val="auto"/>
        </w:rPr>
      </w:pPr>
    </w:p>
    <w:p>
      <w:pPr>
        <w:ind w:left="520" w:firstLine="495"/>
        <w:spacing w:after="0" w:line="288" w:lineRule="auto"/>
        <w:rPr>
          <w:sz w:val="20"/>
          <w:szCs w:val="20"/>
          <w:color w:val="auto"/>
        </w:rPr>
      </w:pPr>
      <w:r>
        <w:rPr>
          <w:rFonts w:ascii="Arial" w:cs="Arial" w:eastAsia="Arial" w:hAnsi="Arial"/>
          <w:sz w:val="16"/>
          <w:szCs w:val="16"/>
          <w:i w:val="1"/>
          <w:iCs w:val="1"/>
          <w:color w:val="auto"/>
        </w:rPr>
        <w:t xml:space="preserve">Fecal microbiota transplantation. </w:t>
      </w:r>
      <w:r>
        <w:rPr>
          <w:rFonts w:ascii="Arial" w:cs="Arial" w:eastAsia="Arial" w:hAnsi="Arial"/>
          <w:sz w:val="16"/>
          <w:szCs w:val="16"/>
          <w:color w:val="auto"/>
        </w:rPr>
        <w:t>FMT, also known as a stool transplantation, is a procedure during which donated stool, including fecal</w:t>
      </w:r>
      <w:r>
        <w:rPr>
          <w:rFonts w:ascii="Arial" w:cs="Arial" w:eastAsia="Arial" w:hAnsi="Arial"/>
          <w:sz w:val="16"/>
          <w:szCs w:val="16"/>
          <w:i w:val="1"/>
          <w:iCs w:val="1"/>
          <w:color w:val="auto"/>
        </w:rPr>
        <w:t xml:space="preserve"> </w:t>
      </w:r>
      <w:r>
        <w:rPr>
          <w:rFonts w:ascii="Arial" w:cs="Arial" w:eastAsia="Arial" w:hAnsi="Arial"/>
          <w:sz w:val="16"/>
          <w:szCs w:val="16"/>
          <w:color w:val="auto"/>
        </w:rPr>
        <w:t>microbes, is typically instilled via colonoscopy into a patient with CDI. We believe that the efficacy of FMT, which has resulted in cure rates for recurrent CDI of 81% in a randomized controlled study reported in 2013 in the New England Journal of Medicine, supports the role of dysbiosis as a cause of CDI recurrence. However, FMT presents several challenges for effective treatment of the disease. FMT has the potential to transmit infectious or allergenic agents between hosts, involves the transmission of potentially hundreds of unknown strains of bacteria, fungi and viruses from donor to subject, and is difficult to perform on a mass scale. Additionally, FMT is inherently non-standardized so that different desired and/or undesired material may be transmitted in any given donation. FMT is not approved by the FDA and we believe that, as currently practiced by clinical centers in the U.S., it may be unable to gain such approval since the product, to our knowledge, cannot be characterized according to current regulatory requirements for identity, potency, purity and safety and has not been tested in rigorous, placebo controlled, randomized and blinded clinical studies. Commercial providers of FMT must meet FDA regulatory requirements for a biologics license and must produce FMT material using cGMP.</w:t>
      </w:r>
    </w:p>
    <w:p>
      <w:pPr>
        <w:spacing w:after="0" w:line="61" w:lineRule="exact"/>
        <w:rPr>
          <w:sz w:val="20"/>
          <w:szCs w:val="20"/>
          <w:color w:val="auto"/>
        </w:rPr>
      </w:pPr>
    </w:p>
    <w:p>
      <w:pPr>
        <w:ind w:left="520" w:right="80" w:firstLine="495"/>
        <w:spacing w:after="0" w:line="255" w:lineRule="auto"/>
        <w:rPr>
          <w:sz w:val="20"/>
          <w:szCs w:val="20"/>
          <w:color w:val="auto"/>
        </w:rPr>
      </w:pPr>
      <w:r>
        <w:rPr>
          <w:rFonts w:ascii="Arial" w:cs="Arial" w:eastAsia="Arial" w:hAnsi="Arial"/>
          <w:sz w:val="18"/>
          <w:szCs w:val="18"/>
          <w:i w:val="1"/>
          <w:iCs w:val="1"/>
          <w:color w:val="auto"/>
        </w:rPr>
        <w:t xml:space="preserve">Probiotic therapies. </w:t>
      </w:r>
      <w:r>
        <w:rPr>
          <w:rFonts w:ascii="Arial" w:cs="Arial" w:eastAsia="Arial" w:hAnsi="Arial"/>
          <w:sz w:val="18"/>
          <w:szCs w:val="18"/>
          <w:color w:val="auto"/>
        </w:rPr>
        <w:t>Probiotics represent a group of products typically available over the counter in supplements and in some foods,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a small number of species of bacteria. However, to date there have been no clinical studies that have established the ability of probiotics to repair a dysbiosis of the microbiome. Further, there is neither a legally recognized definition of, nor a standard of identity for, the term probiotic in the United States or Europe. The European Food Safety Authority has rejected many of the claims of health benefits associated with probiotics because the microbes had not been sufficiently characterized, the claimed effect was not considered beneficial and human studies in support of the claims had not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left="520" w:right="420"/>
        <w:spacing w:after="0" w:line="277" w:lineRule="auto"/>
        <w:rPr>
          <w:sz w:val="20"/>
          <w:szCs w:val="20"/>
          <w:color w:val="auto"/>
        </w:rPr>
      </w:pPr>
      <w:r>
        <w:rPr>
          <w:rFonts w:ascii="Arial" w:cs="Arial" w:eastAsia="Arial" w:hAnsi="Arial"/>
          <w:sz w:val="18"/>
          <w:szCs w:val="18"/>
          <w:color w:val="auto"/>
        </w:rPr>
        <w:t>been made available. As a result, after December 14, 2012, food and nutritional supplements companies were no longer allowed to communicate health benefits for their products on account of probiotic content in the EU.</w:t>
      </w:r>
    </w:p>
    <w:p>
      <w:pPr>
        <w:spacing w:after="0" w:line="62" w:lineRule="exact"/>
        <w:rPr>
          <w:sz w:val="20"/>
          <w:szCs w:val="20"/>
          <w:color w:val="auto"/>
        </w:rPr>
      </w:pPr>
    </w:p>
    <w:p>
      <w:pPr>
        <w:ind w:left="520" w:right="80" w:firstLine="495"/>
        <w:spacing w:after="0" w:line="259" w:lineRule="auto"/>
        <w:rPr>
          <w:sz w:val="20"/>
          <w:szCs w:val="20"/>
          <w:color w:val="auto"/>
        </w:rPr>
      </w:pPr>
      <w:r>
        <w:rPr>
          <w:rFonts w:ascii="Arial" w:cs="Arial" w:eastAsia="Arial" w:hAnsi="Arial"/>
          <w:sz w:val="18"/>
          <w:szCs w:val="18"/>
          <w:i w:val="1"/>
          <w:iCs w:val="1"/>
          <w:color w:val="auto"/>
        </w:rPr>
        <w:t xml:space="preserve">Antibodies. </w:t>
      </w:r>
      <w:r>
        <w:rPr>
          <w:rFonts w:ascii="Arial" w:cs="Arial" w:eastAsia="Arial" w:hAnsi="Arial"/>
          <w:sz w:val="18"/>
          <w:szCs w:val="18"/>
          <w:color w:val="auto"/>
        </w:rPr>
        <w:t>Bezlotoxumab a fully human monoclonal antibody directed against</w:t>
      </w:r>
      <w:r>
        <w:rPr>
          <w:rFonts w:ascii="Arial" w:cs="Arial" w:eastAsia="Arial" w:hAnsi="Arial"/>
          <w:sz w:val="18"/>
          <w:szCs w:val="18"/>
          <w:i w:val="1"/>
          <w:iCs w:val="1"/>
          <w:color w:val="auto"/>
        </w:rPr>
        <w:t xml:space="preserve"> C. difficile </w:t>
      </w:r>
      <w:r>
        <w:rPr>
          <w:rFonts w:ascii="Arial" w:cs="Arial" w:eastAsia="Arial" w:hAnsi="Arial"/>
          <w:sz w:val="18"/>
          <w:szCs w:val="18"/>
          <w:color w:val="auto"/>
        </w:rPr>
        <w:t>toxin B was approved in the United States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2016 and in Europe in 2017 for the treatment of CDI. The antibody demonstrated 10% absolute risk reduction in preventing recurrence of CDI. Antibodies bind toxins to alleviate the symptoms of CDI, but they do not address the underlying dysbiosis of the microbiome, which we believe is the cause of recurrent CDI. Bezlotoxumab requires intravenous infusion.</w:t>
      </w:r>
    </w:p>
    <w:p>
      <w:pPr>
        <w:spacing w:after="0" w:line="79" w:lineRule="exact"/>
        <w:rPr>
          <w:sz w:val="20"/>
          <w:szCs w:val="20"/>
          <w:color w:val="auto"/>
        </w:rPr>
      </w:pPr>
    </w:p>
    <w:p>
      <w:pPr>
        <w:ind w:left="520" w:right="60" w:firstLine="495"/>
        <w:spacing w:after="0" w:line="264" w:lineRule="auto"/>
        <w:rPr>
          <w:sz w:val="20"/>
          <w:szCs w:val="20"/>
          <w:color w:val="auto"/>
        </w:rPr>
      </w:pPr>
      <w:r>
        <w:rPr>
          <w:rFonts w:ascii="Arial" w:cs="Arial" w:eastAsia="Arial" w:hAnsi="Arial"/>
          <w:sz w:val="18"/>
          <w:szCs w:val="18"/>
          <w:i w:val="1"/>
          <w:iCs w:val="1"/>
          <w:color w:val="auto"/>
        </w:rPr>
        <w:t xml:space="preserve">Vaccines. </w:t>
      </w:r>
      <w:r>
        <w:rPr>
          <w:rFonts w:ascii="Arial" w:cs="Arial" w:eastAsia="Arial" w:hAnsi="Arial"/>
          <w:sz w:val="18"/>
          <w:szCs w:val="18"/>
          <w:color w:val="auto"/>
        </w:rPr>
        <w:t>The efficacy of vaccines in treating CDI in humans currently remains under investigation. In addition, it is difficult to define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 target population for a CDI vaccine, given that the at-risk patient population is largely elderly individuals who typically respond less robustly to vaccination therapies.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SER-109</w:t>
      </w:r>
    </w:p>
    <w:p>
      <w:pPr>
        <w:spacing w:after="0" w:line="11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SER-109 is an ecology of bacteria in spore form enriched from fecal donations obtained from healthy screened donors. SER-109 consists of an average of approximately 50 bacterial species and is designed to reduce recurrences of CDI in patients suffering from recurrent CDI by restoring a dysbiotic microbiome to a state of health. In our open label Phase 1b/2 clinical study of SER-109, we evaluated the effect of treatment with SER-109 in patients with three or more occurrences of CDI in a 12-month period. Of the 30 patients enrolled in the trial, 87% of patients (26 of 30) met the predefined endpoint and 97% (29 of 30), achieved a clinical cure, which we defined as the absence of CDI requiring antibiotic treatment during the eight-week period after SER-109 dosing. A subsequent randomized, double-blind, placebo controlled Phase 2 clinical study was conducted in 89 subjects to evaluate the safety, tolerability and efficacy of SER-109 in adults with recurrent CDI. In that study, 44% of subjects (26 out of 59) who received SER-109 experienced a recurrence at the 8-week endpoint compared to 53% of subjects (16 out of 30) who received placebo, a result that did not show a statistically significant difference between the two treatment arms. SER-109 was generally safe and well tolerated in both the Phase 1b/2 and Phase 2 clinical studies. In each study we also performed an analysis of the microbiome using next-generation sequencing technology and microbiological analysis. These studies demonstrated a re-establishment of keystone organisms and a rapid increase in bacterial diversity, which enable the restoration of the microbiome to a healthy state.</w:t>
      </w:r>
    </w:p>
    <w:p>
      <w:pPr>
        <w:spacing w:after="0" w:line="20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 xml:space="preserve">SER-109 is formulated as oral capsules for administration after completion of antibiotics. Four capsules of SER-109 is comprised of about 30 million SCFU that are delivered in four oral capsules. The spores in SER-109 are intended to germinate in the gastrointestinal tract and compete for the same nutrients required by </w:t>
      </w:r>
      <w:r>
        <w:rPr>
          <w:rFonts w:ascii="Arial" w:cs="Arial" w:eastAsia="Arial" w:hAnsi="Arial"/>
          <w:sz w:val="18"/>
          <w:szCs w:val="18"/>
          <w:i w:val="1"/>
          <w:iCs w:val="1"/>
          <w:color w:val="auto"/>
        </w:rPr>
        <w:t>C. difficile</w:t>
      </w:r>
      <w:r>
        <w:rPr>
          <w:rFonts w:ascii="Arial" w:cs="Arial" w:eastAsia="Arial" w:hAnsi="Arial"/>
          <w:sz w:val="18"/>
          <w:szCs w:val="18"/>
          <w:color w:val="auto"/>
        </w:rPr>
        <w:t>.</w:t>
      </w:r>
    </w:p>
    <w:p>
      <w:pPr>
        <w:spacing w:after="0" w:line="289" w:lineRule="exact"/>
        <w:rPr>
          <w:sz w:val="20"/>
          <w:szCs w:val="20"/>
          <w:color w:val="auto"/>
        </w:rPr>
      </w:pPr>
    </w:p>
    <w:p>
      <w:pPr>
        <w:ind w:left="520" w:right="120" w:firstLine="495"/>
        <w:spacing w:after="0" w:line="302" w:lineRule="auto"/>
        <w:rPr>
          <w:sz w:val="20"/>
          <w:szCs w:val="20"/>
          <w:color w:val="auto"/>
        </w:rPr>
      </w:pPr>
      <w:r>
        <w:rPr>
          <w:rFonts w:ascii="Arial" w:cs="Arial" w:eastAsia="Arial" w:hAnsi="Arial"/>
          <w:sz w:val="16"/>
          <w:szCs w:val="16"/>
          <w:i w:val="1"/>
          <w:iCs w:val="1"/>
          <w:color w:val="auto"/>
        </w:rPr>
        <w:t xml:space="preserve">Phase 1b/2 clinical study design. </w:t>
      </w:r>
      <w:r>
        <w:rPr>
          <w:rFonts w:ascii="Arial" w:cs="Arial" w:eastAsia="Arial" w:hAnsi="Arial"/>
          <w:sz w:val="16"/>
          <w:szCs w:val="16"/>
          <w:color w:val="auto"/>
        </w:rPr>
        <w:t>The Phase 1b/2 clinical study was a two-part trial designed to evaluate the safety and efficacy of SER-109 in</w:t>
      </w:r>
      <w:r>
        <w:rPr>
          <w:rFonts w:ascii="Arial" w:cs="Arial" w:eastAsia="Arial" w:hAnsi="Arial"/>
          <w:sz w:val="16"/>
          <w:szCs w:val="16"/>
          <w:i w:val="1"/>
          <w:iCs w:val="1"/>
          <w:color w:val="auto"/>
        </w:rPr>
        <w:t xml:space="preserve"> </w:t>
      </w:r>
      <w:r>
        <w:rPr>
          <w:rFonts w:ascii="Arial" w:cs="Arial" w:eastAsia="Arial" w:hAnsi="Arial"/>
          <w:sz w:val="16"/>
          <w:szCs w:val="16"/>
          <w:color w:val="auto"/>
        </w:rPr>
        <w:t>30 patients with recurrent CDI. Part 1 of the study evaluated a single dose of SER-109 administered orally in 30 capsules over two days, with a dose that varied between 3 x 10</w:t>
      </w:r>
      <w:r>
        <w:rPr>
          <w:rFonts w:ascii="Arial" w:cs="Arial" w:eastAsia="Arial" w:hAnsi="Arial"/>
          <w:sz w:val="13"/>
          <w:szCs w:val="13"/>
          <w:color w:val="auto"/>
        </w:rPr>
        <w:t>7</w:t>
      </w:r>
      <w:r>
        <w:rPr>
          <w:rFonts w:ascii="Arial" w:cs="Arial" w:eastAsia="Arial" w:hAnsi="Arial"/>
          <w:sz w:val="16"/>
          <w:szCs w:val="16"/>
          <w:color w:val="auto"/>
        </w:rPr>
        <w:t xml:space="preserve"> and 2 x 10</w:t>
      </w:r>
      <w:r>
        <w:rPr>
          <w:rFonts w:ascii="Arial" w:cs="Arial" w:eastAsia="Arial" w:hAnsi="Arial"/>
          <w:sz w:val="13"/>
          <w:szCs w:val="13"/>
          <w:color w:val="auto"/>
        </w:rPr>
        <w:t>10</w:t>
      </w:r>
      <w:r>
        <w:rPr>
          <w:rFonts w:ascii="Arial" w:cs="Arial" w:eastAsia="Arial" w:hAnsi="Arial"/>
          <w:sz w:val="16"/>
          <w:szCs w:val="16"/>
          <w:color w:val="auto"/>
        </w:rPr>
        <w:t>. Part 2 of the study evaluated a single dose of SER-109 administered orally in a range of one to 7 capsules over one day. The target dose in Part 2 was 1x10</w:t>
      </w:r>
      <w:r>
        <w:rPr>
          <w:rFonts w:ascii="Arial" w:cs="Arial" w:eastAsia="Arial" w:hAnsi="Arial"/>
          <w:sz w:val="13"/>
          <w:szCs w:val="13"/>
          <w:color w:val="auto"/>
        </w:rPr>
        <w:t>8</w:t>
      </w:r>
      <w:r>
        <w:rPr>
          <w:rFonts w:ascii="Arial" w:cs="Arial" w:eastAsia="Arial" w:hAnsi="Arial"/>
          <w:sz w:val="16"/>
          <w:szCs w:val="16"/>
          <w:color w:val="auto"/>
        </w:rPr>
        <w:t xml:space="preserve"> spores per dose, which was approximately 17-fold lower than the mean dose in Part 1.</w:t>
      </w:r>
    </w:p>
    <w:p>
      <w:pPr>
        <w:spacing w:after="0" w:line="154" w:lineRule="exact"/>
        <w:rPr>
          <w:sz w:val="20"/>
          <w:szCs w:val="20"/>
          <w:color w:val="auto"/>
        </w:rPr>
      </w:pPr>
    </w:p>
    <w:p>
      <w:pPr>
        <w:ind w:left="520" w:firstLine="495"/>
        <w:spacing w:after="0" w:line="287" w:lineRule="auto"/>
        <w:rPr>
          <w:sz w:val="20"/>
          <w:szCs w:val="20"/>
          <w:color w:val="auto"/>
        </w:rPr>
      </w:pPr>
      <w:r>
        <w:rPr>
          <w:rFonts w:ascii="Arial" w:cs="Arial" w:eastAsia="Arial" w:hAnsi="Arial"/>
          <w:sz w:val="16"/>
          <w:szCs w:val="16"/>
          <w:i w:val="1"/>
          <w:iCs w:val="1"/>
          <w:color w:val="auto"/>
        </w:rPr>
        <w:t xml:space="preserve">Phase 1b/2 clinical study results. </w:t>
      </w:r>
      <w:r>
        <w:rPr>
          <w:rFonts w:ascii="Arial" w:cs="Arial" w:eastAsia="Arial" w:hAnsi="Arial"/>
          <w:sz w:val="16"/>
          <w:szCs w:val="16"/>
          <w:color w:val="auto"/>
        </w:rPr>
        <w:t>The primary efficacy measure was the absence of CDI (defined in this study as more than three unformed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bowel movements in a 24-hour period with laboratory confirmation of a positive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stool test) during the eight weeks after initiating therapy. Twenty-six of 30 patients, or 87% of patients, in the Phase 1b/2 clinical study achieved the primary efficacy endpoint, consisting of 13 patients in each of Part 1 and Part 2 of the study. Among the 26 patients was one patient who experienced an initial recurrence on Day 26 and was re-treated, per protocol, with a dose from the same donor. Following re-treatment, this patient also achieved the primary efficacy endpoint. Of the patients who did not meet the primary efficacy endpoint, one had a recurrence of CDI on Day 5 and did not receive a second treatment with SER-109 and the three other patients were determined by their attending investigator to be recovering from their diarrheal episode by the time they submitted their stool sample for CDI testing. The three patients were determined to be clinically CDI free at eight weeks. As a result, the clinical cure rate for the study, which we defined as the absence of CDI requiring antibiotic treatment during the eight-week period after SER-109 dosing, was 97%, or 29 of 30 patients. SER-109 was well tolerated. The most common adverse events were diarrhea, nausea, and abdominal pain. The majority of treatment-emergent adverse events, or TEAEs, were mild in severity and consistent with post-antibiotic recovery from CDI.</w:t>
      </w:r>
    </w:p>
    <w:p>
      <w:pPr>
        <w:spacing w:after="0" w:line="173" w:lineRule="exact"/>
        <w:rPr>
          <w:sz w:val="20"/>
          <w:szCs w:val="20"/>
          <w:color w:val="auto"/>
        </w:rPr>
      </w:pPr>
    </w:p>
    <w:p>
      <w:pPr>
        <w:ind w:left="520" w:right="60" w:firstLine="495"/>
        <w:spacing w:after="0" w:line="255" w:lineRule="auto"/>
        <w:rPr>
          <w:sz w:val="20"/>
          <w:szCs w:val="20"/>
          <w:color w:val="auto"/>
        </w:rPr>
      </w:pPr>
      <w:r>
        <w:rPr>
          <w:rFonts w:ascii="Arial" w:cs="Arial" w:eastAsia="Arial" w:hAnsi="Arial"/>
          <w:sz w:val="18"/>
          <w:szCs w:val="18"/>
          <w:i w:val="1"/>
          <w:iCs w:val="1"/>
          <w:color w:val="auto"/>
        </w:rPr>
        <w:t xml:space="preserve">Phase 2 clinical study design. </w:t>
      </w:r>
      <w:r>
        <w:rPr>
          <w:rFonts w:ascii="Arial" w:cs="Arial" w:eastAsia="Arial" w:hAnsi="Arial"/>
          <w:sz w:val="18"/>
          <w:szCs w:val="18"/>
          <w:color w:val="auto"/>
        </w:rPr>
        <w:t>The Phase 2 clinical study was a randomized, double-blinded, placebo-controlled, parallel-group two arm trial</w:t>
      </w:r>
      <w:r>
        <w:rPr>
          <w:rFonts w:ascii="Arial" w:cs="Arial" w:eastAsia="Arial" w:hAnsi="Arial"/>
          <w:sz w:val="18"/>
          <w:szCs w:val="18"/>
          <w:i w:val="1"/>
          <w:iCs w:val="1"/>
          <w:color w:val="auto"/>
        </w:rPr>
        <w:t xml:space="preserve"> </w:t>
      </w:r>
      <w:r>
        <w:rPr>
          <w:rFonts w:ascii="Arial" w:cs="Arial" w:eastAsia="Arial" w:hAnsi="Arial"/>
          <w:sz w:val="18"/>
          <w:szCs w:val="18"/>
          <w:color w:val="auto"/>
        </w:rPr>
        <w:t>that enrolled a total of 89 patients with a history of multiply-recurrent CDI, defined as 3 or more CDI episodes within 9 months. Subjects were randomized at a 2:1 ratio with 59 subjects receiving SER-109 and 30 subjects receiving placebo. SER-109 was administered orally as a single dose of 1x10</w:t>
      </w:r>
      <w:r>
        <w:rPr>
          <w:rFonts w:ascii="Arial" w:cs="Arial" w:eastAsia="Arial" w:hAnsi="Arial"/>
          <w:sz w:val="15"/>
          <w:szCs w:val="15"/>
          <w:color w:val="auto"/>
        </w:rPr>
        <w:t>8</w:t>
      </w:r>
      <w:r>
        <w:rPr>
          <w:rFonts w:ascii="Arial" w:cs="Arial" w:eastAsia="Arial" w:hAnsi="Arial"/>
          <w:sz w:val="18"/>
          <w:szCs w:val="18"/>
          <w:color w:val="auto"/>
        </w:rPr>
        <w:t xml:space="preserve"> bacterial spores, following the completion of antibiotic treatment for CDI. The study was conducted at 36 centers across the United States. The primary endpoint was the absence of recurrence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positive diarrhea requiring antibiotic treatment up to 8 weeks following treatment with SER-109 or placebo.</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3" w:name="page14"/>
    <w:bookmarkEnd w:id="13"/>
    <w:p>
      <w:pPr>
        <w:ind w:left="520" w:right="100" w:firstLine="495"/>
        <w:spacing w:after="0" w:line="257" w:lineRule="auto"/>
        <w:rPr>
          <w:sz w:val="20"/>
          <w:szCs w:val="20"/>
          <w:color w:val="auto"/>
        </w:rPr>
      </w:pPr>
      <w:r>
        <w:rPr>
          <w:rFonts w:ascii="Arial" w:cs="Arial" w:eastAsia="Arial" w:hAnsi="Arial"/>
          <w:sz w:val="18"/>
          <w:szCs w:val="18"/>
          <w:i w:val="1"/>
          <w:iCs w:val="1"/>
          <w:color w:val="auto"/>
        </w:rPr>
        <w:t xml:space="preserve">Phase 2 clinical study results. </w:t>
      </w:r>
      <w:r>
        <w:rPr>
          <w:rFonts w:ascii="Arial" w:cs="Arial" w:eastAsia="Arial" w:hAnsi="Arial"/>
          <w:sz w:val="18"/>
          <w:szCs w:val="18"/>
          <w:color w:val="auto"/>
        </w:rPr>
        <w:t>The predefined study primary efficacy endpoint was the relative risk of CDI recurrence up to 8 weeks after</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with SER-109 compared to treatment with placebo. CDI recurrence was defined as diarrhea for 2 or more consecutive days, a positive CDI test, and the requirement for antibiotic treatment. Based on 8-week data, CDI recurrence occurred in 44% of subjects (26 of 59) who received SER-109, compared to 53% of subjects (16 of 30) who received placebo. The relative risk of CDI recurrence for the placebo population compared to the SER-109 population was not statistically significant.</w:t>
      </w:r>
    </w:p>
    <w:p>
      <w:pPr>
        <w:spacing w:after="0" w:line="188" w:lineRule="exact"/>
        <w:rPr>
          <w:sz w:val="20"/>
          <w:szCs w:val="20"/>
          <w:color w:val="auto"/>
        </w:rPr>
      </w:pPr>
    </w:p>
    <w:p>
      <w:pPr>
        <w:ind w:left="520" w:right="40" w:firstLine="495"/>
        <w:spacing w:after="0" w:line="270" w:lineRule="auto"/>
        <w:rPr>
          <w:sz w:val="20"/>
          <w:szCs w:val="20"/>
          <w:color w:val="auto"/>
        </w:rPr>
      </w:pPr>
      <w:r>
        <w:rPr>
          <w:rFonts w:ascii="Arial" w:cs="Arial" w:eastAsia="Arial" w:hAnsi="Arial"/>
          <w:sz w:val="17"/>
          <w:szCs w:val="17"/>
          <w:color w:val="auto"/>
        </w:rPr>
        <w:t xml:space="preserve">The most commonly reported adverse events in both the SER-109 and placebo arms were in the gastrointestinal category, and were diarrhea (25% vs 14%), abdominal pain (22% vs 14%), flatulence (12% vs 3%), and nausea (10% vs 10%), for SER-109 and Placebo, respectively. No drug-related serious adverse events were observed. The SER-109 analyses were shared with the FDA. Based on feedback received from the FDA, a new Phase 3 SER-109 clinical study in approximately 320 patients with multiply recurrent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infection. Study participants are randomized 1:1 between SER-109 and placebo and will receive a total dose that is approximately 10-fold higher than in the Phase 2 study, administered over three consecutive days. Diagnosis of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infection for both study entry and for endpoint analysis will be confirmed by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cytotoxin assay, compared to the first Phase 2, where most patients were diagnosed by polymerase chain reaction, or PCR. The primary endpoint will compare the </w:t>
      </w:r>
      <w:r>
        <w:rPr>
          <w:rFonts w:ascii="Arial" w:cs="Arial" w:eastAsia="Arial" w:hAnsi="Arial"/>
          <w:sz w:val="17"/>
          <w:szCs w:val="17"/>
          <w:i w:val="1"/>
          <w:iCs w:val="1"/>
          <w:color w:val="auto"/>
        </w:rPr>
        <w:t>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difficile </w:t>
      </w:r>
      <w:r>
        <w:rPr>
          <w:rFonts w:ascii="Arial" w:cs="Arial" w:eastAsia="Arial" w:hAnsi="Arial"/>
          <w:sz w:val="17"/>
          <w:szCs w:val="17"/>
          <w:color w:val="auto"/>
        </w:rPr>
        <w:t>recurrence rate in subjects who receive SER-109 verses placebo at up to eight weeks after dosing. The FDA has agreed that this new trial may</w:t>
      </w:r>
      <w:r>
        <w:rPr>
          <w:rFonts w:ascii="Arial" w:cs="Arial" w:eastAsia="Arial" w:hAnsi="Arial"/>
          <w:sz w:val="17"/>
          <w:szCs w:val="17"/>
          <w:i w:val="1"/>
          <w:iCs w:val="1"/>
          <w:color w:val="auto"/>
        </w:rPr>
        <w:t xml:space="preserve"> </w:t>
      </w:r>
      <w:r>
        <w:rPr>
          <w:rFonts w:ascii="Arial" w:cs="Arial" w:eastAsia="Arial" w:hAnsi="Arial"/>
          <w:sz w:val="17"/>
          <w:szCs w:val="17"/>
          <w:color w:val="auto"/>
        </w:rPr>
        <w:t>qualify as a pivotal study with achievement of a persuasive clinical effect and addressing FDA requirements, including clinical and statistical factors, an adequately sized safety database, and certain CMC parameters.</w:t>
      </w:r>
    </w:p>
    <w:p>
      <w:pPr>
        <w:spacing w:after="0" w:line="178" w:lineRule="exact"/>
        <w:rPr>
          <w:sz w:val="20"/>
          <w:szCs w:val="20"/>
          <w:color w:val="auto"/>
        </w:rPr>
      </w:pPr>
    </w:p>
    <w:p>
      <w:pPr>
        <w:ind w:left="520" w:firstLine="495"/>
        <w:spacing w:after="0" w:line="270" w:lineRule="auto"/>
        <w:rPr>
          <w:sz w:val="20"/>
          <w:szCs w:val="20"/>
          <w:color w:val="auto"/>
        </w:rPr>
      </w:pPr>
      <w:r>
        <w:rPr>
          <w:rFonts w:ascii="Arial" w:cs="Arial" w:eastAsia="Arial" w:hAnsi="Arial"/>
          <w:sz w:val="17"/>
          <w:szCs w:val="17"/>
          <w:i w:val="1"/>
          <w:iCs w:val="1"/>
          <w:color w:val="auto"/>
        </w:rPr>
        <w:t xml:space="preserve">Analysis of Phase 1b/2 and Phase 2 clinical study results </w:t>
      </w:r>
      <w:r>
        <w:rPr>
          <w:rFonts w:ascii="Arial" w:cs="Arial" w:eastAsia="Arial" w:hAnsi="Arial"/>
          <w:sz w:val="17"/>
          <w:szCs w:val="17"/>
          <w:color w:val="auto"/>
        </w:rPr>
        <w:t>In our Phase 2 clinical study, the study’s primary endpoint of reducing the relative risk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CDI recurrence at up to 8 weeks after treatment was not achieved. In order to understand the difference in outcome between Phase 1b/2 and Phase 2 clinical studies, we conducted an analysis of the available clinical, microbiome and CMC data. This root-cause investigation looked at the clinical trial population, study conduct, and diagnostic testing used for study inclusion and endpoint analysis, assessed clinical specimens for genomic and metabolomic biomarkers that might give insight into SER-109 efficacy and potency, reviewed manufacturing procedures and processes, performed retrospective analysis using high-resolution whole metagenomics sequencing of Phase 1b/2 clinical study stool samples, and reviewed analytical methods, that may have differed between the Phase 1b/2 and Phase 2 clinical studies. We have now identified key factors that we believe contributed to the Phase 2 clinical study results, including issues related to both the accurate diagnosis of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recurrent infection, and potential suboptimal dosing of certain subjects in the trial.</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factors include:</w:t>
      </w:r>
    </w:p>
    <w:p>
      <w:pPr>
        <w:spacing w:after="0" w:line="117" w:lineRule="exact"/>
        <w:rPr>
          <w:sz w:val="20"/>
          <w:szCs w:val="20"/>
          <w:color w:val="auto"/>
        </w:rPr>
      </w:pPr>
    </w:p>
    <w:p>
      <w:pPr>
        <w:ind w:left="1660" w:hanging="518"/>
        <w:spacing w:after="0" w:line="277" w:lineRule="auto"/>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diagnostic test for entry may not have differentiated subjects with active CDI disease from those with other disease but who had </w:t>
      </w:r>
      <w:r>
        <w:rPr>
          <w:rFonts w:ascii="Arial" w:cs="Arial" w:eastAsia="Arial" w:hAnsi="Arial"/>
          <w:sz w:val="18"/>
          <w:szCs w:val="18"/>
          <w:i w:val="1"/>
          <w:iCs w:val="1"/>
          <w:color w:val="auto"/>
        </w:rPr>
        <w:t>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difficile </w:t>
      </w:r>
      <w:r>
        <w:rPr>
          <w:rFonts w:ascii="Arial" w:cs="Arial" w:eastAsia="Arial" w:hAnsi="Arial"/>
          <w:sz w:val="18"/>
          <w:szCs w:val="18"/>
          <w:color w:val="auto"/>
        </w:rPr>
        <w:t>carriage (e.g., irritable bowel syndrome)</w:t>
      </w:r>
    </w:p>
    <w:p>
      <w:pPr>
        <w:spacing w:after="0" w:line="62" w:lineRule="exact"/>
        <w:rPr>
          <w:rFonts w:ascii="Arial" w:cs="Arial" w:eastAsia="Arial" w:hAnsi="Arial"/>
          <w:sz w:val="18"/>
          <w:szCs w:val="18"/>
          <w:color w:val="auto"/>
        </w:rPr>
      </w:pPr>
    </w:p>
    <w:p>
      <w:pPr>
        <w:ind w:left="1660" w:right="540" w:hanging="518"/>
        <w:spacing w:after="0" w:line="277" w:lineRule="auto"/>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diagnostic test for CDI recurrence during the study (the primary endpoint) overestimated recurrences, as PCR was the most common test performed.</w:t>
      </w:r>
    </w:p>
    <w:p>
      <w:pPr>
        <w:spacing w:after="0" w:line="62" w:lineRule="exact"/>
        <w:rPr>
          <w:rFonts w:ascii="Arial" w:cs="Arial" w:eastAsia="Arial" w:hAnsi="Arial"/>
          <w:sz w:val="18"/>
          <w:szCs w:val="18"/>
          <w:color w:val="auto"/>
        </w:rPr>
      </w:pPr>
    </w:p>
    <w:p>
      <w:pPr>
        <w:ind w:left="1660" w:right="340" w:hanging="518"/>
        <w:spacing w:after="0" w:line="277" w:lineRule="auto"/>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difference in recurrence rates by age in the placebo arm was confounded by the small number of placebo subjects (30) and the likely inclusion of subjects with irritable bowel syndrome rather than recurrent CDI, or RCDI</w:t>
      </w:r>
    </w:p>
    <w:p>
      <w:pPr>
        <w:spacing w:after="0" w:line="62" w:lineRule="exact"/>
        <w:rPr>
          <w:rFonts w:ascii="Arial" w:cs="Arial" w:eastAsia="Arial" w:hAnsi="Arial"/>
          <w:sz w:val="18"/>
          <w:szCs w:val="18"/>
          <w:color w:val="auto"/>
        </w:rPr>
      </w:pPr>
    </w:p>
    <w:p>
      <w:pPr>
        <w:ind w:left="1660" w:right="400" w:hanging="518"/>
        <w:spacing w:after="0" w:line="342" w:lineRule="auto"/>
        <w:tabs>
          <w:tab w:leader="none" w:pos="1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safety profile of SER-109, which includes diarrhea in the first week following dosing, led to SER-109 subjects presenting for evaluation of recurrence at a time when they were likely to be colonized with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leading to mistaken diagnosis of RCDI</w:t>
      </w:r>
    </w:p>
    <w:p>
      <w:pPr>
        <w:spacing w:after="0" w:line="15" w:lineRule="exact"/>
        <w:rPr>
          <w:rFonts w:ascii="Arial" w:cs="Arial" w:eastAsia="Arial" w:hAnsi="Arial"/>
          <w:sz w:val="16"/>
          <w:szCs w:val="16"/>
          <w:color w:val="auto"/>
        </w:rPr>
      </w:pPr>
    </w:p>
    <w:p>
      <w:pPr>
        <w:ind w:left="1660" w:right="200" w:hanging="518"/>
        <w:spacing w:after="0" w:line="277" w:lineRule="auto"/>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dose and dosing regimen used in the study may not have been optimal in the Phase 2 clinical study based upon an assessment of the microbiome response using whole metagenomics shotgun sequencing.</w:t>
      </w:r>
    </w:p>
    <w:p>
      <w:pPr>
        <w:spacing w:after="0" w:line="184"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performed an analysis of the microbiome of our Phase 2 clinical study and a reanalysis of our Phase 1b/2 clinical study using whole metagenomics shotgun sequencing and microbiological analysis to evaluate long-term changes in the microbiome, including the restoration of bacterial diversity in the colon of patients. This demonstrated a rapid increase in bacterial diversity and a restructuring of the microbiome towards a healthy state. Upon introduction, SER-109 appears to engraft its bacterial species into the microbiome, with some of these species persisting in the patient’s gastrointestinal tract for at least 24 weeks after dosing. In addition, in some patients we noted the repopulation of organisms that were not in SER-109 and had not been detected in the patient prior to treatment. We believe this phenomenon, which we refer to as augmentation, is an important element for restoration of bacterial diversity and repair of dysbiosis. We did not observe any dose-dependent effect on engraftment, augmentation, or the clinical resolution of CDI in the Phase 1b/2 clinical study.</w:t>
      </w:r>
    </w:p>
    <w:p>
      <w:pPr>
        <w:spacing w:after="0" w:line="16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i w:val="1"/>
          <w:iCs w:val="1"/>
          <w:color w:val="auto"/>
        </w:rPr>
        <w:t xml:space="preserve">Phase 3 clinical study design. </w:t>
      </w:r>
      <w:r>
        <w:rPr>
          <w:rFonts w:ascii="Arial" w:cs="Arial" w:eastAsia="Arial" w:hAnsi="Arial"/>
          <w:sz w:val="18"/>
          <w:szCs w:val="18"/>
          <w:color w:val="auto"/>
        </w:rPr>
        <w:t>In June 2017 we initiated a Phase 3 clinical study of SER-109 in approximately 320 patients with multiply recurrent</w:t>
      </w:r>
      <w:r>
        <w:rPr>
          <w:rFonts w:ascii="Arial" w:cs="Arial" w:eastAsia="Arial" w:hAnsi="Arial"/>
          <w:sz w:val="18"/>
          <w:szCs w:val="18"/>
          <w:i w:val="1"/>
          <w:iCs w:val="1"/>
          <w:color w:val="auto"/>
        </w:rPr>
        <w:t xml:space="preserve"> C. difficile </w:t>
      </w:r>
      <w:r>
        <w:rPr>
          <w:rFonts w:ascii="Arial" w:cs="Arial" w:eastAsia="Arial" w:hAnsi="Arial"/>
          <w:sz w:val="18"/>
          <w:szCs w:val="18"/>
          <w:color w:val="auto"/>
        </w:rPr>
        <w:t>infection. Study participants are randomized 1:1 between SER-109 and placebo. Diagnosis of</w:t>
      </w:r>
      <w:r>
        <w:rPr>
          <w:rFonts w:ascii="Arial" w:cs="Arial" w:eastAsia="Arial" w:hAnsi="Arial"/>
          <w:sz w:val="18"/>
          <w:szCs w:val="18"/>
          <w:i w:val="1"/>
          <w:iCs w:val="1"/>
          <w:color w:val="auto"/>
        </w:rPr>
        <w:t xml:space="preserve"> C. difficile </w:t>
      </w:r>
      <w:r>
        <w:rPr>
          <w:rFonts w:ascii="Arial" w:cs="Arial" w:eastAsia="Arial" w:hAnsi="Arial"/>
          <w:sz w:val="18"/>
          <w:szCs w:val="18"/>
          <w:color w:val="auto"/>
        </w:rPr>
        <w:t>infection for both study entry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endpoint analysis utilize a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cytotoxin assay, compared to the Phase 2 clinical study, where most patients were diagnosed by PCR. Patients in the SER-109 arm will receive a total SER-109 dose, administered over three days, approximately 10-fold higher than the dose used in the Phase 2 clinical study. The new study will evaluate patients for 24 weeks and the primary endpoint will compare the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recurrence rate in subjects who receive SER-109 verses placebo at up to eight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ind w:right="200"/>
        <w:spacing w:after="0" w:line="342" w:lineRule="auto"/>
        <w:rPr>
          <w:sz w:val="20"/>
          <w:szCs w:val="20"/>
          <w:color w:val="auto"/>
        </w:rPr>
      </w:pPr>
      <w:r>
        <w:rPr>
          <w:rFonts w:ascii="Arial" w:cs="Arial" w:eastAsia="Arial" w:hAnsi="Arial"/>
          <w:sz w:val="16"/>
          <w:szCs w:val="16"/>
          <w:color w:val="auto"/>
        </w:rPr>
        <w:t>weeks after dosing. CDI recurrence is defined as diarrhea (&gt;3 UBMs/day for 2 or more consecutive days), a positive CDI toxin test, and the decision by the primary investigator that antibiotic treatment is warranted. The study will be conducted at approximately 100 sites in the United States and Canada.</w:t>
      </w:r>
    </w:p>
    <w:p>
      <w:pPr>
        <w:spacing w:after="0" w:line="124" w:lineRule="exact"/>
        <w:rPr>
          <w:sz w:val="20"/>
          <w:szCs w:val="20"/>
          <w:color w:val="auto"/>
        </w:rPr>
      </w:pPr>
    </w:p>
    <w:p>
      <w:pPr>
        <w:ind w:left="520" w:right="80" w:firstLine="495"/>
        <w:spacing w:after="0" w:line="264"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SER-109 is a purified ecology of spores produced through a process of extraction from a natural human stool source,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from qualified, highly screened donors. The donor raw material is collected in a controlled setting, under a protocol that ensures that donors meet appropriate qualification criteria.</w:t>
      </w:r>
    </w:p>
    <w:p>
      <w:pPr>
        <w:spacing w:after="0" w:line="181" w:lineRule="exact"/>
        <w:rPr>
          <w:sz w:val="20"/>
          <w:szCs w:val="20"/>
          <w:color w:val="auto"/>
        </w:rPr>
      </w:pPr>
    </w:p>
    <w:p>
      <w:pPr>
        <w:ind w:left="520" w:right="200" w:firstLine="495"/>
        <w:spacing w:after="0" w:line="302" w:lineRule="auto"/>
        <w:rPr>
          <w:sz w:val="20"/>
          <w:szCs w:val="20"/>
          <w:color w:val="auto"/>
        </w:rPr>
      </w:pPr>
      <w:r>
        <w:rPr>
          <w:rFonts w:ascii="Arial" w:cs="Arial" w:eastAsia="Arial" w:hAnsi="Arial"/>
          <w:sz w:val="16"/>
          <w:szCs w:val="16"/>
          <w:color w:val="auto"/>
        </w:rPr>
        <w:t>Donors are required to be in good health, and to possess a medical history that minimizes the risk of exposure to and transmission of an infectious disease. Donors are tested for infectious agents and screened for gastrointestinal and other health factors. Donors are monitored for health status changes during the donation period. At the end of the donation period, the qualification assessment is repeated to help ensure the donor has maintained their health status. After successful completion of an exit screening, donations are released for use in manufacturing.</w:t>
      </w:r>
    </w:p>
    <w:p>
      <w:pPr>
        <w:spacing w:after="0" w:line="154" w:lineRule="exact"/>
        <w:rPr>
          <w:sz w:val="20"/>
          <w:szCs w:val="20"/>
          <w:color w:val="auto"/>
        </w:rPr>
      </w:pPr>
    </w:p>
    <w:p>
      <w:pPr>
        <w:ind w:left="520" w:right="60" w:firstLine="495"/>
        <w:spacing w:after="0" w:line="255" w:lineRule="auto"/>
        <w:rPr>
          <w:sz w:val="20"/>
          <w:szCs w:val="20"/>
          <w:color w:val="auto"/>
        </w:rPr>
      </w:pPr>
      <w:r>
        <w:rPr>
          <w:rFonts w:ascii="Arial" w:cs="Arial" w:eastAsia="Arial" w:hAnsi="Arial"/>
          <w:sz w:val="18"/>
          <w:szCs w:val="18"/>
          <w:color w:val="auto"/>
        </w:rPr>
        <w:t>We initially process the donor material in our Cambridge manufacturing facility, and then transfer the process intermediate to a contract manufacturing organization, or CMO, to isolate and concentrate SER-109 for finishing to the oral capsule dosage form. The purified drug substance is tested for identity, potency and purity, and subsequently formulated into drug product where it is again tested for identity, potency, purity, and pharmaceutical properties in our Cambridge facility. The final drug product dosage form is four hard capsules for oral administration. Steps are specifically built into the process to remove and kill non-spore microbes. We have conducted validation studies demonstrating the ability of the process to inactivate and clear hypothetical extraneous pathogens of concern, and we believe we have sufficient data from these studies to support ongoing and proposed clinical trials.</w:t>
      </w:r>
    </w:p>
    <w:p>
      <w:pPr>
        <w:spacing w:after="0" w:line="189" w:lineRule="exact"/>
        <w:rPr>
          <w:sz w:val="20"/>
          <w:szCs w:val="20"/>
          <w:color w:val="auto"/>
        </w:rPr>
      </w:pPr>
    </w:p>
    <w:p>
      <w:pPr>
        <w:ind w:left="520" w:right="60" w:firstLine="495"/>
        <w:spacing w:after="0" w:line="257" w:lineRule="auto"/>
        <w:rPr>
          <w:sz w:val="20"/>
          <w:szCs w:val="20"/>
          <w:color w:val="auto"/>
        </w:rPr>
      </w:pPr>
      <w:r>
        <w:rPr>
          <w:rFonts w:ascii="Arial" w:cs="Arial" w:eastAsia="Arial" w:hAnsi="Arial"/>
          <w:sz w:val="18"/>
          <w:szCs w:val="18"/>
          <w:color w:val="auto"/>
        </w:rPr>
        <w:t>Raw materials, intermediates, drug substance and drug product are tested using cGMP assays developed with our know-how to assess the key quality attributes of identity, potency and purity of the product. Identity testing has been developed to assure the presence of specific live spore forms in the product. Potency assays assure the intended dose of spores, and assess stability of the spores during storage. Stability of the dosage form is also confirmed. Proprietary microbiological purity assays have been developed to enable testing for microbial contaminants in the presence of the live spore product.</w:t>
      </w:r>
    </w:p>
    <w:p>
      <w:pPr>
        <w:spacing w:after="0" w:line="188" w:lineRule="exact"/>
        <w:rPr>
          <w:sz w:val="20"/>
          <w:szCs w:val="20"/>
          <w:color w:val="auto"/>
        </w:rPr>
      </w:pPr>
    </w:p>
    <w:p>
      <w:pPr>
        <w:ind w:left="520" w:right="120" w:firstLine="495"/>
        <w:spacing w:after="0" w:line="264" w:lineRule="auto"/>
        <w:rPr>
          <w:sz w:val="20"/>
          <w:szCs w:val="20"/>
          <w:color w:val="auto"/>
        </w:rPr>
      </w:pPr>
      <w:r>
        <w:rPr>
          <w:rFonts w:ascii="Arial" w:cs="Arial" w:eastAsia="Arial" w:hAnsi="Arial"/>
          <w:sz w:val="18"/>
          <w:szCs w:val="18"/>
          <w:color w:val="auto"/>
        </w:rPr>
        <w:t>We believe we can address market demand with a relatively small-scale manufacturing process. If approved, we anticipate that we will be able to produce a sufficient commercial supply of SER-109 to meet estimated demand in the United States using donations from a modest number of donors.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SER-262</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are developing SER-262, which is a rationally designed, multi-strain Ecobiotic microbiome therapeutic intended to be used following antibiotic treatment of primary CDI to prevent an initial recurrence of CDI. We have designed SER-262 to increase and improve diversity in the colonic microbiome after antibiotics treatment of primary CDI. The results of our Phase 1b/2 clinical study of SER-109 provided multiple insights in designing the spore ecology used in SER-262, which consists of a subset of bacteria found in SER-109. Pre-clinical studies of SER-262 have demonstrated efficacy in mouse models of CDI similar to those observed in pre-clinical studies of SER-109.</w:t>
      </w:r>
    </w:p>
    <w:p>
      <w:pPr>
        <w:spacing w:after="0" w:line="18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 xml:space="preserve">As part of our selection of SER-262 we screened multiple candidates for efficacy in animal models using SER-109 as a reference compound. SER-262 provided significant protection against CDI with reduced mortality, minimum weight loss and clinical score measures of efficacy. Strains in SER-262 have met initial bioprocess specifications for spore titer and yield, and each organism has been characterized by whole genome sequencing and a battery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tests and characterizations.</w:t>
      </w:r>
    </w:p>
    <w:p>
      <w:pPr>
        <w:spacing w:after="0" w:line="18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 xml:space="preserve">SER-262 represents the continued evolution of our platform and capabilities, validating our ability to extend our technology to new indications. SER-262, unlike SER-109, is made in bacterial fermenters and in a rational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design similar to a fixed dose combination of small or large molecules. We intend to use this approach going forward for future Ecobiotic microbiome therapeutics, which may eliminate the need for ongoing human donors in the CMC process. There are several advantages to using a rationally designed approach to developing microbiome therapeutics. Rationally designed product candidates can be manufactured in a reliable and reproducible manner, with extremely well-defined characteristics. Based on our metagenomics expertise, proprietary in silico algorithms, extensive proprietary bacterial library, and advanced manufacturing capabilities, we believe we can rationally design produced microbiome therapeutic candidates for specific target indications. We believe, our capabilities provide us with a competitive advantage in developing microbiome therapies.</w:t>
      </w:r>
    </w:p>
    <w:p>
      <w:pPr>
        <w:spacing w:after="0" w:line="19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progressed our drug discovery and development platforms with the initiation in July 2016 of a Phase 1b dose-escalating study for SER-262, the first clinical, rationally designed ecology of spore forming bacteria designed to be used following antibiotic treatment for primary CDI to prevent an initial recurrence of CDI. We believe there are several advantages to using a rationally designed approach to developing microbiome therapeutics, such as scaling up manufacturing of rationally designed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spacing w:after="0" w:line="276" w:lineRule="auto"/>
        <w:rPr>
          <w:sz w:val="20"/>
          <w:szCs w:val="20"/>
          <w:color w:val="auto"/>
        </w:rPr>
      </w:pPr>
      <w:r>
        <w:rPr>
          <w:rFonts w:ascii="Arial" w:cs="Arial" w:eastAsia="Arial" w:hAnsi="Arial"/>
          <w:sz w:val="17"/>
          <w:szCs w:val="17"/>
          <w:color w:val="auto"/>
        </w:rPr>
        <w:t xml:space="preserve">to meet global demand in a reliable and reproducible manner, with well-defined characteristics. Based on our metagenomics expertise, proprietary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algorithms, extensive proprietary bacterial library, and advanced manufacturing capabilities, we believe we can rationally design microbiome therapeutic candidates for specific target indications. We believe these capabilities provide us with a competitive advantage in developing microbiome therapeutics. SER-262, available in oral capsule form, is derived from a manufacturing process that does not require human donor material. SER-262 contains a consortium of 12 bacterial strains in spore form constructed from strains from our microbiome strain library via in vitro fermentation.</w:t>
      </w:r>
    </w:p>
    <w:p>
      <w:pPr>
        <w:spacing w:after="0" w:line="173"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The Phase 1b clinical study is a 24-week, randomized, placebo-controlled, dose-escalation trial. The present study was initially designed to evaluate a single dose administration of SER-262 at ascending spore doses ranging from 1x10</w:t>
      </w:r>
      <w:r>
        <w:rPr>
          <w:rFonts w:ascii="Arial" w:cs="Arial" w:eastAsia="Arial" w:hAnsi="Arial"/>
          <w:sz w:val="14"/>
          <w:szCs w:val="14"/>
          <w:color w:val="auto"/>
        </w:rPr>
        <w:t>4</w:t>
      </w:r>
      <w:r>
        <w:rPr>
          <w:rFonts w:ascii="Arial" w:cs="Arial" w:eastAsia="Arial" w:hAnsi="Arial"/>
          <w:sz w:val="17"/>
          <w:szCs w:val="17"/>
          <w:color w:val="auto"/>
        </w:rPr>
        <w:t xml:space="preserve"> to 1x10</w:t>
      </w:r>
      <w:r>
        <w:rPr>
          <w:rFonts w:ascii="Arial" w:cs="Arial" w:eastAsia="Arial" w:hAnsi="Arial"/>
          <w:sz w:val="14"/>
          <w:szCs w:val="14"/>
          <w:color w:val="auto"/>
        </w:rPr>
        <w:t>8</w:t>
      </w:r>
      <w:r>
        <w:rPr>
          <w:rFonts w:ascii="Arial" w:cs="Arial" w:eastAsia="Arial" w:hAnsi="Arial"/>
          <w:sz w:val="17"/>
          <w:szCs w:val="17"/>
          <w:color w:val="auto"/>
        </w:rPr>
        <w:t xml:space="preserve"> SCFU, with each dosing cohort comprised of 10 subjects treated with SER-262 and two subjects administered placebo. Following analysis of prior SER-109 clinical studies that suggest higher doses of microbiome therapeutics may be important to rapidly address dysbiosis and provide increased efficacy, in mid-2017 we added additional multiple-dose cohorts to the Phase 1b study of 1x10</w:t>
      </w:r>
      <w:r>
        <w:rPr>
          <w:rFonts w:ascii="Arial" w:cs="Arial" w:eastAsia="Arial" w:hAnsi="Arial"/>
          <w:sz w:val="14"/>
          <w:szCs w:val="14"/>
          <w:color w:val="auto"/>
        </w:rPr>
        <w:t>6</w:t>
      </w:r>
      <w:r>
        <w:rPr>
          <w:rFonts w:ascii="Arial" w:cs="Arial" w:eastAsia="Arial" w:hAnsi="Arial"/>
          <w:sz w:val="17"/>
          <w:szCs w:val="17"/>
          <w:color w:val="auto"/>
        </w:rPr>
        <w:t>, 1x10</w:t>
      </w:r>
      <w:r>
        <w:rPr>
          <w:rFonts w:ascii="Arial" w:cs="Arial" w:eastAsia="Arial" w:hAnsi="Arial"/>
          <w:sz w:val="14"/>
          <w:szCs w:val="14"/>
          <w:color w:val="auto"/>
        </w:rPr>
        <w:t>7</w:t>
      </w:r>
      <w:r>
        <w:rPr>
          <w:rFonts w:ascii="Arial" w:cs="Arial" w:eastAsia="Arial" w:hAnsi="Arial"/>
          <w:sz w:val="17"/>
          <w:szCs w:val="17"/>
          <w:color w:val="auto"/>
        </w:rPr>
        <w:t xml:space="preserve"> and 1x10</w:t>
      </w:r>
      <w:r>
        <w:rPr>
          <w:rFonts w:ascii="Arial" w:cs="Arial" w:eastAsia="Arial" w:hAnsi="Arial"/>
          <w:sz w:val="14"/>
          <w:szCs w:val="14"/>
          <w:color w:val="auto"/>
        </w:rPr>
        <w:t>8</w:t>
      </w:r>
      <w:r>
        <w:rPr>
          <w:rFonts w:ascii="Arial" w:cs="Arial" w:eastAsia="Arial" w:hAnsi="Arial"/>
          <w:sz w:val="17"/>
          <w:szCs w:val="17"/>
          <w:color w:val="auto"/>
        </w:rPr>
        <w:t xml:space="preserve"> SCFU per day SER-262, for a three-day period.</w:t>
      </w:r>
    </w:p>
    <w:p>
      <w:pPr>
        <w:spacing w:after="0" w:line="173"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The primary endpoints of the study are to evaluate the safety and tolerability of SER-262 and to compare the CDI recurrence rate between the SER-262 and placebo groups at up to eight weeks post-dosing. A secondary endpoint is the analysis of the SER-262 bacterial strain engraftment in patient microbiomes. As of now, we have received unblinded clinical data on all but the final 1 x 10^8 multiple dose cohort, which continues to enroll subjects. No drug-related serious adverse events were observed in these first seven cohorts. No relevant differences were observed in the relative risk of recurrence rates in patients administered SER-262 as compared to placebo. However, this small, first-in-human, Phase 1b study was not powered to detect a statistically significant difference in recurrence rates compared to placebo. A small group of placebo patients were included in this study and, in that group, no recurrences were observed. In addition, there was a measurable difference in recurrence rates in patients treated with Vancomycin and SER-262, as compared to those treated with Metronidazole and SER-262 (4% versus 31%, respectively). This difference was statistically significant with a p value of 0.0049. The medical literature suggests a recurrence rate of about 25% in patients treated with vancomycin for primary CDI.</w:t>
      </w:r>
    </w:p>
    <w:p>
      <w:pPr>
        <w:spacing w:after="0" w:line="59"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Microbiome analysis has been conducted on the first five, lowest dose cohorts to assess drug pharmacokinetics. We detected a majority of SER-262 strains in patients receiving SER-262; detection of strains was variable across subjects. Partial engraftment of strains was also a characteristic in our SER-109 clinical studies, and has been reported in FMT of CDI. Engraftment of SER-262 strains was associated with broader changes in the microbiome composition. Microbiome profile differences, based on the antibiotics that were used to treat each patient’s CDI, were also demonstrated. Vancomycin led to more rapid and more robust engraftment of SER-262 strains as compared to Metronidazole. More detailed microbiome and metabolomic analyses remain ongoing. These SER-262 proprietary data, the first ever obtained from a rationally-designed microbiome development candidate, will be used to inform the further development of SER-262 and our other therapeutic candidates.</w:t>
      </w:r>
    </w:p>
    <w:p>
      <w:pPr>
        <w:spacing w:after="0" w:line="70" w:lineRule="exact"/>
        <w:rPr>
          <w:sz w:val="20"/>
          <w:szCs w:val="20"/>
          <w:color w:val="auto"/>
        </w:rPr>
      </w:pPr>
    </w:p>
    <w:p>
      <w:pPr>
        <w:ind w:left="520" w:right="40" w:firstLine="495"/>
        <w:spacing w:after="0" w:line="290" w:lineRule="auto"/>
        <w:rPr>
          <w:sz w:val="20"/>
          <w:szCs w:val="20"/>
          <w:color w:val="auto"/>
        </w:rPr>
      </w:pPr>
      <w:r>
        <w:rPr>
          <w:rFonts w:ascii="Arial" w:cs="Arial" w:eastAsia="Arial" w:hAnsi="Arial"/>
          <w:sz w:val="16"/>
          <w:szCs w:val="16"/>
          <w:i w:val="1"/>
          <w:iCs w:val="1"/>
          <w:color w:val="auto"/>
        </w:rPr>
        <w:t xml:space="preserve">Manufacturing. </w:t>
      </w:r>
      <w:r>
        <w:rPr>
          <w:rFonts w:ascii="Arial" w:cs="Arial" w:eastAsia="Arial" w:hAnsi="Arial"/>
          <w:sz w:val="16"/>
          <w:szCs w:val="16"/>
          <w:color w:val="auto"/>
        </w:rPr>
        <w:t>To manufacture SER-262, bacterial components for formulation are fermented and purified as spores. The bacteria originate</w:t>
      </w:r>
      <w:r>
        <w:rPr>
          <w:rFonts w:ascii="Arial" w:cs="Arial" w:eastAsia="Arial" w:hAnsi="Arial"/>
          <w:sz w:val="16"/>
          <w:szCs w:val="16"/>
          <w:i w:val="1"/>
          <w:iCs w:val="1"/>
          <w:color w:val="auto"/>
        </w:rPr>
        <w:t xml:space="preserve"> </w:t>
      </w:r>
      <w:r>
        <w:rPr>
          <w:rFonts w:ascii="Arial" w:cs="Arial" w:eastAsia="Arial" w:hAnsi="Arial"/>
          <w:sz w:val="16"/>
          <w:szCs w:val="16"/>
          <w:color w:val="auto"/>
        </w:rPr>
        <w:t>from cell banks that have been manufactured starting from proprietary research strain banks. Research strain banks have been made by clonal isolation and multiple rounds of streaking for purity from stool originating from healthy, medically screened donors, followed by banking and testing for identity and purity. The strains are cultured in controlled fermentations to meet clinical study needs. cGMP material has been produced for the SER-262 Phase 1b clinical study. cGMP drug product processing is similar to SER-109 for initial proof-of-concept clinical trial materials, with the addition of a blending step to combine the individually fermented drug substances. Drug substance and drug product are tested for identity, purity, and potency, and the material is placed on stability studies to support clinical storage and use. Optimization of the fermentation and purification processes, and the dosage form are ongoing to refine manufacturing processes for future studies and commercial needs.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Ulcerative Colitis and SER-287</w:t>
      </w:r>
    </w:p>
    <w:p>
      <w:pPr>
        <w:spacing w:after="0" w:line="117"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UC is a relapsing-remitting chronic inflammatory disorder affecting the mucosal surface of the colon, leading to episodes of bloody diarrhea, urgency and mucosal inflammation (Danese and Fiocchi, 2011), which generally begins in young adulthood and endures for life. As the disease mostly affects young and middle-aged individuals, a time of peak reproductive and economic productivity, thus, the disease leads to decreased quality of life in those affected by the condition, high morbidity, and significant health economic burden. (Ghosh and Mitchell, 2007; Kappelman et al., 2008; Rubin et al., 2014; Theede et al., 2015) The incidence of UC is rising worldwide and the prevalence of the disease is highest in the United States, Canada, and Europe. In the United States alone, the prevalence of UC in adults is estimated to be 263 per 100,000, while in the pediatric population (age &lt;20 years), prevalence of the disease is estimated to be 33.9 per 100,000. (Kappelman et al., 2013)</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222222"/>
        </w:rPr>
        <w:t>Ulcerative colitis is characterized by recurring episodes of inflammation limited to the mucosal layer of the colon. The severity of symptoms, diarrhea associated with blood and abdominal pain, may range from mild disease to severe disease with more than 10 stools per day with severe cramps and continuous bleeding. The severity, extent, and duration of disease are also risk factors for developing colon cancer, which occurs at a rate as high as 0.5-1.0% per year, an important complication given the young age at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right="680"/>
        <w:spacing w:after="0" w:line="277" w:lineRule="auto"/>
        <w:rPr>
          <w:sz w:val="20"/>
          <w:szCs w:val="20"/>
          <w:color w:val="auto"/>
        </w:rPr>
      </w:pPr>
      <w:r>
        <w:rPr>
          <w:rFonts w:ascii="Arial" w:cs="Arial" w:eastAsia="Arial" w:hAnsi="Arial"/>
          <w:sz w:val="18"/>
          <w:szCs w:val="18"/>
          <w:color w:val="222222"/>
        </w:rPr>
        <w:t>the disease strikes. Patients with ulcerative colitis also experience increased risk of Clostridium difficile infection and primary sclerosing cholangitis, compared to the general population.</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pathogenesis of UC is unclear but thought to arise from an aberrant immune response to a change in the colonic luminal environment in a genetically susceptible individual. The key features of UC include diffuse mucosal inflammation in a continuous pattern starting distally in the rectum to more proximal disease in the left colon to pancolitis.</w:t>
      </w:r>
    </w:p>
    <w:p>
      <w:pPr>
        <w:spacing w:after="0" w:line="181"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Symptoms of UC include rectal bleeding, tenesmus, increased stool frequency, urgency, incontinence, fever, fatigue and malaise, which negatively impact quality of life, physical and mental health and productivity. A subset of patients has extra-intestinal manifestations ranging from iron deficiency anemia to primary sclerosing cholangitis with implications for increased morbidity. In pediatric patients, the symptoms of UC have a more damaging impact, as they affect children’s growth and lead to delayed puberty. These patients also suffer from weight loss, anemia and joint symptoms and current therapy itself adversely impacts normal growth and development. (Kelsen et al., 2008) Treatment of UC with corticosteroids and immunosuppressive agents adds further medical complications to these vulnerable patients including corticosteroid toxicity and increased risk of invasive infections and malignancy. Both environmental and genetic factors contribute to the etiology of the disease. Environmental factors may induce an ongoing immune response and inflammation in the genetically predisposed host. Efforts to identify specific environmental factors has implicated commensal bacteria or their products as key determinants of the inflammatory response in UC patients (Xavier et al., 2007). Thus, we believe SER-287 likely targets an “underlying cause” of UC rather than its symptoms.</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Current and developing treatment alternatives and their limitations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Currently, patients with UC require life-long therapy. The goals of medical therapy are to induce and maintain clinical and endoscopic remission. Endoscopic remission is recognized as a key treatment goal since it better predicts short- and long-term clinical outcomes than symptomatic improvement alone. Attainment of these goals is generally associated with improved quality of life and decreased need for corticosteroids, and lower risk of hospitalization, colectomy, and colon cancer.</w:t>
      </w:r>
    </w:p>
    <w:p>
      <w:pPr>
        <w:spacing w:after="0" w:line="187"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Although the etiology of UC is not fully understood, much progress has been made in the understanding of pathogenesis. Under homeostatic conditions, there is a balance between pro-inflammatory and anti-inflammatory cytokine signals mediated by epithelial and immune cells in the gastrointestinal tract. However, UC is characterized by dysregulated mucosal immune responses and translocation of inflammatory mediators of microbiological origin across a disrupted gastrointestinal barrier that may cause or perpetuate inflammation leading to chronic inflammatory disease. Migration of innate and adaptive immune cells into gut mucosal tissues is potentiated by locally produced cytokines and chemokines, and by the expression of integrins that enhance cellular trafficking into the gut lamina propria. Inhibition of the immune response, via antibodies and proteins that sequester pro-inflammatory cytokines or block the function of integrins, has been an important target of UC drug development over the past decade.</w:t>
      </w:r>
    </w:p>
    <w:p>
      <w:pPr>
        <w:spacing w:after="0" w:line="178"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Current management of UC includes medications that decrease general inflammation (e.g., 5-aminosalicylate derivatives, corticosteroids) or dampen specific components of the host immune response (e.g., immunomodulators, inhibitors of tumor necrosis factor, anti-integrin antibodies).</w:t>
      </w:r>
    </w:p>
    <w:p>
      <w:pPr>
        <w:spacing w:after="0" w:line="147" w:lineRule="exact"/>
        <w:rPr>
          <w:sz w:val="20"/>
          <w:szCs w:val="20"/>
          <w:color w:val="auto"/>
        </w:rPr>
      </w:pPr>
    </w:p>
    <w:p>
      <w:pPr>
        <w:ind w:right="220" w:firstLine="518"/>
        <w:spacing w:after="0" w:line="273" w:lineRule="auto"/>
        <w:rPr>
          <w:sz w:val="20"/>
          <w:szCs w:val="20"/>
          <w:color w:val="auto"/>
        </w:rPr>
      </w:pPr>
      <w:r>
        <w:rPr>
          <w:rFonts w:ascii="Arial" w:cs="Arial" w:eastAsia="Arial" w:hAnsi="Arial"/>
          <w:sz w:val="17"/>
          <w:szCs w:val="17"/>
          <w:color w:val="auto"/>
        </w:rPr>
        <w:t>For mild-to-moderate disease, the 5-aminosalicylic acid (5-ASA) derivatives are the standard of care for both induction and remission. 5-ASA derivatives achieve clinical remission in only 25-40% of patients during induction and approximately one-third of responders have disease flares during the first year of maintenance therapy, necessitating additional treatment interventions such as corticosteroids and immunomodulators (6-mercaptopurine, methotrexate, azathioprine). Corticosteroids are not recommended by guideline panels for chronic therapy since these drugs are ineffective for maintaining remission and are associated with significant adverse events. Patients taking thiopurines require ongoing monitoring for hepatotoxicity, myelosuppression, and opportunistic infections, as well as counseling on the potential risk of lymphoma.</w:t>
      </w:r>
    </w:p>
    <w:p>
      <w:pPr>
        <w:spacing w:after="0" w:line="178"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Current medical therapies for the treatment of UC suppress the immune system rather than reducing the triggers of immune activation. There remains an unmet need for safer agents with novel non-immunosuppressive mechanisms of action. Moreover, alternative therapy is needed for patients with mild-to-moderate UC who experience frequent flares or are intolerant to the aminosalicylate class of medication or where there are safety concerns relating to the use of immunomodulator or steroid therapy.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SER-287</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Given the dysbiosis seen in UC patients, studies have explored the use of FMT to treat UC. (Angelberger et al., 2013; Colman and Rubin, 2014; Kump et al., 2013; Kunde et al., 2013; Moayyedi et al., 2015; Rossen et al., 2015; Paramsothy et al., 2017) Early reports of enhanced clinical remission and endoscopic improvement with repetitive FMT compared to placebo motivated the preclinical development and clinical testing of SER-287. SER-287 is composed of the spore-forming fraction of the intestinal microbiota that is underrepresented in UC patients. We initiated our Phase 1b clinical study in December 2015 in subjects with mild-to-moderate UC to evaluate the safety and efficacy of SER-287 added to standard of care treatment. The primary endpoints of the study were to evaluate the safety and tolerability of SER-287, compare the change in the microbiome composition versus placebo and determine engraftment of SER-287 bacteria following SER-287 treatment. The study evaluated clinical response, complete remission, and endoscopic improvement, as well as metabolomic and immunological findings.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right="60" w:firstLine="518"/>
        <w:spacing w:after="0" w:line="302" w:lineRule="auto"/>
        <w:rPr>
          <w:sz w:val="20"/>
          <w:szCs w:val="20"/>
          <w:color w:val="auto"/>
        </w:rPr>
      </w:pPr>
      <w:r>
        <w:rPr>
          <w:rFonts w:ascii="Arial" w:cs="Arial" w:eastAsia="Arial" w:hAnsi="Arial"/>
          <w:sz w:val="16"/>
          <w:szCs w:val="16"/>
          <w:color w:val="auto"/>
        </w:rPr>
        <w:t>In October 2017, we announced positive topline results from our Phase 1b clinical trial of SER-287 in patients with UC. The SER-287 Phase 1b study, a randomized, double-blinded, placebo-controlled, multiple-dose, induction study enrolled patients with active mild-to-moderate UC, with Total modified Mayo scores of 4 to 10. The study enrolled 58 patients at 20 sites across the United States. Study subjects exhibited pre-study disease activity despite use of current therapies in a majority of subjects, which included 5-amino-salacylic acid, low dose corticosteroids, or immunomodulatory therapy.</w:t>
      </w:r>
    </w:p>
    <w:p>
      <w:pPr>
        <w:spacing w:after="0" w:line="195"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Diverse analyses of microbiome data of patients in this trial was also a primary endpoint. Three SER-287 drug product lots, based on human donor material obtained from three separate individuals, were used in the Phase 1b study. Microbiome analyses will also be conducted to determine whether there are any observable differences in the drivers of response across the drug product lots.</w:t>
      </w:r>
    </w:p>
    <w:p>
      <w:pPr>
        <w:spacing w:after="0" w:line="208" w:lineRule="exact"/>
        <w:rPr>
          <w:sz w:val="20"/>
          <w:szCs w:val="20"/>
          <w:color w:val="auto"/>
        </w:rPr>
      </w:pPr>
    </w:p>
    <w:p>
      <w:pPr>
        <w:jc w:val="both"/>
        <w:ind w:right="240" w:firstLine="518"/>
        <w:spacing w:after="0" w:line="277" w:lineRule="auto"/>
        <w:rPr>
          <w:sz w:val="20"/>
          <w:szCs w:val="20"/>
          <w:color w:val="auto"/>
        </w:rPr>
      </w:pPr>
      <w:r>
        <w:rPr>
          <w:rFonts w:ascii="Arial" w:cs="Arial" w:eastAsia="Arial" w:hAnsi="Arial"/>
          <w:sz w:val="18"/>
          <w:szCs w:val="18"/>
          <w:color w:val="auto"/>
        </w:rPr>
        <w:t>An evaluation of SER-287 safety and tolerability was a primary study endpoint. Study results demonstrated no imbalance in adverse events in SER-287 treated patients, as compared to patients treated with placebo. There were no drug related serious adverse events.</w:t>
      </w:r>
    </w:p>
    <w:p>
      <w:pPr>
        <w:spacing w:after="0" w:line="21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Diverse analyses of microbiome data of patients in this trial, a primary endpoint, were conducted after completion of the trial. Analyses of study patients’ microbiome data indicated that SER-287 induced dose-dependent engraftment of SER-287-derived bacterial species into the colonic microbiome of the patients treated with SER-287. The cohort of patients that received vancomycin pre-treatment followed by daily administration of SER-287 showed the highest level of SER-287 engraftment. We also observed the most meaningful clinical benefit in this patient cohort. Differences in the composition of the microbiome post treatment were also associated with clinical remission. Bacterial engraftment signatures were durable throughout the dosing period of the trial and were also observed at four weeks post administration of the final SER-287 dose. The SER-287 Phase 1b study microbiome data are consistent with previously reported results.</w:t>
      </w:r>
    </w:p>
    <w:p>
      <w:pPr>
        <w:spacing w:after="0" w:line="230"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Microbiome results demonstrated engraftment of SER-287-derived bacterial species in patients pre-treated with vancomycin who received SER-287, with daily dosing providing the most rapid and robust change in patients’ microbiome. Engraftment observed in these patients was maintained during the entire dosing period and was observed four weeks after the last dose of SER-287 was administered. Thus, engraftment was durable. Vancomycin pre-treatment, as compared to placebo pre-treatment, led to an immediate reduction of microbiome diversity followed by rapid and robust engraftment of SER-287-derived bacterial species. We believe these data suggest that vancomycin pre-treatment may open ecological niches for SER-287 engraftment in the human microbiome of patients with UC</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December 2017, the FDA granted Orphan Drug Designation to SER-287 for treatment of UC in pediatric patients.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clinical study design.</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Phase 1b clinical study was a multicenter, randomized, double-blind, placebo-controlled multiple dose study utilizing weekly or daily dosing with SER-287. We enrolled eligible subjects at approximately 20 sites in the United States. The Phase 1b clinical study was designed to enroll adults 18 years of age and older who have mild-to-moderate UC as defined by a total modified Mayo score between 4 and 10, inclusive, with a modified Mayo endoscopic subscore ≥ 1.</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Patients were randomized to one of four study arms:</w:t>
      </w:r>
    </w:p>
    <w:p>
      <w:pPr>
        <w:spacing w:after="0" w:line="117"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Pre-treatment with placebo for 6 days, followed by weekly dosing of SER-287 for 8 weeks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Pre-treatment with placebo for 6 days, followed by daily dosing with placebo for 8 weeks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Pre-treatment with vancomycin for 6 days, followed by daily dosing of SER-287 for 8 weeks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Pre-treatment with vancomycin for 6 days, followed by weekly dosing of SER-287 for 8 weeks</w:t>
      </w:r>
    </w:p>
    <w:p>
      <w:pPr>
        <w:spacing w:after="0" w:line="225"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The primary objectives of the study were to evaluate the safety and tolerability of SER-287 compared to placebo; to compare the baseline composition of the intestinal microbiome to the composition at 8 weeks post-initiation of SER-287 or placebo; and to determine the engraftment of SER-287 bacteria into the intestinal microbial community in each of the SER-287 arms compared to the placebo arm.</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secondary objectives of the study were to determine the proportion of subjects in each of the treatment arms who at eight weeks post-initiation of treatment achieve a clinical response, complete remission, and endoscopic improvement; to assess changes in serum and fecal biomarkers from baseline throughout treatment; to determine the complement of metabolic pathways; and to compare the changes in exploratory biomarkers from mucosal biopsies and stool in each of the treatment arms from baseline through eight weeks.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This study was designed to provide a safety profile of SER-287 compared to placebo for the UC population, describe the changes in the microbiome as a result of treatment with SER-287 and provide potential predictive biomarkers for future studies. UC is characterized by a decrease in microbial diversity and richness, with a lower prevalence of spore-forming organisms within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jc w:val="both"/>
        <w:ind w:right="40"/>
        <w:spacing w:after="0" w:line="264" w:lineRule="auto"/>
        <w:rPr>
          <w:sz w:val="20"/>
          <w:szCs w:val="20"/>
          <w:color w:val="auto"/>
        </w:rPr>
      </w:pPr>
      <w:r>
        <w:rPr>
          <w:rFonts w:ascii="Arial" w:cs="Arial" w:eastAsia="Arial" w:hAnsi="Arial"/>
          <w:sz w:val="18"/>
          <w:szCs w:val="18"/>
          <w:color w:val="auto"/>
        </w:rPr>
        <w:t>phylum Firmicutes. Preliminary data using FMT suggest that microbial interventions can affect clinical outcomes in UC, and this study evaluated whether the ecology of bacterial spores in SER-287 can correct the dysbiosis in UC, increase microbial diversity and safely lead to a clinical response in UC patients with mild-to-moderate disease.</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clinical study results</w:t>
      </w:r>
    </w:p>
    <w:p>
      <w:pPr>
        <w:spacing w:after="0" w:line="117"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Results were analyzed using the intent-to-treat (ITT) “missing equals failure” analysis and the ITT “observed case” analysis methods. The ITT “missing equals failure” analysis, included all 58 randomized subjects. For this analysis, incalculable clinical endpoints due to missing data, UC medication added due to UC flare during the treatment period and discontinuation from the trial prior to Day 48 were considered as not achieving the clinical endpoints (worst outcome). However, if the end-of-trial endoscopy at Day 48, or later, was available, and the subject didn’t take any additional UC medication due to UC flare, then the observed data was used to define success or failure for the subject. A period of 48 days of microbiome therapy was considered sufficient treatment to estimate the outcome of clinical endpoints and was prespecified. The ITT “observed case” analysis included 53 of 58 subjects randomized, excluding those who were missing their end-of-treatment endoscopies and used the observed data to define success or failure for each subject in the analysis.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Efficacy</w:t>
      </w:r>
    </w:p>
    <w:p>
      <w:pPr>
        <w:spacing w:after="0" w:line="117"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In the “missing equals failure” analysis, remission showed a statistically significant improvement in the vancomycin pre-treatment / SER-287 once-daily dosing arm as compared to the placebo/placebo daily arm: 40% (6 of 15 in SER-287) vs 0% (0 of 11 in placebo); difference from placebo (SER-287 - placebo) 40.0% (95% CI: 15.2%, 64.8%), (p-value, 0.0237). (See Figure 1).</w:t>
      </w:r>
    </w:p>
    <w:p>
      <w:pPr>
        <w:spacing w:after="0" w:line="18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SER-287 weekly treatment arms also showed an improvement over placebo in both remission and endoscopic improvement but the effect was less than with the daily dosing regimen, demonstrating a dose-response to SER-287 in these efficacy endpoints. Addition of vancomycin to the SER-287 weekly dosing regimen did not clearly alter efficacy effects, although this may be due to the small size of the study.</w:t>
      </w:r>
    </w:p>
    <w:p>
      <w:pPr>
        <w:spacing w:after="0" w:line="18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Clinical response (data not shown), showed a numeric increase in the vancomycin/SER287 daily treatment arm compared to placebo but did not reach statistical significance.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134620</wp:posOffset>
            </wp:positionV>
            <wp:extent cx="6148705" cy="1663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4870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60"/>
        <w:spacing w:after="0"/>
        <w:tabs>
          <w:tab w:leader="none" w:pos="4400" w:val="left"/>
        </w:tabs>
        <w:rPr>
          <w:sz w:val="20"/>
          <w:szCs w:val="20"/>
          <w:color w:val="auto"/>
        </w:rPr>
      </w:pPr>
      <w:r>
        <w:rPr>
          <w:rFonts w:ascii="Arial" w:cs="Arial" w:eastAsia="Arial" w:hAnsi="Arial"/>
          <w:sz w:val="18"/>
          <w:szCs w:val="18"/>
          <w:b w:val="1"/>
          <w:bCs w:val="1"/>
          <w:color w:val="auto"/>
        </w:rPr>
        <w:t>Figure 1:</w:t>
      </w:r>
      <w:r>
        <w:rPr>
          <w:sz w:val="20"/>
          <w:szCs w:val="20"/>
          <w:color w:val="auto"/>
        </w:rPr>
        <w:tab/>
      </w:r>
      <w:r>
        <w:rPr>
          <w:rFonts w:ascii="Arial" w:cs="Arial" w:eastAsia="Arial" w:hAnsi="Arial"/>
          <w:sz w:val="16"/>
          <w:szCs w:val="16"/>
          <w:b w:val="1"/>
          <w:bCs w:val="1"/>
          <w:color w:val="auto"/>
        </w:rPr>
        <w:t>SERES-101 Efficacy Data – Missing Equals Failure</w:t>
      </w:r>
    </w:p>
    <w:p>
      <w:pPr>
        <w:spacing w:after="0" w:line="229" w:lineRule="exact"/>
        <w:rPr>
          <w:sz w:val="20"/>
          <w:szCs w:val="20"/>
          <w:color w:val="auto"/>
        </w:rPr>
      </w:pPr>
    </w:p>
    <w:p>
      <w:pPr>
        <w:jc w:val="center"/>
        <w:ind w:left="260" w:right="120"/>
        <w:spacing w:after="0" w:line="264" w:lineRule="auto"/>
        <w:rPr>
          <w:sz w:val="20"/>
          <w:szCs w:val="20"/>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 change from placebo; Remission was defined as a total modified Mayo score of less than or equal to 2, and an endoscopic sub-score of 0 or 1; Endoscopic improvement was defined as a decrease in endoscopic sub score of greater than or equal to 1. Endoscopy measures were analyzed by a Central Reader.</w:t>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Safety</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primary safety objective (short-term safety) was to evaluate the safety and tolerability of SER-287 in adults with active mild-to-moderate UC up to 92 days after randomization as determined by clinical and laboratory safety assessments.</w:t>
      </w:r>
    </w:p>
    <w:p>
      <w:pPr>
        <w:spacing w:after="0" w:line="19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TEAEs were balanced across all the treatment arms. No drug-related serious adverse events, or SAEs, were reported. All adverse events, or AEs, were considered mild to moderate in intensity. Gastrointestinal, or GI, disorders had the greatest number of AEs compared to other system organ classes, with the most efficacious treatment arm (vancomycin/SER-287 daily) experiencing the lowest percentage of GI AEs.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40" w:firstLine="518"/>
        <w:spacing w:after="0" w:line="286" w:lineRule="auto"/>
        <w:rPr>
          <w:sz w:val="20"/>
          <w:szCs w:val="20"/>
          <w:color w:val="auto"/>
        </w:rPr>
      </w:pPr>
      <w:r>
        <w:rPr>
          <w:rFonts w:ascii="Arial" w:cs="Arial" w:eastAsia="Arial" w:hAnsi="Arial"/>
          <w:sz w:val="17"/>
          <w:szCs w:val="17"/>
          <w:color w:val="auto"/>
        </w:rPr>
        <w:t>SER-287 was well-tolerated in all treatment arms, showing a safety profile consistent with the placebo arm. The safety profile, when evaluating GI AEs, showed an improvement in the vancoymycin/SER-287 treatment arm compared to vancomycin/placebo and the vancomycin/SER-287 weekly treatment arms. This finding provides an independent assessment of efficacy as the GI AEs likely reflect UC disease activity.</w:t>
      </w:r>
    </w:p>
    <w:p>
      <w:pPr>
        <w:spacing w:after="0" w:line="193"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Diverse analyses of microbiome data of patients in this trial, a primary endpoint, was completed after completion of the trial. Analyses of study patients’ microbiome data, a co-primary study endpoint of the trial, demonstrate that SER-287 induced dose-dependent engraftment of SER-287-derived bacterial species into the colonic microbiome of the patients treated with SER-287. Patients administered vancomycin pre-treatment followed by daily administration of SER-287 had the highest level of SER-287 engraftment, which was statistically significant. This patient cohort corresponded with the study arm where the most significant clinical benefits were observed, including clinical remission and endoscopic improvement. Differences in the composition of the microbiome post treatment were also associated with clinical remission. Bacterial engraftment signatures were durable throughout the dosing period of the trial and were also observed at four weeks post administration of the final SER-287 dose. The SER-287 Phase 1b study microbiome data support the previously reported clinical results.</w:t>
      </w:r>
    </w:p>
    <w:p>
      <w:pPr>
        <w:spacing w:after="0" w:line="233"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Microbiome results demonstrated engraftment of SER-287-derived bacterial species in patients pre-treated with vancomycin who received SER-287. The degree of SER-287 engraftment, as measured by the number of detectable SER-287-derived bacterial species, increased in a dose-dependent manner, with daily dosing providing the most rapid and robust change in patients’ microbiome. Engraftment was maintained during the entire dosing period and was observed four weeks after the last dose of SER-287 was administered. Thus, engraftment was durable. Changes in the composition of the gastrointestinal microbiome were associated with clinical remission. Vancomycin pre-treatment, as compared to placebo pre-treatment, led to an immediate reduction of microbiome diversity followed by rapid and robust engraftment of SER-287-derived bacterial species. These data suggest that vancomycin pre-treatment opens ecological niches for SER-287 engraftment in the human microbiome of patients with UC. We plan to initiate the next clinical trial of SER-287 in the middle of 2018.</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Programs</w:t>
      </w:r>
    </w:p>
    <w:p>
      <w:pPr>
        <w:spacing w:after="0" w:line="131"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 xml:space="preserve">We have an active pre-clinical program to discover and develop Ecobiotic microbiome therapeutics for other infectious diseases. The Phase 1b/2 clinical study of SER-109 provided initial evidence suggesting that Ecobiotic microbiome therapeutics have the potential to eliminate colonization by potential microbial pathogens, such as VRE and Gram-negative </w:t>
      </w:r>
      <w:r>
        <w:rPr>
          <w:rFonts w:ascii="Arial" w:cs="Arial" w:eastAsia="Arial" w:hAnsi="Arial"/>
          <w:sz w:val="16"/>
          <w:szCs w:val="16"/>
          <w:i w:val="1"/>
          <w:iCs w:val="1"/>
          <w:color w:val="auto"/>
        </w:rPr>
        <w:t>Enterobacteriaceae</w:t>
      </w:r>
      <w:r>
        <w:rPr>
          <w:rFonts w:ascii="Arial" w:cs="Arial" w:eastAsia="Arial" w:hAnsi="Arial"/>
          <w:sz w:val="16"/>
          <w:szCs w:val="16"/>
          <w:color w:val="auto"/>
        </w:rPr>
        <w:t xml:space="preserve">, such as </w:t>
      </w:r>
      <w:r>
        <w:rPr>
          <w:rFonts w:ascii="Arial" w:cs="Arial" w:eastAsia="Arial" w:hAnsi="Arial"/>
          <w:sz w:val="16"/>
          <w:szCs w:val="16"/>
          <w:i w:val="1"/>
          <w:iCs w:val="1"/>
          <w:color w:val="auto"/>
        </w:rPr>
        <w:t>Klebsiella</w:t>
      </w:r>
      <w:r>
        <w:rPr>
          <w:rFonts w:ascii="Arial" w:cs="Arial" w:eastAsia="Arial" w:hAnsi="Arial"/>
          <w:sz w:val="16"/>
          <w:szCs w:val="16"/>
          <w:color w:val="auto"/>
        </w:rPr>
        <w:t xml:space="preserve">, </w:t>
      </w:r>
      <w:r>
        <w:rPr>
          <w:rFonts w:ascii="Arial" w:cs="Arial" w:eastAsia="Arial" w:hAnsi="Arial"/>
          <w:sz w:val="16"/>
          <w:szCs w:val="16"/>
          <w:i w:val="1"/>
          <w:iCs w:val="1"/>
          <w:color w:val="auto"/>
        </w:rPr>
        <w:t>Morganella</w:t>
      </w:r>
      <w:r>
        <w:rPr>
          <w:rFonts w:ascii="Arial" w:cs="Arial" w:eastAsia="Arial" w:hAnsi="Arial"/>
          <w:sz w:val="16"/>
          <w:szCs w:val="16"/>
          <w:color w:val="auto"/>
        </w:rPr>
        <w:t xml:space="preserve"> and </w:t>
      </w:r>
      <w:r>
        <w:rPr>
          <w:rFonts w:ascii="Arial" w:cs="Arial" w:eastAsia="Arial" w:hAnsi="Arial"/>
          <w:sz w:val="16"/>
          <w:szCs w:val="16"/>
          <w:i w:val="1"/>
          <w:iCs w:val="1"/>
          <w:color w:val="auto"/>
        </w:rPr>
        <w:t>Proteus</w:t>
      </w:r>
      <w:r>
        <w:rPr>
          <w:rFonts w:ascii="Arial" w:cs="Arial" w:eastAsia="Arial" w:hAnsi="Arial"/>
          <w:sz w:val="16"/>
          <w:szCs w:val="16"/>
          <w:color w:val="auto"/>
        </w:rPr>
        <w:t xml:space="preserve">. These may be present at low levels in the healthy colon, and like </w:t>
      </w:r>
      <w:r>
        <w:rPr>
          <w:rFonts w:ascii="Arial" w:cs="Arial" w:eastAsia="Arial" w:hAnsi="Arial"/>
          <w:sz w:val="16"/>
          <w:szCs w:val="16"/>
          <w:i w:val="1"/>
          <w:iCs w:val="1"/>
          <w:color w:val="auto"/>
        </w:rPr>
        <w:t>C. difficile</w:t>
      </w:r>
      <w:r>
        <w:rPr>
          <w:rFonts w:ascii="Arial" w:cs="Arial" w:eastAsia="Arial" w:hAnsi="Arial"/>
          <w:sz w:val="16"/>
          <w:szCs w:val="16"/>
          <w:color w:val="auto"/>
        </w:rPr>
        <w:t>, can overgrow after antibiotic use</w:t>
      </w:r>
      <w:r>
        <w:rPr>
          <w:rFonts w:ascii="Arial" w:cs="Arial" w:eastAsia="Arial" w:hAnsi="Arial"/>
          <w:sz w:val="16"/>
          <w:szCs w:val="16"/>
          <w:i w:val="1"/>
          <w:iCs w:val="1"/>
          <w:color w:val="auto"/>
        </w:rPr>
        <w:t>. Enterobacteriaceae</w:t>
      </w:r>
      <w:r>
        <w:rPr>
          <w:rFonts w:ascii="Arial" w:cs="Arial" w:eastAsia="Arial" w:hAnsi="Arial"/>
          <w:sz w:val="16"/>
          <w:szCs w:val="16"/>
          <w:color w:val="auto"/>
        </w:rPr>
        <w:t xml:space="preserve"> can include multidrug resistant organisms, or MDROs, that represent significant public health concerns. For example, carbapenem resistant </w:t>
      </w:r>
      <w:r>
        <w:rPr>
          <w:rFonts w:ascii="Arial" w:cs="Arial" w:eastAsia="Arial" w:hAnsi="Arial"/>
          <w:sz w:val="16"/>
          <w:szCs w:val="16"/>
          <w:i w:val="1"/>
          <w:iCs w:val="1"/>
          <w:color w:val="auto"/>
        </w:rPr>
        <w:t>Enterobacteriaceae</w:t>
      </w:r>
      <w:r>
        <w:rPr>
          <w:rFonts w:ascii="Arial" w:cs="Arial" w:eastAsia="Arial" w:hAnsi="Arial"/>
          <w:sz w:val="16"/>
          <w:szCs w:val="16"/>
          <w:color w:val="auto"/>
        </w:rPr>
        <w:t>, or CRE, is a significant problem in the United States and has been identified as an urgent priority by the CDC. VRE, CRE and other MDROs colonize the gastrointestinal tract after antibiotic use and can spread through contact with patients and healthcare workers both in institutional and in community settings.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SER-401</w:t>
      </w:r>
    </w:p>
    <w:p>
      <w:pPr>
        <w:spacing w:after="0" w:line="11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We are also designing and developing SER-401 for use with CPIs in patients with solid tumors to enhance efficacy and improve survival. CPIs are used to block mechanisms used by cancer to evade detection and destruction by the immune system. In 2015, several groups reported that CPI efficacy in mouse models was dependent on the composition of the microbiome. That work was extended to humans in November 2017 when several groups reported that human subjects who respond to CPI treatment have a different microbiome composition than non-responders. One of these reports was from a group led by Dr. Jennifer Wargo of MD Anderson. In November 2017, Seres announced a collaboration with MD Anderson and the Parker Institute to evaluate the potential of SER-401 to improve the outcomes of cancer patients treated with currently-available immunotherapy. Seres also received an exclusive option, with pre-defined financial terms, to license intellectual property rights from MD Anderson related to the use of bacteria in combination with CPIs. Together with our collaborators, we plan to initiate a Phase 1b study this year.</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SER-301</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are designing and developing SER-301, a rationally designed Ecobiotic microbiome therapeutic candidate for the treatment of IBD. The design is being driven by insights from successful FMT for UC conducted by our academic collaborators and will leverage microbiome and metabolomic data gained from the ongoing Phase 1b study of SER-287. The SER-301 program also benefits from what we have and will learn about rationally designed Ecobiotic microbiome therapeutic development in our SER-262 program.</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SER-155</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are also designing and developing SER-155, a rationally designed product candidate to prevent infections and improve gastrointestinal barrier function (including the consequences of graft versus host disease) in patients following allogeneic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20" w:name="page21"/>
    <w:bookmarkEnd w:id="20"/>
    <w:p>
      <w:pPr>
        <w:ind w:right="60"/>
        <w:spacing w:after="0" w:line="271" w:lineRule="auto"/>
        <w:rPr>
          <w:sz w:val="20"/>
          <w:szCs w:val="20"/>
          <w:color w:val="auto"/>
        </w:rPr>
      </w:pPr>
      <w:r>
        <w:rPr>
          <w:rFonts w:ascii="Arial" w:cs="Arial" w:eastAsia="Arial" w:hAnsi="Arial"/>
          <w:sz w:val="17"/>
          <w:szCs w:val="17"/>
          <w:color w:val="auto"/>
        </w:rPr>
        <w:t>hematopoietic stem cell transplants liver transplants. This preclinical program is based on published clinical evidence from our collaborators at Memorial Sloan Kettering Cancer Center showing that allo-HSCT patients with reduced microbiome diversity are far more likely to die due to infection and/or lethal GvHD (Taur et al., Blood, 2014; Jenq et al, Biology of Blood and Marrow Transplantation, 2015). The selection of the patient population will be based on pre-clinical data, and the assessment of our clinical development plan, regulatory path and market opportunities. We plan to conduct studies in animal models as well as conduct further in vitro characterization of individual strains, in order to define and nominate a composition for clinical development In November 2017, we announced that we were awarded a grant from CARB-X (Combating Antibiotic-Resistant Bacteria Accelerator) to support continued preclinical research and early development work for SER-155. The CARB-X grant provides us with up to $2.5 million of research funding with potential for an additional $3.1 million upon completion of milestones.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A significant portion of our operating expenses consists of research and development activities related to SER-109, SER-262, SER-287, SER-401, SER-155, SER-301 and the development of new Ecobiotic microbiome therapeutic product candidates. For the years ended December 31, 2017, 2016, and 2015, our research and development expense was $89.5 million, $82.0 million, and $38.1 million, respectively. See “</w:t>
      </w:r>
      <w:r>
        <w:rPr>
          <w:rFonts w:ascii="Arial" w:cs="Arial" w:eastAsia="Arial" w:hAnsi="Arial"/>
          <w:sz w:val="16"/>
          <w:szCs w:val="16"/>
          <w:i w:val="1"/>
          <w:iCs w:val="1"/>
          <w:color w:val="auto"/>
        </w:rPr>
        <w:t>Management’s Discussion and Analysis</w:t>
      </w:r>
      <w:r>
        <w:rPr>
          <w:rFonts w:ascii="Arial" w:cs="Arial" w:eastAsia="Arial" w:hAnsi="Arial"/>
          <w:sz w:val="16"/>
          <w:szCs w:val="16"/>
          <w:color w:val="auto"/>
        </w:rPr>
        <w:t xml:space="preserve"> </w:t>
      </w:r>
      <w:r>
        <w:rPr>
          <w:rFonts w:ascii="Arial" w:cs="Arial" w:eastAsia="Arial" w:hAnsi="Arial"/>
          <w:sz w:val="16"/>
          <w:szCs w:val="16"/>
          <w:i w:val="1"/>
          <w:iCs w:val="1"/>
          <w:color w:val="auto"/>
        </w:rPr>
        <w:t>of Results of Operations and Financial Condition─Operating Expenses─Research and Development Expenses</w:t>
      </w:r>
      <w:r>
        <w:rPr>
          <w:rFonts w:ascii="Arial" w:cs="Arial" w:eastAsia="Arial" w:hAnsi="Arial"/>
          <w:sz w:val="16"/>
          <w:szCs w:val="16"/>
          <w:color w:val="auto"/>
        </w:rPr>
        <w:t>” for more information.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If SER-109 is approved in the United States and Canada, we plan to commercialize it with our own focused specialty sales force. We believe we can effectively commercialize SER-109 with a commercial team of 100 or fewer sales representatives that will target gastrointestinal and infectious disease physicians, which are the two primary groups of physicians who treat multiply recurrent CDI patients.</w:t>
      </w:r>
    </w:p>
    <w:p>
      <w:pPr>
        <w:spacing w:after="0" w:line="181"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In January 2016, we entered into an agreement with NHS for the development and commercialization outside of the United States and Canada of our product candidates in development for CDI and IBD, including UC and Crohn’s disease. The agreement will support the development of our portfolio of products for CDI and IBD in markets outside of the United States and Canada and provide financial support for our ongoing research and development.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production of live bacterial products is highly specialized. Owing to their hardiness and environmental persistence, production of spore-forming organisms poses unique considerations for product, personnel, and facility protection. Manufacturing activities with spores are subject to specialized regulations. We expect that a typical commercial fermentation will yield on the order of hundreds or thousands of doses per liter depending on the product and its composition. Additionally, because a given total dose is split between several strains, the per-strain requirements for production may be even lower. As a result, we believe the high productivity relative to the dose level will enable production scales for both clinical and commercial supply to be modest.</w:t>
      </w:r>
    </w:p>
    <w:p>
      <w:pPr>
        <w:spacing w:after="0" w:line="158" w:lineRule="exact"/>
        <w:rPr>
          <w:sz w:val="20"/>
          <w:szCs w:val="20"/>
          <w:color w:val="auto"/>
        </w:rPr>
      </w:pPr>
    </w:p>
    <w:p>
      <w:pPr>
        <w:ind w:right="520" w:firstLine="518"/>
        <w:spacing w:after="0" w:line="264" w:lineRule="auto"/>
        <w:rPr>
          <w:sz w:val="20"/>
          <w:szCs w:val="20"/>
          <w:color w:val="auto"/>
        </w:rPr>
      </w:pPr>
      <w:r>
        <w:rPr>
          <w:rFonts w:ascii="Arial" w:cs="Arial" w:eastAsia="Arial" w:hAnsi="Arial"/>
          <w:sz w:val="18"/>
          <w:szCs w:val="18"/>
          <w:color w:val="auto"/>
        </w:rPr>
        <w:t>We have developed supply chains for producing and testing materials to ensure the availability of future clinical trial supplies. Our development processes are designed to ensure that the raw materials, process technologies and analytical tests we use are scalable and transferable to a cGMP manufacturing environment. These include the following core elements:</w:t>
      </w:r>
    </w:p>
    <w:p>
      <w:pPr>
        <w:spacing w:after="0" w:line="73" w:lineRule="exact"/>
        <w:rPr>
          <w:sz w:val="20"/>
          <w:szCs w:val="20"/>
          <w:color w:val="auto"/>
        </w:rPr>
      </w:pPr>
    </w:p>
    <w:p>
      <w:pPr>
        <w:ind w:left="1040" w:right="20" w:hanging="519"/>
        <w:spacing w:after="0" w:line="291"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Fermentation. </w:t>
      </w:r>
      <w:r>
        <w:rPr>
          <w:rFonts w:ascii="Arial" w:cs="Arial" w:eastAsia="Arial" w:hAnsi="Arial"/>
          <w:sz w:val="16"/>
          <w:szCs w:val="16"/>
          <w:color w:val="auto"/>
        </w:rPr>
        <w:t>We are using microscale screening to optimize culture of the bacterial strains of interest in our current and foreseeable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These screens can identify the fermentation platform that is best-suited for optimization and scale- up of the strains. Small-scale fermentation systems (0.1 L to 50 L) enable the optimization of a wide variety of culture conditions and have been demonstrated to be scalable to larger fermentation processes and enable technology transfer to clinical and final manufacturing sites. We employ platform fermentation processes as starting points for cGMP production processes, and develop strain specific processes as required. To develop master cell banks, working cell banks, and bulk drug substance for commercial product, we are using bacterial strains originating from a unique research cell bank precursor, so we expect the research cell banks and final drug product should be genetically and physiologically similar.</w:t>
      </w:r>
    </w:p>
    <w:p>
      <w:pPr>
        <w:spacing w:after="0" w:line="59" w:lineRule="exact"/>
        <w:rPr>
          <w:rFonts w:ascii="Arial" w:cs="Arial" w:eastAsia="Arial" w:hAnsi="Arial"/>
          <w:sz w:val="16"/>
          <w:szCs w:val="16"/>
          <w:color w:val="auto"/>
        </w:rPr>
      </w:pPr>
    </w:p>
    <w:p>
      <w:pPr>
        <w:ind w:left="1040" w:right="340" w:hanging="519"/>
        <w:spacing w:after="0" w:line="30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Purification. </w:t>
      </w:r>
      <w:r>
        <w:rPr>
          <w:rFonts w:ascii="Arial" w:cs="Arial" w:eastAsia="Arial" w:hAnsi="Arial"/>
          <w:sz w:val="16"/>
          <w:szCs w:val="16"/>
          <w:color w:val="auto"/>
        </w:rPr>
        <w:t>Similar to fermentation, we believe small-scale purification operations are available for assessing large-scale cGMP</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of live cells, and to quickly assess downstream process yield, quality and robustness. For our oral products, purification is typically less complex than for parenteral biologics such as monoclonal antibodies that must purify away very similar components from the culturing process. Separation of viable microbes from soluble fermentation broth components is typically much simpler.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ind w:left="1040" w:right="80" w:hanging="519"/>
        <w:spacing w:after="0" w:line="276"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Formulation. </w:t>
      </w:r>
      <w:r>
        <w:rPr>
          <w:rFonts w:ascii="Arial" w:cs="Arial" w:eastAsia="Arial" w:hAnsi="Arial"/>
          <w:sz w:val="17"/>
          <w:szCs w:val="17"/>
          <w:color w:val="auto"/>
        </w:rPr>
        <w:t>Our Ecobiotic microbiome therapeutic candidates are combinations of live bacteria and can be administered by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methods and by different routes. The primary goal in developing a formulation is to deliver live bacteria to the intended location in a condition where they are able to replicate and correct dysbiosis. Formulation development generally uses approved excipients and preservatives, and will include screening of liquid, solid, and suspension formulations to maximize the opportunity for extended stability with minimal cold-chain requirements. Dosage forms for oral products may be capsules, tablets, sachets, or liquid containers.</w:t>
      </w:r>
    </w:p>
    <w:p>
      <w:pPr>
        <w:spacing w:after="0" w:line="64" w:lineRule="exact"/>
        <w:rPr>
          <w:rFonts w:ascii="Arial" w:cs="Arial" w:eastAsia="Arial" w:hAnsi="Arial"/>
          <w:sz w:val="17"/>
          <w:szCs w:val="17"/>
          <w:color w:val="auto"/>
        </w:rPr>
      </w:pPr>
    </w:p>
    <w:p>
      <w:pPr>
        <w:ind w:left="1040" w:right="160" w:hanging="519"/>
        <w:spacing w:after="0" w:line="255"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Analytical. </w:t>
      </w:r>
      <w:r>
        <w:rPr>
          <w:rFonts w:ascii="Arial" w:cs="Arial" w:eastAsia="Arial" w:hAnsi="Arial"/>
          <w:sz w:val="18"/>
          <w:szCs w:val="18"/>
          <w:color w:val="auto"/>
        </w:rPr>
        <w:t>We are addressing quality control requirements for our Ecobiotic microbiome therapeutic candidates using proprietary</w:t>
      </w:r>
      <w:r>
        <w:rPr>
          <w:rFonts w:ascii="Arial" w:cs="Arial" w:eastAsia="Arial" w:hAnsi="Arial"/>
          <w:sz w:val="18"/>
          <w:szCs w:val="18"/>
          <w:i w:val="1"/>
          <w:iCs w:val="1"/>
          <w:color w:val="auto"/>
        </w:rPr>
        <w:t xml:space="preserve"> </w:t>
      </w:r>
      <w:r>
        <w:rPr>
          <w:rFonts w:ascii="Arial" w:cs="Arial" w:eastAsia="Arial" w:hAnsi="Arial"/>
          <w:sz w:val="18"/>
          <w:szCs w:val="18"/>
          <w:color w:val="auto"/>
        </w:rPr>
        <w:t>microbiological, chemical, biochemical, and molecular sequence-based testing schemes. We have available and are further developing quality control and in-process analytical tools that can quantitatively measure the composition of spore, vegetative microbe and spore/vegetative combinations, which we believe enable a wide variety of drug products to be manufactured. Throughout the bioprocess and formulation development platform we use and will expand on high- throughput quantitative analytics to assess the identity, potency and purity of the final product.</w:t>
      </w:r>
    </w:p>
    <w:p>
      <w:pPr>
        <w:spacing w:after="0" w:line="193"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We currently have two manufacturing facilities internal to Seres; a small-scale 7,000 ft</w:t>
      </w:r>
      <w:r>
        <w:rPr>
          <w:rFonts w:ascii="Arial" w:cs="Arial" w:eastAsia="Arial" w:hAnsi="Arial"/>
          <w:sz w:val="13"/>
          <w:szCs w:val="13"/>
          <w:color w:val="auto"/>
        </w:rPr>
        <w:t>2</w:t>
      </w:r>
      <w:r>
        <w:rPr>
          <w:rFonts w:ascii="Arial" w:cs="Arial" w:eastAsia="Arial" w:hAnsi="Arial"/>
          <w:sz w:val="16"/>
          <w:szCs w:val="16"/>
          <w:color w:val="auto"/>
        </w:rPr>
        <w:t xml:space="preserve"> unit at our Kendall Square location in Cambridge, Massachusetts, where we conduct cGMP manufacture of Ecobiotic therapeutic candidates to support drug substance and drug product for early phase and small-scale clinical supplies, and a larger 10,000 ft</w:t>
      </w:r>
      <w:r>
        <w:rPr>
          <w:rFonts w:ascii="Arial" w:cs="Arial" w:eastAsia="Arial" w:hAnsi="Arial"/>
          <w:sz w:val="13"/>
          <w:szCs w:val="13"/>
          <w:color w:val="auto"/>
        </w:rPr>
        <w:t>2</w:t>
      </w:r>
      <w:r>
        <w:rPr>
          <w:rFonts w:ascii="Arial" w:cs="Arial" w:eastAsia="Arial" w:hAnsi="Arial"/>
          <w:sz w:val="16"/>
          <w:szCs w:val="16"/>
          <w:color w:val="auto"/>
        </w:rPr>
        <w:t xml:space="preserve"> cGMP manufacturing facility at our headquarters, with the ability to perform both drug substance and drug product manufacturing for early and late-phase clinical development and at larger scales of operation. We may establish further manufacturing facilities that will serve late-phase clinical and commercial supply for our product candidates. We may do this by expanding our current and planned facilities, or by purchasing or building additional facilities. We also use contract manufacturing and testing organizations to supplement our internal capacity.</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Agreements</w:t>
      </w:r>
    </w:p>
    <w:p>
      <w:pPr>
        <w:spacing w:after="0" w:line="229"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January 2016, we entered into the Collaboration and License Agreement, or the License Agreement, with Nestec Ltd., or NHS, an affiliate of Nestlé Health Science US Holdings, Inc., a significant stockholder of ours, for the development and commercialization of certain product candidates in development for the treatment and management of CDI and IBD, including UC and Crohn’s disease. The License Agreement will support the development of our portfolio of products for CDI and IBD in markets outside of the United States and Canada, or the Licensed Territory. We have retained full commercial rights to our entire portfolio of product candidates with respect to the United States and Canada.</w:t>
      </w:r>
    </w:p>
    <w:p>
      <w:pPr>
        <w:spacing w:after="0" w:line="173"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or collectively, the NHS Collaboration Products. The License Agreement sets forth our and NHS’ respective obligations for development, commercialization, regulatory and manufacturing and supply activities for the NHS Collaboration Products with respect to the licensed fields and the Licensed Territory.</w:t>
      </w:r>
    </w:p>
    <w:p>
      <w:pPr>
        <w:spacing w:after="0" w:line="18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exchange for the license, NHS made an upfront cash payment to us of $120.0 million. NHS also agreed to pay us tiered royalties, at percentages ranging from the high single digits to high teens, of net sales of NHS Collaboration Products in the Licensed Territory. Under the License Agreement we are eligible to receive up to $285.0 million in development milestone payments, $375.0 million in regulatory payments and up to an aggregate of $1,125.0 million for the achievement of certain commercial milestones related to the sales of NHS Collaboration Products. To date, we have received $30.0 million in development milestones under the License Agreement.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We strive to protect the proprietary technology that is important to our business, including seeking and, if granted, maintaining patents intended to cover our product candidates and compositions, their methods of use and processes for their manufacture and any other aspects of inventions that are commercially important to the development of our business. We also utilize regulatory exclusivity as well as trade secrets to protect aspects of our business.</w:t>
      </w:r>
    </w:p>
    <w:p>
      <w:pPr>
        <w:spacing w:after="0" w:line="14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We plan to continue to expand our intellectual property estate by filing patent applications directed to compositions, methods of treatment, methods of manufacture and methods for patient selection created or identified from our ongoing development of our product candidates.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 We also rely on know-how and continuing technological innovation to develop and maintain our proprietary position and, in the future, may rely on or leverage in-licensing opportunities. We seek to obtain domestic and international patent protection, and endeavor to promptly file patent applications for new commercially valuable inventions.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ind w:right="80" w:firstLine="518"/>
        <w:spacing w:after="0" w:line="255" w:lineRule="auto"/>
        <w:rPr>
          <w:sz w:val="20"/>
          <w:szCs w:val="20"/>
          <w:color w:val="auto"/>
        </w:rPr>
      </w:pPr>
      <w:r>
        <w:rPr>
          <w:rFonts w:ascii="Arial" w:cs="Arial" w:eastAsia="Arial" w:hAnsi="Arial"/>
          <w:sz w:val="18"/>
          <w:szCs w:val="18"/>
          <w:color w:val="auto"/>
        </w:rPr>
        <w:t>The patent positions of biopharmaceutical companies like us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w:t>
      </w:r>
    </w:p>
    <w:p>
      <w:pPr>
        <w:spacing w:after="0" w:line="19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w:t>
      </w:r>
    </w:p>
    <w:p>
      <w:pPr>
        <w:spacing w:after="0" w:line="158"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Our patent portfolio includes patent applications in the early stages of prosecution and eight issued U.S. patents. For our pending Patent Cooperation, or PCT, applications, we anticipate determining, in advance of the applicable deadlines, whether to pursue these applications and if so will pursue them in the United States and selected ex-U.S. jurisdictions. We believe that issued claims will provide protection for our microbiome therapeutic candidates.</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patent estate leverages both offensive and defensive strategies. As of February 10, 2018, we owned a total of fifteen patent application families that include Patent Cooperation Treaty, or PCT, applications and/or U.S. patent applications and ex-US patent applications. Some of these families are briefly described below. Four of the patent application families include only U.S. provisional applications that will not themselves be examined and for which the deadline to file PCT applications and/or U.S. non-provisional applications have not yet expired. Issued patents and pending patent applications as of February 10, 2018 in six of the patent application families in our portfolio are described briefly below. We expect to pursue additional applications in these families over time.</w:t>
      </w:r>
    </w:p>
    <w:p>
      <w:pPr>
        <w:spacing w:after="0" w:line="85" w:lineRule="exact"/>
        <w:rPr>
          <w:sz w:val="20"/>
          <w:szCs w:val="20"/>
          <w:color w:val="auto"/>
        </w:rPr>
      </w:pPr>
    </w:p>
    <w:p>
      <w:pPr>
        <w:ind w:left="1040" w:right="160" w:hanging="519"/>
        <w:spacing w:after="0" w:line="293"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family related to binary combinations of microbes that includes the following issued and pending applications: (i) an issued U.S. patent, which claims therapeutic compositions that include selected binary combinations of microbes; (ii) two issued U.S. patents, which claim methods of using such compositions to treat or prevent CDI; (iii) a continuation U.S. patent application and (iv) national stage applications based on the PCT application in 14 ex-U.S. jurisdictions. Patents issuing from or based on these applications, if any, are expected to expire in 2033, assuming all required maintenance fees are paid and absent any applicable patent term extension or patent term adjustment. We expect this patent application family to provide patent protection for SER-109, SER-262, SER-287 and SER-155.</w:t>
      </w:r>
    </w:p>
    <w:p>
      <w:pPr>
        <w:spacing w:after="0" w:line="56" w:lineRule="exact"/>
        <w:rPr>
          <w:rFonts w:ascii="Arial" w:cs="Arial" w:eastAsia="Arial" w:hAnsi="Arial"/>
          <w:sz w:val="16"/>
          <w:szCs w:val="16"/>
          <w:color w:val="auto"/>
        </w:rPr>
      </w:pPr>
    </w:p>
    <w:p>
      <w:pPr>
        <w:ind w:left="1040" w:right="120" w:hanging="519"/>
        <w:spacing w:after="0" w:line="255"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family related to combinations of bacterial spores that includes the following issued and pending applications: (i) three issued U.S. patents that claim certain methods of treatment of gastrointestinal diseases, including Crohn’s disease and colitis, using combinations of bacterial spores and (ii) one issued U.S. patent that claims compositions and a pending continuation application and (iii) national stage applications based on the PCT application in 12 ex-U.S. jurisdictions claiming similar methods, as well as related compositions. Patents issuing from or based on these applications, if any, are expected to expire in 2034, assuming all required maintenance fees are paid and absent any applicable patent term extension or patent term adjustment. We expect this patent application family to provide patent protection for SER-109, SER-262, SER-287 and SER-155.</w:t>
      </w:r>
    </w:p>
    <w:p>
      <w:pPr>
        <w:spacing w:after="0" w:line="81" w:lineRule="exact"/>
        <w:rPr>
          <w:rFonts w:ascii="Arial" w:cs="Arial" w:eastAsia="Arial" w:hAnsi="Arial"/>
          <w:sz w:val="18"/>
          <w:szCs w:val="18"/>
          <w:color w:val="auto"/>
        </w:rPr>
      </w:pPr>
    </w:p>
    <w:p>
      <w:pPr>
        <w:ind w:left="1040" w:right="120" w:hanging="519"/>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family that includes a pending U.S. and a European national stage application based on a PCT application related to compositions of matter and methods for new combinations of microbes for treating gastrointestinal diseases. Patents based on these applications, if granted, are expected to expire in 2034, assuming all required maintenance fees are paid and absent any applicable patent term extension or patent term adjustment.</w:t>
      </w:r>
    </w:p>
    <w:p>
      <w:pPr>
        <w:spacing w:after="0" w:line="78"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family that includes pending national stage applications in the U.S. and Europe, related to quality control of Ecobiotic products and characterization methods. Patents based on these applications, if granted, are expected to expire in 2034, assuming all required maintenance fees are paid and absent any applicable patent term extension or patent term adjustment.</w:t>
      </w:r>
    </w:p>
    <w:p>
      <w:pPr>
        <w:spacing w:after="0" w:line="73" w:lineRule="exact"/>
        <w:rPr>
          <w:rFonts w:ascii="Arial" w:cs="Arial" w:eastAsia="Arial" w:hAnsi="Arial"/>
          <w:sz w:val="18"/>
          <w:szCs w:val="18"/>
          <w:color w:val="auto"/>
        </w:rPr>
      </w:pPr>
    </w:p>
    <w:p>
      <w:pPr>
        <w:ind w:left="1040" w:right="20" w:hanging="519"/>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family that includes pending national stage applications in the U.S. and six ex-U.S. jurisdictions, related to methods of restructuring of a host microbiome using microbial populations identified using our network-based discovery platforms. Patents based on these applications, if granted, are expected to expire in 2034, assuming all required maintenance fees are paid, and absent any applicable patent term extension or patent term adjustment.</w:t>
      </w:r>
    </w:p>
    <w:p>
      <w:pPr>
        <w:spacing w:after="0" w:line="78" w:lineRule="exact"/>
        <w:rPr>
          <w:rFonts w:ascii="Arial" w:cs="Arial" w:eastAsia="Arial" w:hAnsi="Arial"/>
          <w:sz w:val="18"/>
          <w:szCs w:val="18"/>
          <w:color w:val="auto"/>
        </w:rPr>
      </w:pPr>
    </w:p>
    <w:p>
      <w:pPr>
        <w:ind w:left="1040" w:right="20" w:hanging="519"/>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family that includes pending national stage applications in the U.S. and ten ex-U.S. jurisdictions related to compositions of matter and methods of treating disorders with compositions that include, for example, ternary combinations of microbes. Patents based on this application, if granted, are expected to expire in 2034, assuming all required maintenance fees are paid and absent any applicable patent term extension or patent term adjustment.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Patent term</w:t>
      </w:r>
    </w:p>
    <w:p>
      <w:pPr>
        <w:spacing w:after="0" w:line="117"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w:t>
      </w:r>
    </w:p>
    <w:p>
      <w:pPr>
        <w:spacing w:after="0" w:line="147"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 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In the future, if and when our product candidates receive FDA approval, we expect to apply, if appropriate, for patent term extension on patents covering those product candidates, their methods of use and/or methods of manufacture.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 addition to patents, we rely on trade secrets and know-how to develop and maintain our competitive position. We typically utilize trade secrets to protect aspects of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for the prevention of CDI, IBD and other disease indications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2"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w:t>
      </w:r>
    </w:p>
    <w:p>
      <w:pPr>
        <w:spacing w:after="0" w:line="17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These third parties compete with us in recruiting and retaining qualified scientific, clinical, manufacturing sales and marketing and management personnel, establishing clinical trial sites and patient registration for clinical trials, as well as in acquiring technologies complementary to, or necessary for, our programs.</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key competitive factors affecting the success of SER-109, SER-287, SER-401, SER-262, SER-301 and SER-155 and any other product candidates that we develop, if approved, are likely to be their efficacy, safety, convenience, price, the level of competition and the availability of reimbursement from government and other third-party payors.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4" w:name="page25"/>
    <w:bookmarkEnd w:id="24"/>
    <w:p>
      <w:pPr>
        <w:ind w:right="140"/>
        <w:spacing w:after="0" w:line="286" w:lineRule="auto"/>
        <w:rPr>
          <w:sz w:val="20"/>
          <w:szCs w:val="20"/>
          <w:color w:val="auto"/>
        </w:rPr>
      </w:pPr>
      <w:r>
        <w:rPr>
          <w:rFonts w:ascii="Arial" w:cs="Arial" w:eastAsia="Arial" w:hAnsi="Arial"/>
          <w:sz w:val="17"/>
          <w:szCs w:val="17"/>
          <w:color w:val="auto"/>
        </w:rPr>
        <w:t>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lower cost products.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and biologics such as those we are developing. We, along with our contract manufacturers, will be required to navigate the various pre-clinical, clinical and commercial approval requirements of the governing regulatory agencies of the countries in which we wish to conduct studies or seek approval for our product candidates. The process of obtaining regulatory approvals and ensuring subsequent compliance with appropriate federal, state, local and foreign statutes and regulations requires the expenditure of substantial time and financial resources.</w:t>
      </w:r>
    </w:p>
    <w:p>
      <w:pPr>
        <w:spacing w:after="0" w:line="189"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In the United States, the FDA regulates drug and biologic products under the Federal Food, Drug and Cosmetic Act, its implementing regulations and other laws, including, in the case of biologics, the Public Health Service Act. Our product candidates are subject to regulation by the FDA as biologics. Biologics require the submission of a biologics license application, or BLA, and approval by the FDA before being marketed in the United States. None of our product candidates has been approved by the FDA for marketing in the United States, and we currently have no BLAs pending. If we fail to comply with applicable FDA or other requirements at any time during product development, clinical testing, the approval process or after approval, we may become subject to administrative or judicial sanctions. These sanctions could include the FDA’s refusal to approve pending applications, suspension or revocation of approved applications, warning letters, product recalls, product seizures, total or partial suspensions of manufacturing or distribution, injunctions, fines, civil penalties or criminal prosecution. Any FDA enforcement action could have a material adverse effect on us.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process required by the FDA before our biologic product candidates may be marketed in the United States generally involves the following:</w:t>
      </w:r>
    </w:p>
    <w:p>
      <w:pPr>
        <w:spacing w:after="0" w:line="129" w:lineRule="exact"/>
        <w:rPr>
          <w:sz w:val="20"/>
          <w:szCs w:val="20"/>
          <w:color w:val="auto"/>
        </w:rPr>
      </w:pPr>
    </w:p>
    <w:p>
      <w:pPr>
        <w:ind w:left="1040" w:right="5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good laboratory practice, or GLP, regulations;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in the United States may begin;</w:t>
      </w:r>
    </w:p>
    <w:p>
      <w:pPr>
        <w:spacing w:after="0" w:line="117" w:lineRule="exact"/>
        <w:rPr>
          <w:rFonts w:ascii="Arial" w:cs="Arial" w:eastAsia="Arial" w:hAnsi="Arial"/>
          <w:sz w:val="18"/>
          <w:szCs w:val="18"/>
          <w:color w:val="auto"/>
        </w:rPr>
      </w:pPr>
    </w:p>
    <w:p>
      <w:pPr>
        <w:ind w:left="1040" w:right="660" w:hanging="519"/>
        <w:spacing w:after="0" w:line="308"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to establish the safety and efficacy of the product candidate for each proposed indication, conducted in accordance with the FDA’s good clinical practice, or GCP, regulations;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 BLA;</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cGMP regulations;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review and approval of the BLA prior to any commercial marketing, sale or shipment of the product.</w:t>
      </w:r>
    </w:p>
    <w:p>
      <w:pPr>
        <w:spacing w:after="0" w:line="225"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testing and approval process requires substantial time, effort and financial resources, and we cannot be certain that any approvals for our product candidates will be granted on a timely basis, if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Trials</w:t>
      </w:r>
    </w:p>
    <w:p>
      <w:pPr>
        <w:spacing w:after="0" w:line="117"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Once a product candidate is identified for development, it enters the pre-clinical testing stage. Pre-clinical studies include laboratory evaluations of drug chemistry, formulation and stability, as well as studies to evaluate toxicity in animals, which must be conducted in accordance with GLP requirements. The results of the pre-clinical studies, together with manufacturing information and analytical data, are submitted to the FDA as part of an IND.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In such a case, the IND sponsor and the FDA must resolve any outstanding concerns before the clinical trial can begin. Submission of an IND may result in the FDA not allowing clinical trials to commence or not allowing clinical trials to commence on the terms originally specified in the IND. A separate submission to an existing IND must also be made for each successive clinical trial conducted during product development, and the FDA must grant permission, either explicitly or implicitly by not objecting, before each clinical trial can begin.</w:t>
      </w:r>
    </w:p>
    <w:p>
      <w:pPr>
        <w:spacing w:after="0" w:line="182"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Clinical trials involve the administration of the product candidate to human subjects under the supervision of qualified investigators. Clinical trials are conducted under protocols detailing, among other things, the objectives of the clinical trial and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ind w:right="180"/>
        <w:spacing w:after="0" w:line="276" w:lineRule="auto"/>
        <w:rPr>
          <w:sz w:val="20"/>
          <w:szCs w:val="20"/>
          <w:color w:val="auto"/>
        </w:rPr>
      </w:pPr>
      <w:r>
        <w:rPr>
          <w:rFonts w:ascii="Arial" w:cs="Arial" w:eastAsia="Arial" w:hAnsi="Arial"/>
          <w:sz w:val="17"/>
          <w:szCs w:val="17"/>
          <w:color w:val="auto"/>
        </w:rPr>
        <w:t>parameters and criteria to be used in monitoring safety and evaluating effectiveness. Each protocol must be submitted to the FDA as part of the IND. An independent institutional review board, or IRB, for each investigator site proposing to participate in a clinical trial must also review and approve the clinical trial before it can begin at that site, and the IRB must monitor the clinical trial until it is completed. The FDA, the IRB, or the sponsor may suspend or discontinue a clinical trial at any time on various grounds, including a finding that the subjects are being exposed to an unacceptable health risk. Clinical testing also must satisfy extensive GCP requirements, including requirements for informed consent.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purposes of BLA approval, clinical trials are typically conducted in three sequential phases, which may overlap or be combined.</w:t>
      </w:r>
    </w:p>
    <w:p>
      <w:pPr>
        <w:spacing w:after="0" w:line="117" w:lineRule="exact"/>
        <w:rPr>
          <w:sz w:val="20"/>
          <w:szCs w:val="20"/>
          <w:color w:val="auto"/>
        </w:rPr>
      </w:pPr>
    </w:p>
    <w:p>
      <w:pPr>
        <w:ind w:left="1040" w:right="20" w:hanging="519"/>
        <w:spacing w:after="0" w:line="31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Phase 1 </w:t>
      </w:r>
      <w:r>
        <w:rPr>
          <w:rFonts w:ascii="Arial" w:cs="Arial" w:eastAsia="Arial" w:hAnsi="Arial"/>
          <w:sz w:val="16"/>
          <w:szCs w:val="16"/>
          <w:color w:val="auto"/>
        </w:rPr>
        <w:t>— Phase 1 clinical trials involve initial introduction of the investigational product into healthy human subjects or patients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target disease or condition. These studies are typically designed to test the safety, dosage tolerance, absorption, metabolism and distribution of the investigational product in humans, the side effects associated with increasing doses, and, if possible, to gain early evidence on effectiveness.</w:t>
      </w:r>
    </w:p>
    <w:p>
      <w:pPr>
        <w:spacing w:after="0" w:line="38" w:lineRule="exact"/>
        <w:rPr>
          <w:rFonts w:ascii="Arial" w:cs="Arial" w:eastAsia="Arial" w:hAnsi="Arial"/>
          <w:sz w:val="16"/>
          <w:szCs w:val="16"/>
          <w:color w:val="auto"/>
        </w:rPr>
      </w:pPr>
    </w:p>
    <w:p>
      <w:pPr>
        <w:jc w:val="both"/>
        <w:ind w:left="1040" w:right="10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Phase 2 clinical trials typically involve administration of the investigational product to a limited patient population with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or condition to evaluate the preliminary efficacy, optimal dosages and dosing schedule and to identify possible adverse side effects and safety risks.</w:t>
      </w:r>
    </w:p>
    <w:p>
      <w:pPr>
        <w:spacing w:after="0" w:line="73" w:lineRule="exact"/>
        <w:rPr>
          <w:rFonts w:ascii="Arial" w:cs="Arial" w:eastAsia="Arial" w:hAnsi="Arial"/>
          <w:sz w:val="18"/>
          <w:szCs w:val="18"/>
          <w:color w:val="auto"/>
        </w:rPr>
      </w:pPr>
    </w:p>
    <w:p>
      <w:pPr>
        <w:ind w:left="1040" w:right="300" w:hanging="519"/>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Phase 3 clinical trials typically involve administration of the investigational product to an expanded patient population to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7" w:lineRule="exact"/>
        <w:rPr>
          <w:sz w:val="20"/>
          <w:szCs w:val="20"/>
          <w:color w:val="auto"/>
        </w:rPr>
      </w:pPr>
    </w:p>
    <w:p>
      <w:pPr>
        <w:ind w:right="660" w:firstLine="518"/>
        <w:spacing w:after="0" w:line="342" w:lineRule="auto"/>
        <w:rPr>
          <w:sz w:val="20"/>
          <w:szCs w:val="20"/>
          <w:color w:val="auto"/>
        </w:rPr>
      </w:pPr>
      <w:r>
        <w:rPr>
          <w:rFonts w:ascii="Arial" w:cs="Arial" w:eastAsia="Arial" w:hAnsi="Arial"/>
          <w:sz w:val="16"/>
          <w:szCs w:val="16"/>
          <w:color w:val="auto"/>
        </w:rPr>
        <w:t>In some cases, the FDA may condition approval of a BLA on the sponsor’s agreement to conduct additional clinical trials to further assess the biologic’s safety and effectiveness after BLA approval. Such post-approval clinical trials are typically referred to as Phase 4 clinical trials.</w:t>
      </w:r>
    </w:p>
    <w:p>
      <w:pPr>
        <w:spacing w:after="0" w:line="124" w:lineRule="exact"/>
        <w:rPr>
          <w:sz w:val="20"/>
          <w:szCs w:val="20"/>
          <w:color w:val="auto"/>
        </w:rPr>
      </w:pPr>
    </w:p>
    <w:p>
      <w:pPr>
        <w:ind w:right="20" w:firstLine="518"/>
        <w:spacing w:after="0" w:line="282" w:lineRule="auto"/>
        <w:rPr>
          <w:sz w:val="20"/>
          <w:szCs w:val="20"/>
          <w:color w:val="auto"/>
        </w:rPr>
      </w:pPr>
      <w:r>
        <w:rPr>
          <w:rFonts w:ascii="Arial" w:cs="Arial" w:eastAsia="Arial" w:hAnsi="Arial"/>
          <w:sz w:val="16"/>
          <w:szCs w:val="16"/>
          <w:color w:val="auto"/>
        </w:rPr>
        <w:t xml:space="preserve">Although most clinical research performed in the United States in support of a BLA must be authorized in advance by the FDA, under the IND regulations and procedures described above, there are certain circumstances under which clinical trials can be conducted without submission of an IND. For example, a sponsor who wishes to conduct a clinical trial outside the United States may, but need not, obtain FDA authorization to conduct the clinical trial under an IND. Similarly, the FDA may exercise enforcement discretion to permit sponsors to conduct certain types of clinical investigations without an IND. Pursuant to the FDA guidance document “Enforcement Policy Regarding Investigational New Drug Requirements for Use of Fecal Microbiota for Transplantation to Treat </w:t>
      </w:r>
      <w:r>
        <w:rPr>
          <w:rFonts w:ascii="Arial" w:cs="Arial" w:eastAsia="Arial" w:hAnsi="Arial"/>
          <w:sz w:val="16"/>
          <w:szCs w:val="16"/>
          <w:i w:val="1"/>
          <w:iCs w:val="1"/>
          <w:color w:val="auto"/>
        </w:rPr>
        <w:t>Clostridium difficile</w:t>
      </w:r>
      <w:r>
        <w:rPr>
          <w:rFonts w:ascii="Arial" w:cs="Arial" w:eastAsia="Arial" w:hAnsi="Arial"/>
          <w:sz w:val="16"/>
          <w:szCs w:val="16"/>
          <w:color w:val="auto"/>
        </w:rPr>
        <w:t xml:space="preserve"> Infection Not Responsive to Standard Therapies” (July 2013), the FDA announced its intention to exercise enforcement discretion and not apply the IND requirements for the use of FMT to treat CDI not responsive to standard therapies, provided that the treating physician obtains adequate informed consent from the patient or his or her legally authorized representative for the use of FMT products. In March 2014, the FDA issued a draft guidance document to clarify its Enforcement Policy in the July 2013 guidance. In the March 2014 draft guidance, the FDA noted that since the issuance of its Enforcement Policy in July 2013, it has continued to review its policies in this area and it intends to continue to exercise enforcement discretion in more narrow circumstances than previously identified. Specifically, the March 2014 draft guidance indicated the FDA’s intent to limit enforcement discretion in circumstances where the licensed health care professional treating the patient obtains adequate informed consent from the patient or his or her legally authorized representative for the use of FMT products; the FMT product is obtained from a donor known to either the patient or the licensed health care provider; and the stool donor and stool are qualified by screening and testing performed under the discretion of the licensed health care provider for the purposes of providing the FMT product. Following receipt of public comments on the March 2014 draft guidance proposing to modify the July 2013 Enforcement Policy, the FDA issued a new draft guidance in March 2016 announcing its intention to further modify its approach to enforcement discretion for INDs for the use of FMT products. In this draft guidance, the FDA indicated that it intends to continue to exercise enforcement discretion, provided that the licensed health care professional treating the patient obtains adequate informed consent for use of the FMT product; the FMT product is not obtained from a stool bank; and the stool donor and stool are qualified by screening and testing performed under the direction of the licensed health care provider for purposes of providing the FMT product to treat his or her patient. The FDA further clarified in the March 2016 that, when finalized, the policy would supersede the final Enforcement Policy espoused in the July 2013 Guidance. However, to date, the FDA has not finalized the March 2016 draft</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guidance. The FDA provided confirmation to us that it intended to exercise enforcement discretion with respect to our Phase 1b/2 clinical study of SER-109, and accordingly, we did not conduct this trial under an IND. However, we have conducted and will continue to conduct all subsequent clinical studies of SER-109 under an IND.</w:t>
      </w:r>
    </w:p>
    <w:p>
      <w:pPr>
        <w:spacing w:after="0" w:line="19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biologic and finalize a process for manufacturing the biologic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biological product. Additionally, appropriate packaging must be selected and tested and stability studies must be conducted to demonstrate that the product candidate does not undergo unacceptable deterioration over its shelf life.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BLA Submission and FDA Review</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results of pre-clinical studies and clinical trials, together with other detailed information, including extensive manufacturing information and information on the composition of the biologic, are submitted to the FDA in the form of a BLA requesting approval to market the biologic for one or more specified indications. The submission of a BLA requires payment of a substantial user fee unless a waiver is granted. However, an orphan-designated product, such as our SER-109, is not subject to an application user fee unless the human drug application includes an indication for other than a rare disease or condition. Each BLA submitted to the FDA is reviewed for administrative completeness and reviewability within 60 days of the FDA’s receipt of the application. If the BLA is found to be complete, the FDA will file the BLA, triggering a full review of the application. The FDA may refuse to file any BLA that it deems incomplete or not properly reviewable at the time of submission.</w:t>
      </w:r>
    </w:p>
    <w:p>
      <w:pPr>
        <w:spacing w:after="0" w:line="189"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Once a BLA has been accepted for filing, by law the FDA has 180 days to review the application and respond to the applicant. However, the review process is often significantly extended by FDA requests for additional information or clarification. Under the Prescription Drug User Fee Act, the FDA has a goal of reviewing BLAs within ten months of the 60-day filing date for standard review or six months for priority review, but the overall timeframe is often extended by FDA requests for additional information or clarification. The FDA reviews a BLA to determine, among other things, whether the biological product is safe, pure and potent and whether the facility or facilities in which it is manufactured meet standards designed to assure the product’s continued safety, purity and potency. The FDA may refer the application to an advisory committee for review, evaluation and recommendation as to whether the application should be approved. The FDA is not bound by the recommendation of an advisory committee, but it generally follows such recommendations. Before approving a BLA, the FDA will inspect the facility or the facilities at which the biologic product is manufactured, and will not approve the product unless cGMP compliance is satisfactory. The FDA may also inspect the sites at which the clinical trials were conducted to assess their compliance with GCP requirements, and will not approve the biologic unless compliance with such requirements is satisfactory.</w:t>
      </w:r>
    </w:p>
    <w:p>
      <w:pPr>
        <w:spacing w:after="0" w:line="16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FDA may deny approval of a BLA if the applicable statutory and regulatory criteria are not satisfied, or it may require additional pre-clinical or clinical data. Even if such data are submitted, the FDA may ultimately decide that the BLA does not satisfy the criteria for approval. Data from clinical trials are not always conclusive and the FDA may interpret data differently than sponsors. Once the FDA approves a BLA, such approval defines the indicated uses for which the biologic may be marketed. The FDA may also require implementation of a Risk Evaluation and Mitigation Strategy, or REMS, which can include a medication guide, communication plan, or elements to assure safe use, such as restricted distribution methods, physician training, patient registries and other risk minimization tools. The FDA also may condition approval on, among other things, changes to proposed labeling claims or the development of adequate controls and specifications. Once approved, the FDA may withdraw the product approval if compliance with pre- and post-marketing regulatory standards is not maintained or if problems occur after the product reaches the market. The FDA may require one or more Phase 4 post-market studies and surveillance to further assess and monitor the product’s safety and effectiveness after commercialization, and may limit further marketing based on the results of these post-marketing studies.</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biologic testing and approval processes encompasses significant risk, and requires substantial time, effort and financial resources, and each may take several years to complete. The FDA may not grant approval on a timely basis, or at all. Even if we believe a clinical trial has demonstrated safety and efficacy of one of our product candidates for the treatment of a disease or condition, the results may not be satisfactory to the FDA. Pre-clinical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our product candidates. The FDA may limit the indications for use or place other conditions on any approvals that could restrict the commercial application of our products. After approval, certain changes to the approved biologic, such as adding new indications, manufacturing changes or additional labeling claims, are subject to further FDA review and approval. Depending on the nature of the change proposed, a BLA supplement must be filed and approved before the change may be implemented. For many proposed post-approval changes to a BLA, the FDA has up to 180 days to review the application. As with new BLAs, the review process is often significantly extended by the FDA requests for additional information or clarification.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and biologics to address unmet medical needs in the treatment of serious or life- threatening diseases or conditions. These programs include Fast Track designation, Breakthrough Therapy designation, Priority Review designation and Accelerated Approval, and the purpose of these programs is to provide important new drugs to patients earlier than under standard FDA review procedures.</w:t>
      </w:r>
    </w:p>
    <w:p>
      <w:pPr>
        <w:spacing w:after="0" w:line="18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A new drug or biologic is eligible for fast track designation if it is intended to treat a serious or life- threatening disease or condition and demonstrates the potential to address unmet medical needs for such disease or condition. Fast Track designation provides increased opportunities for sponsor meetings with the FDA during pre-clinical and clinical development, in addition to the potential for rolling review once a marketing application is filed, meaning that the agency may review portions of the marketing application before the sponsor submits the complete application, as well as Priority Review, discussed below. In addition, a new drug or biologic may be eligible for breakthrough therapy designation if it is intended to treat a serious or life-threatening disease or condition and preliminary clinical evidence indicates that the drug may demonstrate substantial improvement over existing therapies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7" w:name="page28"/>
    <w:bookmarkEnd w:id="27"/>
    <w:p>
      <w:pPr>
        <w:ind w:right="100"/>
        <w:spacing w:after="0" w:line="259" w:lineRule="auto"/>
        <w:rPr>
          <w:sz w:val="20"/>
          <w:szCs w:val="20"/>
          <w:color w:val="auto"/>
        </w:rPr>
      </w:pPr>
      <w:r>
        <w:rPr>
          <w:rFonts w:ascii="Arial" w:cs="Arial" w:eastAsia="Arial" w:hAnsi="Arial"/>
          <w:sz w:val="18"/>
          <w:szCs w:val="18"/>
          <w:color w:val="auto"/>
        </w:rPr>
        <w:t>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pacing w:after="0" w:line="18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Any product submitted to the FDA for approval, including a product with Fast Track or Breakthrough Therapy designation, may also be eligible for additional FDA programs intended to expedite the review process, including Priority Review designation and accelerated approval. A product is eligible for Priority Review if it has the potential to provide a significant improvement in safety or effectiveness in the treatment, diagnosis or prevention of a serious disease or condition. Additionally,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additional post-approval studies to verify and describe the product’s clinical benefit.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8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Fast Track designation, Breakthrough Therapy designation, Priority Review designation and Accelerated Approval do not change the standards for approval but may expedite the development or review process. We have received Breakthrough Therapy designation for SER-109, and we may apply for one or more of the FDA’s expedited programs for our other product candidates. The FDA may find that our product candidates no longer satisfy the criteria for such programs for which we have already obtained the relevant designation or approval, such programs may fail to result in expedited development or review timelines, or the FDA may ultimately refuse to approve our product candidates despite their inclusion in any expedited programs. In addition, if the Breakthrough Therapy designation for SER-109 is no longer supported by subsequent data, FDA may rescind the designation.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Approved biologics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There also are continuing, annual user fee requirements for products and the establishments at which such products are manufactured, as well as new application fees for certain supplemental applications.</w:t>
      </w:r>
    </w:p>
    <w:p>
      <w:pPr>
        <w:spacing w:after="0" w:line="18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Any biologics manufactured or distributed by us or our contract manufactures pursuant to FDA approvals would be subject to continuing regulation by the FDA, including recordkeeping requirements and reporting of adverse experiences associated with the product.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Failure to comply with statutory and regulatory requirements can subject a manufacturer to possible legal or regulatory action, such as warning letters, suspension of manufacturing, product seizures, injunctions, civil penalties or criminal prosecution.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halt our clinical trials, require us to recall a product from distribution or withdraw approval of the BLA for that product.</w:t>
      </w:r>
    </w:p>
    <w:p>
      <w:pPr>
        <w:spacing w:after="0" w:line="16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79"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refusal of the FDA to approve applications or supplements to approved applications, or suspension or revocation of product approvals;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FDA closely regulates the post-approval marketing and promotion of biologics, including standards and regulations for direct-to-consumer advertising, off-label promotion, industry-sponsored scientific and educational activities, and promotional activities involving the internet and social media. A company can make only those claims relating to safety and efficacy that are approved by the FDA. Physicians may prescribe legally available biologics for uses that are not described in the product’s labeling and that differ from those tested by us and approved by the FDA. The FDA does not regulate the behavior of physicians in their choice of treatments. The FDA does, however, impose stringent restrictions on manufacturers’ communications regarding off-label use. Failure to comply with these requirements can result in adverse publicity, warning letters, corrective advertising and potential civil and criminal penalties.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Regulatory Exclusivity</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We believe that any of our product candidates approved under a BLA should qualify for a 12-year period of exclusivity against biosimilar competition currently permitted by the Biologics Price Competition and Innovation Act, or BPCIA. Specifically, as part of the Patient Protection and Affordable Care Act enacted in 2010, as amended by the Health Care and Education Affordability Reconciliation Act, collectively the Affordable Care Act, the BPCIA established an abbreviated pathway for the approval of biosimilar and interchangeable biological products. The abbreviated regulatory pathway provides legal authority for the FDA to review and approve biosimilar biologics based on their similarity to an existing brand product, referred to as a reference product, including the possible designation of a biosimilar as interchangeable with a brand product. Under the BPCIA the approval of a biosimilar product may not be made effective by the FDA until 12 years from the date on which the reference product was first licensed. Moreover, the extent to which a biosimilar, once approved, will be substituted for any one of our reference products in a way that is similar to traditional generic substitution for non-biological drug products is not yet clear, and will depend on a number of marketplace and regulatory factors that are still developing. The BPCIA is complex and continues to be interpreted and implemented by the FDA. As a result, its ultimate impact, implementation and meaning is subject to uncertainty. While it is uncertain when any such processes may be fully adopted by the FDA, any such processes that operate to limit the scope or length of exclusivity afforded by the BPCIA could have a material adverse effect on the future commercial prospects for our biological products. In addition, the period of exclusivity provided by the BPCIA only operates against third parties seeking approval via the abbreviated pathway, but would not prevent third parties from pursuing approval via the traditional approval pathway. In addition, foreign regulatory authorities may also provide for exclusivity periods for approved biological products. For example, biological products in the EU may be eligible for at least a ten-year period of exclusivity.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 BLA.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9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Further, if a designated orphan product receives marketing approval for an indication broader than the rare disease or condition for which it received orphan designation, it may not be entitled to orphan exclusivity.</w:t>
      </w:r>
    </w:p>
    <w:p>
      <w:pPr>
        <w:spacing w:after="0" w:line="182"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In August 2015, the FDA granted orphan drug designation to SER-109 for the treatment of recurrent CDI. In December 2017, the FDA granted Orphan Drug Designation to SER-287 for treatment of UC in pediatric patients.</w:t>
      </w:r>
    </w:p>
    <w:p>
      <w:pPr>
        <w:spacing w:after="0" w:line="17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may seek additional orphan designation for one or more of our product candidates, but the FDA may disagree with our analysis of the prevalence of a disease or condition or other criteria for designation and refuse to grant orphan status. We cannot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right="200"/>
        <w:spacing w:after="0" w:line="277" w:lineRule="auto"/>
        <w:rPr>
          <w:sz w:val="20"/>
          <w:szCs w:val="20"/>
          <w:color w:val="auto"/>
        </w:rPr>
      </w:pPr>
      <w:r>
        <w:rPr>
          <w:rFonts w:ascii="Arial" w:cs="Arial" w:eastAsia="Arial" w:hAnsi="Arial"/>
          <w:sz w:val="18"/>
          <w:szCs w:val="18"/>
          <w:color w:val="auto"/>
        </w:rPr>
        <w:t>guarantee that we will obtain designation or approval for any product candidate, or that we will be able to secure orphan product exclusivity if we do obtain approval.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and distribution of our products.</w:t>
      </w:r>
    </w:p>
    <w:p>
      <w:pPr>
        <w:spacing w:after="0" w:line="18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For instance, in the EEA (comprised of the 28 EU Member States plus Iceland, Liechtenstein and Norway) medicinal products must be authorized for marketing by using either the centralized authorization procedure or national authorization procedures.</w:t>
      </w:r>
    </w:p>
    <w:p>
      <w:pPr>
        <w:spacing w:after="0" w:line="170"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i w:val="1"/>
          <w:iCs w:val="1"/>
          <w:color w:val="auto"/>
        </w:rPr>
        <w:t>Centralized procedure</w:t>
      </w:r>
      <w:r>
        <w:rPr>
          <w:rFonts w:ascii="Arial" w:cs="Arial" w:eastAsia="Arial" w:hAnsi="Arial"/>
          <w:sz w:val="17"/>
          <w:szCs w:val="17"/>
          <w:color w:val="auto"/>
        </w:rPr>
        <w:t>—Under the centralized procedure, following the opining of the EMA’s Committee for Medicinal Products for Human Use, or,</w:t>
      </w:r>
      <w:r>
        <w:rPr>
          <w:rFonts w:ascii="Arial" w:cs="Arial" w:eastAsia="Arial" w:hAnsi="Arial"/>
          <w:sz w:val="17"/>
          <w:szCs w:val="17"/>
          <w:i w:val="1"/>
          <w:iCs w:val="1"/>
          <w:color w:val="auto"/>
        </w:rPr>
        <w:t xml:space="preserve"> </w:t>
      </w:r>
      <w:r>
        <w:rPr>
          <w:rFonts w:ascii="Arial" w:cs="Arial" w:eastAsia="Arial" w:hAnsi="Arial"/>
          <w:sz w:val="17"/>
          <w:szCs w:val="17"/>
          <w:color w:val="auto"/>
        </w:rPr>
        <w:t>CHMP, the European Commission issues a single marketing authorization valid across the EEA. The centralized procedure is compulsory for human medicines derived from biotechnology processes advanced therapy medicinal products (such as gene therapy, somatic cell therapy and tissue engineered products), products that contain a new active substance indicated for the treatment of certain diseases, such as HIV/AIDS, cancer, neurodegenerative disorders, diabetes, autoimmune diseases and other immune dysfunctions, viral diseases, and officially designated orphan medicines. For medicines that do not fall within these categories, an applicant has the option of submitting an application for a centralized marketing authorization to the EMA, as long as the medicine concerned contains a new active substance not yet authorized in the EEA, is a significant therapeutic, scientific or technical innovation, or if its authorization would be in the interest of public health in the EEA. Under the centralized procedure the maximum timeframe for the evaluation of an MAA by the EMA is 210 days, excluding clock stops, when additional written or oral information is to be provided by the applicant in response to questions asked by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150 days, excluding clock stops.</w:t>
      </w:r>
    </w:p>
    <w:p>
      <w:pPr>
        <w:spacing w:after="0" w:line="18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i w:val="1"/>
          <w:iCs w:val="1"/>
          <w:color w:val="auto"/>
        </w:rPr>
        <w:t>National authorization procedures</w:t>
      </w:r>
      <w:r>
        <w:rPr>
          <w:rFonts w:ascii="Arial" w:cs="Arial" w:eastAsia="Arial" w:hAnsi="Arial"/>
          <w:sz w:val="18"/>
          <w:szCs w:val="18"/>
          <w:color w:val="auto"/>
        </w:rPr>
        <w:t>—There are also two other possible routes to authorize medicinal products in several countries, which are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products that fall outside the scope of the centralized procedure:</w:t>
      </w:r>
    </w:p>
    <w:p>
      <w:pPr>
        <w:spacing w:after="0" w:line="62" w:lineRule="exact"/>
        <w:rPr>
          <w:sz w:val="20"/>
          <w:szCs w:val="20"/>
          <w:color w:val="auto"/>
        </w:rPr>
      </w:pPr>
    </w:p>
    <w:p>
      <w:pPr>
        <w:jc w:val="both"/>
        <w:ind w:left="1040" w:right="50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Decentralized procedure</w:t>
      </w:r>
      <w:r>
        <w:rPr>
          <w:rFonts w:ascii="Arial" w:cs="Arial" w:eastAsia="Arial" w:hAnsi="Arial"/>
          <w:sz w:val="18"/>
          <w:szCs w:val="18"/>
          <w:color w:val="auto"/>
        </w:rPr>
        <w:t>. Using the decentralized procedure, an applicant may apply for simultaneous authorization in more than one EU</w:t>
      </w:r>
      <w:r>
        <w:rPr>
          <w:rFonts w:ascii="Arial" w:cs="Arial" w:eastAsia="Arial" w:hAnsi="Arial"/>
          <w:sz w:val="18"/>
          <w:szCs w:val="18"/>
          <w:i w:val="1"/>
          <w:iCs w:val="1"/>
          <w:color w:val="auto"/>
        </w:rPr>
        <w:t xml:space="preserve"> </w:t>
      </w:r>
      <w:r>
        <w:rPr>
          <w:rFonts w:ascii="Arial" w:cs="Arial" w:eastAsia="Arial" w:hAnsi="Arial"/>
          <w:sz w:val="18"/>
          <w:szCs w:val="18"/>
          <w:color w:val="auto"/>
        </w:rPr>
        <w:t>country of medicinal products that have not yet been authorized in any EU country and that do not fall within the mandatory scope of the centralized procedure.</w:t>
      </w:r>
    </w:p>
    <w:p>
      <w:pPr>
        <w:spacing w:after="0" w:line="73" w:lineRule="exact"/>
        <w:rPr>
          <w:rFonts w:ascii="Arial" w:cs="Arial" w:eastAsia="Arial" w:hAnsi="Arial"/>
          <w:sz w:val="18"/>
          <w:szCs w:val="18"/>
          <w:color w:val="auto"/>
        </w:rPr>
      </w:pPr>
    </w:p>
    <w:p>
      <w:pPr>
        <w:ind w:left="1040" w:right="80" w:hanging="519"/>
        <w:spacing w:after="0" w:line="286"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Mutual recognition procedure</w:t>
      </w:r>
      <w:r>
        <w:rPr>
          <w:rFonts w:ascii="Arial" w:cs="Arial" w:eastAsia="Arial" w:hAnsi="Arial"/>
          <w:sz w:val="17"/>
          <w:szCs w:val="17"/>
          <w:color w:val="auto"/>
        </w:rPr>
        <w:t>. In the mutual recognition procedure, a medicine is first authorized in one EU Member State,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national procedures of that country. Following this, further marketing authorizations can be sought from other EU countries in a procedure whereby the countries concerned recognize the validity of the original, national marketing authorization.</w:t>
      </w:r>
    </w:p>
    <w:p>
      <w:pPr>
        <w:spacing w:after="0" w:line="16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the EEA, new products authorized for marketing (</w:t>
      </w:r>
      <w:r>
        <w:rPr>
          <w:rFonts w:ascii="Arial" w:cs="Arial" w:eastAsia="Arial" w:hAnsi="Arial"/>
          <w:sz w:val="17"/>
          <w:szCs w:val="17"/>
          <w:i w:val="1"/>
          <w:iCs w:val="1"/>
          <w:color w:val="auto"/>
        </w:rPr>
        <w:t>i.e.</w:t>
      </w:r>
      <w:r>
        <w:rPr>
          <w:rFonts w:ascii="Arial" w:cs="Arial" w:eastAsia="Arial" w:hAnsi="Arial"/>
          <w:sz w:val="17"/>
          <w:szCs w:val="17"/>
          <w:color w:val="auto"/>
        </w:rPr>
        <w:t>,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79"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The criteria for designating an “orphan medicinal product” in the EEA are similar in principle to those in the United States. In the EEA a medicinal product may be designated as orphan if (1) it is intended for the diagnosis, prevention or treatment of a life-threatening or chronically debilitating condition;</w:t>
      </w:r>
    </w:p>
    <w:p>
      <w:pPr>
        <w:ind w:right="80" w:firstLine="8"/>
        <w:spacing w:after="0" w:line="251"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 year orphan market exclusivity period, no marketing authorization application shall be accepted and no marketing authorization shall be granted for a similar medicinal product for the same indication. An orphan product can also obtain an additional two years of market exclusivity in the EU for pediatric studies. The ten 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right="180"/>
        <w:spacing w:after="0" w:line="342" w:lineRule="auto"/>
        <w:rPr>
          <w:sz w:val="20"/>
          <w:szCs w:val="20"/>
          <w:color w:val="auto"/>
        </w:rPr>
      </w:pPr>
      <w:r>
        <w:rPr>
          <w:rFonts w:ascii="Arial" w:cs="Arial" w:eastAsia="Arial" w:hAnsi="Arial"/>
          <w:sz w:val="16"/>
          <w:szCs w:val="16"/>
          <w:color w:val="auto"/>
        </w:rPr>
        <w:t>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addition to FDA restrictions on marketing of pharmaceutical and biological products, other healthcare regulatory laws restrict business practices in the biotechnology industry, which include, but are not limited to, anti-kickback, false claims, physician payment and pricing transparency and data privacy and security laws. The federal Anti-Kickback Statute prohibits the offer, receipt, or payment of remuneration in exchange for or to induce the referral of patients or the use of products or services that would be paid for in whole or part by Medicare, Medicaid or other federal healthcare programs. Remuneration has been broadly interpreted to include anything of value, including cash, improper discounts and free or reduced-price items and services. The government has enforced the Anti-Kickback Statute to reach large settlements with healthcare companies based on sham research or consulting and other financial arrangements with physicians. Further, a person or entity does not need to have actual knowledge of the statute or specific intent to violate it to have committed a violation. In addition, the government may assert that a claim including items or services resulting from a violation of the Anti-Kickback Statute constitutes a false or fraudulent claim for purposes of the False Claims Act (discussed below). Many states have similar laws that apply to their state healthcare programs as well as private payors.</w:t>
      </w:r>
    </w:p>
    <w:p>
      <w:pPr>
        <w:spacing w:after="0" w:line="17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federal false claims and civil monetary penalties laws, including the False Claims Act, or FCA, impose liability on persons who, among other things, knowingly present or cause to be presented, a false, fictitious or fraudulent claim for payment to, or approval by, the federal government, knowingly make, use, or cause to be made or used a false record or statement material to a false or fraudulent claim to the federal government, or knowingly make a false statement to avoid, decrease or conceal an obligation to pay money to the U.S. federal government. The FCA has been used to prosecute persons submitting claims for payment that are inaccurate or fraudulent, that are for services not provided as claimed, or for services that are not medically necessary. Actions under the FCA may be brought by the Attorney General or as a qui tam action by a private individual in the name of the government. Violations of the FCA can result in significant monetary penalties and treble damages. The federal government is using the FCA, and the accompanying threat of significant liability, in its investigation and prosecution of pharmaceutical and biotechnology companies throughout the country, for example, in connection with the promotion of products for unapproved uses and other sales and marketing practices. The government has obtained multi-million and multi–billion-dollar settlements under the FCA in addition to individual criminal convictions under applicable criminal statutes. In addition, companies have been forced to implement extensive corrective action plans, and have often become subject to consent decrees or corporate integrity agreements, severely restricting the manner in which they conduct their business.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7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78"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In addition, there has been a recent trend of increased federal and state regulation of payments made to physicians and other healthcare providers. The Affordable Care Act, among other things, imposed new reporting requirements through the Physician Payments Sunshine Act on certain drug manufacturers for payments made by them to physicians and teaching hospitals, as well as ownership and investment interests held by physicians and their immediate family members. Failure to submit required information may result in civil monetary penalties for all payments, transfers of value or ownership or investment interests that are not timely, accurately and completely reported in an annual submission. Manufacturers must submit reports by the 90th day of each subsequent calendar year. Certain states also mandate implementation of compliance programs, impose restrictions on drug manufacturer marketing practices and/or require the tracking and reporting of gifts, compensation and other remuneration to physicians, and pricing information and marketing expenditures.</w:t>
      </w:r>
    </w:p>
    <w:p>
      <w:pPr>
        <w:spacing w:after="0" w:line="16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right="100"/>
        <w:spacing w:after="0" w:line="259" w:lineRule="auto"/>
        <w:rPr>
          <w:sz w:val="20"/>
          <w:szCs w:val="20"/>
          <w:color w:val="auto"/>
        </w:rPr>
      </w:pPr>
      <w:r>
        <w:rPr>
          <w:rFonts w:ascii="Arial" w:cs="Arial" w:eastAsia="Arial" w:hAnsi="Arial"/>
          <w:sz w:val="18"/>
          <w:szCs w:val="18"/>
          <w:color w:val="auto"/>
        </w:rPr>
        <w:t>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87" w:lineRule="exact"/>
        <w:rPr>
          <w:sz w:val="20"/>
          <w:szCs w:val="20"/>
          <w:color w:val="auto"/>
        </w:rPr>
      </w:pPr>
    </w:p>
    <w:p>
      <w:pPr>
        <w:jc w:val="both"/>
        <w:ind w:right="720" w:firstLine="518"/>
        <w:spacing w:after="0" w:line="312" w:lineRule="auto"/>
        <w:rPr>
          <w:sz w:val="20"/>
          <w:szCs w:val="20"/>
          <w:color w:val="auto"/>
        </w:rPr>
      </w:pPr>
      <w:r>
        <w:rPr>
          <w:rFonts w:ascii="Arial" w:cs="Arial" w:eastAsia="Arial" w:hAnsi="Arial"/>
          <w:sz w:val="16"/>
          <w:szCs w:val="16"/>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4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us, we may be subject to penalties, including, without limitation, civil and criminal penalties, damages, fines, the curtailment or restructuring of our operations, exclusion from participation in federal and state healthcare programs and imprisonment, any of which could adversely affect our ability to operate our business and our financial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both domestic and foreign markets, sales and reimbursement of any approved products will depend, in part, on the extent to which third-party payors, such as government health programs, commercial insurance and managed healthcare organizations provide coverage, and establish adequate reimbursement levels for, such products. Third-party payors are increasingly challenging the prices charged for medical products and services and imposing controls to manage costs. Third-party payors may limit, or hinder, coverage to specific products on an approved list, also known as a formulary, which might not include all of the FDA-approved products for a particular indication. Additionally, we may need to conduct expensive pharmacoeconomic studies in order to demonstrate the cost-effectiveness of our products, as well as provide rebates and discounts which may impact the net selling price of our products. If third-party payors do not consider our products to be cost-effective compared to other therapies, the payors may not cover our products as a benefit under their plans or, if they do, the level of reimbursement may not be sufficient to allow us to sell our products on a profitable basis.</w:t>
      </w:r>
    </w:p>
    <w:p>
      <w:pPr>
        <w:spacing w:after="0" w:line="16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containment of healthcare costs also has become a priority of federal and state governments and the prices of pharmaceutical and biological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154"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Outside the United States, ensuring adequate coverage and payment for our products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Conducting such a clinical trial could be expensive and result in delays in our commercialization efforts. Third-party payors are challenging the prices charged for medical products and services, and many third-party payors limit reimbursement for newly approved healthcare products. Recent budgetary pressures in many countries are also causing governments to consider or implement various cost-containment measures, such as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 any of our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the United States, there have been a number of federal and state proposals during the last few years regarding the pricing of pharmaceutical and biological products, government control and other changes to the healthcare system. It is uncertain what legislative proposals will be adopted or what actions federal, state or private payors for medical goods and services may take in response to any healthcare reform proposals or legislation. We cannot predict the effect medical or healthcare reforms may have on our business, and no assurance can be given that any such reforms will not have a material adverse effect.</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2" w:name="page33"/>
    <w:bookmarkEnd w:id="32"/>
    <w:p>
      <w:pPr>
        <w:ind w:right="280" w:firstLine="518"/>
        <w:spacing w:after="0" w:line="342" w:lineRule="auto"/>
        <w:rPr>
          <w:sz w:val="20"/>
          <w:szCs w:val="20"/>
          <w:color w:val="auto"/>
        </w:rPr>
      </w:pPr>
      <w:r>
        <w:rPr>
          <w:rFonts w:ascii="Arial" w:cs="Arial" w:eastAsia="Arial" w:hAnsi="Arial"/>
          <w:sz w:val="16"/>
          <w:szCs w:val="16"/>
          <w:color w:val="auto"/>
        </w:rPr>
        <w:t>By way of example, in March 2010, the Affordable Care Act was signed into law, which, among other things, includes changes to the coverage and payment for pharmaceutical and biological products under government health care programs. Among other things, the Affordable Care Act:</w:t>
      </w:r>
    </w:p>
    <w:p>
      <w:pPr>
        <w:spacing w:after="0" w:line="16" w:lineRule="exact"/>
        <w:rPr>
          <w:sz w:val="20"/>
          <w:szCs w:val="20"/>
          <w:color w:val="auto"/>
        </w:rPr>
      </w:pPr>
    </w:p>
    <w:p>
      <w:pPr>
        <w:jc w:val="both"/>
        <w:ind w:left="1040" w:right="34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73" w:lineRule="exact"/>
        <w:rPr>
          <w:rFonts w:ascii="Arial" w:cs="Arial" w:eastAsia="Arial" w:hAnsi="Arial"/>
          <w:sz w:val="18"/>
          <w:szCs w:val="18"/>
          <w:color w:val="auto"/>
        </w:rPr>
      </w:pPr>
    </w:p>
    <w:p>
      <w:pPr>
        <w:ind w:left="1040" w:right="80" w:hanging="519"/>
        <w:spacing w:after="0" w:line="342"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extended Medicaid drug rebates, previously due only on fee-for-service utilization, to Medicaid managed care utilization, and created an alternate rebate formula for new formulations of certain existing products that is intended to increase the amount of rebates due on those drugs;</w:t>
      </w:r>
    </w:p>
    <w:p>
      <w:pPr>
        <w:spacing w:after="0" w:line="15" w:lineRule="exact"/>
        <w:rPr>
          <w:rFonts w:ascii="Arial" w:cs="Arial" w:eastAsia="Arial" w:hAnsi="Arial"/>
          <w:sz w:val="16"/>
          <w:szCs w:val="16"/>
          <w:color w:val="auto"/>
        </w:rPr>
      </w:pPr>
    </w:p>
    <w:p>
      <w:pPr>
        <w:ind w:left="1040" w:right="80" w:hanging="519"/>
        <w:spacing w:after="0" w:line="302"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expanded the types of entities eligible for the 340B drug discount program that mandates discounts to certain hospitals, community centers and other qualifying providers. With the exception of children’s hospitals, these newly eligible entities will not be eligible to receive discounted 340B pricing on orphan drugs. In addition, because 340B pricing is determined based on AMP and Medicaid drug rebate data, the revisions to the Medicaid rebate formula and AMP definition described above could cause the required 340B discounts to increase; and</w:t>
      </w:r>
    </w:p>
    <w:p>
      <w:pPr>
        <w:spacing w:after="0" w:line="46" w:lineRule="exact"/>
        <w:rPr>
          <w:rFonts w:ascii="Arial" w:cs="Arial" w:eastAsia="Arial" w:hAnsi="Arial"/>
          <w:sz w:val="16"/>
          <w:szCs w:val="16"/>
          <w:color w:val="auto"/>
        </w:rPr>
      </w:pPr>
    </w:p>
    <w:p>
      <w:pPr>
        <w:ind w:left="1040" w:right="34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50% point-of-sale-discount off the negotiated price of applicable brand drugs to eligible beneficiaries during their coverage gap period as a condition for the manufacturers’ outpatient drugs to be covered under Medicare Part D.</w:t>
      </w:r>
    </w:p>
    <w:p>
      <w:pPr>
        <w:spacing w:after="0" w:line="181"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There have been judicial and Congressional challenges to certain aspects of the Affordable Care Act, and we expect there will be additional challenges and amendments to the Affordable Care Act in the future, particularly in light of the current Presidential administration and U.S. Congress.</w:t>
      </w:r>
    </w:p>
    <w:p>
      <w:pPr>
        <w:spacing w:after="0" w:line="14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Other legislative changes have been proposed and adopted in the United States since the Affordable Care Act was enacted. In For example, the Budget Control Act of 2011, enacted in August 2011, among other things, included reductions of Medicare payments to providers of 2% per fiscal year, which went into effect in April 2013 and, due to subsequent legislative amendments, will remain in effect through 2025 unless additional Congressional action is taken. In January 2013, the American Taxpayer Relief Act of 2012 was signed into law, which, among other things, further reduced Medicare payments to several types of providers, including hospitals,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biological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Adoption of other new legislation at the federal or state level could further limit reimbursement for pharmaceuticals, including our product candidates if approved.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As of December 31, 2017, we had 138 full-time permanent employees. 36 employees work in administration and operations and 102 work in research and development.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 xml:space="preserve">We were incorporated in the State of Delaware in 2010 under the name Newco LS21, Inc. In October 2011, we changed our name to Seres Health, Inc., and in May 2015, we changed our name to Seres Therapeutics, Inc. Our principal executive offices are located at 200 Sidney Street, Cambridge, Massachusetts 02139 and our telephone number is (617) 945-9626. Our website address is </w:t>
      </w:r>
      <w:r>
        <w:rPr>
          <w:rFonts w:ascii="Arial" w:cs="Arial" w:eastAsia="Arial" w:hAnsi="Arial"/>
          <w:sz w:val="17"/>
          <w:szCs w:val="17"/>
          <w:i w:val="1"/>
          <w:iCs w:val="1"/>
          <w:color w:val="auto"/>
        </w:rPr>
        <w:t>www.serestherapeutics.com</w:t>
      </w:r>
      <w:r>
        <w:rPr>
          <w:rFonts w:ascii="Arial" w:cs="Arial" w:eastAsia="Arial" w:hAnsi="Arial"/>
          <w:sz w:val="17"/>
          <w:szCs w:val="17"/>
          <w:color w:val="auto"/>
        </w:rPr>
        <w:t>. The information contained in, or accessible through, our website does not constitute a part of this annual report on Form 10-K.</w:t>
      </w:r>
    </w:p>
    <w:p>
      <w:pPr>
        <w:spacing w:after="0" w:line="17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or the Exchange Act, and, accordingly, file reports, proxy statements and other information with the Securities and Exchange Commission. Such reports, proxy statements and other information can be read and copied at the public reference facilities maintained by the Securities and Exchange Commission at the Public Reference Room, 100 F Street, NE, Washington, D.C. 20549. Information regarding the operation of the Public Reference Room may be obtained by calling the Securities and Exchange Commission at 1-800-SEC-0330.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right="160"/>
        <w:spacing w:after="0" w:line="277" w:lineRule="auto"/>
        <w:rPr>
          <w:sz w:val="20"/>
          <w:szCs w:val="20"/>
          <w:color w:val="auto"/>
        </w:rPr>
      </w:pPr>
      <w:r>
        <w:rPr>
          <w:rFonts w:ascii="Arial" w:cs="Arial" w:eastAsia="Arial" w:hAnsi="Arial"/>
          <w:sz w:val="18"/>
          <w:szCs w:val="18"/>
          <w:color w:val="auto"/>
        </w:rPr>
        <w:t>The Securities and Exchange Commission maintains a web site (http://www.sec.gov) that contains material regarding issuers that file electronically, such as ourselves, with the Securities and Exchange Commission.</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Securities and Exchange Commission.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i w:val="1"/>
          <w:iCs w:val="1"/>
          <w:color w:val="auto"/>
        </w:rPr>
        <w:t>Our business faces significant risks and uncertainties. Accordingly, in evaluating our business, you should carefully consider the risk factors discussed below, as well as the other information in this Annual Report on Form 10-K, including our consolidated financial statements and the related notes and “Management’s Discussion and Analysis of Results of Operations and Financial Condition.” The occurrence of any of the events or developments described below or elsewhere in this report could harm our business, financial condition, results of operations or growth prospects.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a development-stage company and have incurred significant losses since our inception. We expect to incur losses for the foreseeable future and may never achieve or maintain profitability.</w:t>
      </w:r>
    </w:p>
    <w:p>
      <w:pPr>
        <w:spacing w:after="0" w:line="62"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Since inception, we have incurred significant operating losses. Our net loss was $89.4 million for the year ended December 31, 2017, $91.6 million for the year ended December 31, 2016, and $54.8 million for the year ended December 31, 2015. As of December 31, 2017, we had an accumulated deficit of $263.6 million. To date, we have financed our operations through the initial public offering of our common stock, private placements of our preferred stock, milestone payments under the licensing agreement with Nestec, Ltd., or NHS, and loan financing. We have devoted substantially all of our financial resources and efforts to developing our microbiome therapeutics platform, identifying potential product candidates and conducting pre-clinical studies and clinical trials. We have not completed development of any of our product candidates, which we call Ecobiotic microbiome therapeutics, or other drugs or biologics. We expect to continue to incur significant expenses and operating losses for the foreseeable future. We anticipate that our expenses may increase substantially as we:</w:t>
      </w:r>
    </w:p>
    <w:p>
      <w:pPr>
        <w:spacing w:after="0" w:line="84"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the clinical development of SER-109, our lead product candidate, in the Phase 3 clinical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the clinical development of SER-287 for the treatment of UC in adults and children and potential other studies of IBD;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 the clinical development of SER-401;</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additional Ecobiotic microbiome therapeutic candidates, including SER-401, SER-155, and SER-301;</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 our obligations under the collaboration agreement with NHS;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 and</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0"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in the preliminary stages of many of these activities. We may never succeed in these activities and, even if we do, may never generate revenue that is significant enough to achieve profitability.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ind w:right="420" w:firstLine="518"/>
        <w:spacing w:after="0" w:line="277" w:lineRule="auto"/>
        <w:rPr>
          <w:sz w:val="20"/>
          <w:szCs w:val="20"/>
          <w:color w:val="auto"/>
        </w:rPr>
      </w:pPr>
      <w:r>
        <w:rPr>
          <w:rFonts w:ascii="Arial" w:cs="Arial" w:eastAsia="Arial" w:hAnsi="Arial"/>
          <w:sz w:val="18"/>
          <w:szCs w:val="18"/>
          <w:color w:val="auto"/>
        </w:rPr>
        <w:t>Because of the numerous risks and uncertainties associated with pharmaceutical product and biological development, we are unable to accurately predict the timing or amount of increased expenses or when, or if, we will be able to achieve profitability.</w:t>
      </w:r>
    </w:p>
    <w:p>
      <w:pPr>
        <w:spacing w:after="0" w:line="17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even continue our operations.</w:t>
      </w:r>
    </w:p>
    <w:p>
      <w:pPr>
        <w:spacing w:after="0" w:line="289"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1"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Our expenses may increase in connection with our ongoing activities, particularly as we continue the clinical development of SER-109, including conducting the Phase 3 clinical study, continue the clinical development of SER-287, including conducting the next clinical study, complete our Phase 1b clinical study of SER-262, initiate clinical studies of SER-401, and continue to research, develop and initiate clinical trials of SER-301 and SER-155 and our other product candidates. In addition, if we obtain regulatory approval for any of our product candidates, we expect to incur significant commercialization expenses related to product manufacturing, marketing, sales and distribution. Furthermore, we have incurred and expect to continue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7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expect that our existing cash, cash equivalents and investments will enable us to fund our operating expenses and capital expenditure requirements through the first quarter of 2019. This estimate excludes net cash flows from future business development activities. In addition, the specifics of future clinical trial activities could impact capital requirements and cash projections. We have based this estimate on assumptions that may prove to be wrong, and we could use our capital resources sooner than we currently expect. We intend to focus in the near-term on the highest priority clinical programs, which we believe will optimally advance our pipeline: SER-287 for UC; SER-109 for recurrent CDI; and the SER-401 immuno-oncology program. Our future capital requirements will depend on many factors, including:</w:t>
      </w:r>
    </w:p>
    <w:p>
      <w:pPr>
        <w:spacing w:after="0" w:line="85"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and results of our Phase 3 clinical study of SER-109;</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and results of future clinical studies of SER-287;</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and results of future clinical studies of SER-262;</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and results of our studies in immuno-oncology;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clinical supplies for our product candidates;</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 including SER-301 and SER-155;</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right="9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 w:name="page36"/>
    <w:bookmarkEnd w:id="35"/>
    <w:p>
      <w:pPr>
        <w:ind w:right="200" w:firstLine="518"/>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may make it difficult to evaluate the success of our business to date and to assess our future viability.</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Since our inception in October 2010, we have devoted substantially all of our resources to developing our clinical and pre-clinical program, building our intellectual property portfolio, developing our supply chain, planning our business, raising capital and providing general and administrative support for these operations. We have completed our Phase 1b and a Phase 2 clinical study of SER-109, our lead product candidate and have reported top-line data in our Phase 1b study of SER-287 and partial top-line data for our Phase 1b study in SER-262. We have not yet demonstrated our ability to successfully complete any Phase 3 clinical study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 to quarter and year to year due to a variety of factors, many of which are beyond our control. Consequently, any predictions made about our future success or viability may not be as accurate as they could be if we had a longer operating history.</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Other than SER-109, we are early in our development efforts and may not be successful in our efforts to use our microbiome therapeutics platform to build a pipeline of product candidates and develop marketable drugs.</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using our microbiome therapeutics platform to develop Ecobiotic microbiome therapeutics. We are at an early stage of development and our platform has not yet, and may never, lead to approvable or marketable drugs. We are developing additional product candidates that we intend to be used to prevent infection and treat diseases where the microbiome is implicated. We may have problems applying our technologies to these areas, and our product candidates may not be effective in preventing infection and disease. Our product candidates may not be suitable for clinical development, including as a result of their harmful side effects, limited efficacy or other characteristics that indicate that they are unlikely to be products that will receive marketing approval and achieve market acceptance.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17"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completion of pre-clinical studies and clinical trials with positive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our own, commercial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entering into new collaborations throughout the development process as appropriate, from pre-clinical studies through to commercialization;</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coverage and adequate reimbursement by third-party payors, including government payors, for our products,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products and technology.</w:t>
      </w:r>
    </w:p>
    <w:p>
      <w:pPr>
        <w:spacing w:after="0" w:line="24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If we do not successfully develop and commercialize product candidates, such as SER-109, we will not be able to obtain product revenue in future periods, which likely would result in significant harm to our financial position and adversely affect our stock price.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Our product candidates are based on microbiome therapeutics, which is an unproven approach to therapeutic intervention.</w:t>
      </w:r>
    </w:p>
    <w:p>
      <w:pPr>
        <w:spacing w:after="0" w:line="117"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All of our product candidates are based on microbiome therapy, a therapeutic approach that is designed to prevent infection and treat disease by restoring the function of a dysbiotic microbiome. We have not, nor to our knowledge has any other company, received regulatory approval for, or manufactured on a commercial scale, a therapeutic based on this approach. We cannot be certain that our approach will lead to the development of approvable or marketable products or that we will be able to manufacture at commercial scale, if approved. In addition, our Ecobiotic microbiome therapeutics may have different effectiveness rates in various indications and in different geographical areas. Finally, the FDA or other regulatory agencies may lack experience in evaluating the safety and efficacy of products based on microbiome therapeutics, which could result in a longer than expected regulatory review process, increase our expected development costs and delay or prevent commercialization of our product candidates. For example, our SER-109 Phase 2 clinical study’s primary endpoint of reducing the relative risk of CDI recurrence at up to eight-weeks after treatment was not achieved. After analysis of the previous studies, we initiated a Phase 3 clinical study of SER-109 (ECOSPOR III) in patients with multiply recurrent CDI.</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microbiome therapeutics platform relies on third parties for biological materials, including human stool. Some biological materials have not always met our expectations or requirements, and any disruption in the supply of these biological materials could materially adversely affect our business. For example, if any supplied biological materials are contaminated with disease organisms, we would not be able to use such biological materials. Although we have control processes and screening procedures, biological materials are susceptible to damage and contamination and may contain active pathogens. Improper storage of these materials, by us or any third-party suppliers, may require us to destroy some of our materials or products, which could delay the development or commercialization of our product.</w:t>
      </w:r>
    </w:p>
    <w:p>
      <w:pPr>
        <w:spacing w:after="0" w:line="30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risky, lengthy and expensive process, with an uncertain outcome. We may incur additional costs or experience delays in completing, or ultimately be unable to complete, the development and commercialization of our product candidates.</w:t>
      </w:r>
    </w:p>
    <w:p>
      <w:pPr>
        <w:spacing w:after="0" w:line="1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It is difficult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failed clinical trial can occur at any stage of testing. The outcome of pre-clinical testing and early clinical trials may not be predictive of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adverse safety profiles, notwithstanding promising results in earlier studies, and we cannot be certain that we will not face similar setbacks.</w:t>
      </w:r>
    </w:p>
    <w:p>
      <w:pPr>
        <w:spacing w:after="0" w:line="17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addition, we cannot be certain as to what type and how many clinical trials the FDA, or other regulators, will require us to conduct before we may successfully gain approval to market SER-109 or any of our other product candidates.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In 2014, the FDA had indicated that we may be required to conduct more than one Phase 3 clinical trial of SER-109 in order to gain approval. More recently, the FDA has indicated that a single Phase 3 study for SER-109 will be sufficient for approval provided that we show a persuasive clinical effect and certain chemistry, manufacturing and controls parameters.</w:t>
      </w:r>
    </w:p>
    <w:p>
      <w:pPr>
        <w:spacing w:after="0" w:line="178"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1040" w:right="30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failures or delays in reaching agreement on acceptable clinical trial contracts or clinical trial protocols with prospective trial sites;</w:t>
      </w:r>
    </w:p>
    <w:p>
      <w:pPr>
        <w:spacing w:after="0" w:line="117" w:lineRule="exact"/>
        <w:rPr>
          <w:rFonts w:ascii="Arial" w:cs="Arial" w:eastAsia="Arial" w:hAnsi="Arial"/>
          <w:sz w:val="18"/>
          <w:szCs w:val="18"/>
          <w:color w:val="auto"/>
        </w:rPr>
      </w:pPr>
    </w:p>
    <w:p>
      <w:pPr>
        <w:ind w:left="1040" w:right="440" w:hanging="519"/>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clinical trials of our product candidates may demonstrate undesirable side effects or produce negative or inconclusive results, and we may decide, or regulators may require us, to conduct additional clinical trials or abandon product development programs;</w:t>
      </w:r>
    </w:p>
    <w:p>
      <w:pPr>
        <w:spacing w:after="0" w:line="38" w:lineRule="exact"/>
        <w:rPr>
          <w:rFonts w:ascii="Arial" w:cs="Arial" w:eastAsia="Arial" w:hAnsi="Arial"/>
          <w:sz w:val="17"/>
          <w:szCs w:val="17"/>
          <w:color w:val="auto"/>
        </w:rPr>
      </w:pPr>
    </w:p>
    <w:p>
      <w:pPr>
        <w:ind w:left="1040" w:right="160" w:hanging="519"/>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7" w:name="page38"/>
    <w:bookmarkEnd w:id="37"/>
    <w:p>
      <w:pPr>
        <w:ind w:left="1040" w:right="2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62" w:lineRule="exact"/>
        <w:rPr>
          <w:rFonts w:ascii="Arial" w:cs="Arial" w:eastAsia="Arial" w:hAnsi="Arial"/>
          <w:sz w:val="18"/>
          <w:szCs w:val="18"/>
          <w:color w:val="auto"/>
        </w:rPr>
      </w:pPr>
    </w:p>
    <w:p>
      <w:pPr>
        <w:ind w:left="1040" w:right="320" w:hanging="519"/>
        <w:spacing w:after="0" w:line="3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28" w:lineRule="exact"/>
        <w:rPr>
          <w:rFonts w:ascii="Arial" w:cs="Arial" w:eastAsia="Arial" w:hAnsi="Arial"/>
          <w:sz w:val="17"/>
          <w:szCs w:val="17"/>
          <w:color w:val="auto"/>
        </w:rPr>
      </w:pPr>
    </w:p>
    <w:p>
      <w:pPr>
        <w:ind w:left="1040" w:right="36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regarding trials managed by any future collaborators, our collaborators may face any of the above issues, and may conduct clinical trials in ways they view as advantageous to them but potentially suboptimal for us.</w:t>
      </w:r>
    </w:p>
    <w:p>
      <w:pPr>
        <w:spacing w:after="0" w:line="170"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3"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lose the support of current or any future collaborators, requiring us to bear more of the burden of development of certain compounds;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we intend or desire;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July 29, 2016, we announced the interim eight-week results from our SER-109 Phase 2 clinical study for the prevention of multiply recurrent CDI. The study’s primary endpoint of reducing the relative risk of CDI recurrence at up to eight-weeks after treatment was not achieved. In order to understand the difference in outcome between the Phase 1b and Phase 2 clinical studies for SER-109, we conducted an analysis of the Phase 2 clinical study. In June 2017, we initiated a Phase 3 clinical study of SER-109 (ECOSPOR III) in patients with multiply recurrent CDI. Additional clinical trials or changes in our development plans could cause us to incur significant development costs, delay or prevent the commercialization of SER-109 or otherwise adversely affect our business.</w:t>
      </w:r>
    </w:p>
    <w:p>
      <w:pPr>
        <w:spacing w:after="0" w:line="19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2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are developing our lead product candidate, SER-109, to reduce recurrence of CDI in patients suffering from recurrent CDI. There is a limited number of patients from which to draw for clinical studies.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11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burden, or perceived burden, of the clinical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Our inability to enroll a sufficient number of patients for our clinical trials or a delayed rate of enrollment would result in significant delays and could require us to abandon one or more clinical trials altogether. Enrollment delays in our clinical trials would result in increased development costs for our product candidates, which would cause the value of our company to decline and limit our ability to obtain additional financing.</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we will not be able to commercialize our product candidates or will not be able to do so as soon as anticipated, and our ability to generate revenue will be materially impaired.</w:t>
      </w:r>
    </w:p>
    <w:p>
      <w:pPr>
        <w:spacing w:after="0" w:line="6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in any jurisdiction will prevent us from commercializing the product candidate in that jurisdiction, and may affect our plans for commercialization in other jurisdictions as well.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process of obtaining marketing approvals, both in the United States and abroad, is expensive, risky and may take many years. The scope and amount of clinical data required to obtain marketing approvals can vary substantially from jurisdiction to jurisdiction, and it may be difficult to predict whether a particular regulatory body will require additional or different studies than those conducted by a sponsor, especially for novel product candidates such as our Ecobiotic microbiome therapeutics. The FDA or foreign regulatory authorities may delay, limit, or deny approval to market our product candidates for many reasons, including: our inability to demonstrate that the clinical benefits of our product candidates outweigh any safety or other perceived risks; the regulatory authority’s disagreement with the interpretation of data from nonclinical or clinical studies; the regulatory agency’s requirement that we conduct additional pre-clinical studies and clinical trials; changes in marketing approval policies during the development period; changes in or the enactment of additional statutes or regulations, or changes in regulatory review process for each submitted product application; or the regulatory authority’s failure to approve the manufacturing processes or third-party manufacturers with which we contract. Regulatory authorities have substantial discretion in the approval process and may refuse to accept a marketing application if deficient.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Of the large number of drugs in development, only a small percentage successfully complete the FDA or other regulatory approval processes and are commercialized.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right="120" w:firstLine="518"/>
        <w:spacing w:after="0" w:line="297" w:lineRule="auto"/>
        <w:rPr>
          <w:sz w:val="20"/>
          <w:szCs w:val="20"/>
          <w:color w:val="auto"/>
        </w:rPr>
      </w:pPr>
      <w:r>
        <w:rPr>
          <w:rFonts w:ascii="Arial" w:cs="Arial" w:eastAsia="Arial" w:hAnsi="Arial"/>
          <w:sz w:val="16"/>
          <w:szCs w:val="16"/>
          <w:color w:val="auto"/>
        </w:rPr>
        <w:t>Furthermore, our product candidates may not receive marketing approval even if they achieve their specified endpoints in clinical trials. Clinical data is often susceptible to varying interpretations and many companies that have believed that their products performed satisfactorily in clinical trials have nonetheless failed to obtain regulatory agency approval for their products. The FDA or foreign regulatory authorities may disagree with our trial design and our interpretation of data from nonclinical and clinical studies. Upon the FDA’s review of data from any pivotal trial, it may request that the sponsor conduct additional analyses of the data and, if it believes the data are not satisfactory, could advise the sponsor to delay filing a marketing application.</w:t>
      </w:r>
    </w:p>
    <w:p>
      <w:pPr>
        <w:spacing w:after="0" w:line="15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Even if we eventually complete clinical testing and receive approval of a biologics license application, or BLA, or foreign marketing authorization for one of our product candidates, the FDA or the applicable foreign regulatory agency may grant approval contingent on the performance of costly additional clinical trials, which may be required after approval. The FDA or the applicable foreign regulatory agency may also approve our product candidates for a more limited indication and/or a narrower patient population than we originally request, and the FDA, or applicable foreign regulatory agency, may not approve the labeling that we believe is necessary or desirable for the successful commercialization of our product candidates. Any delay in obtaining, or inability to obtain, applicable regulatory approval would delay or prevent commercialization of our product candidates and would materially adversely impact our business and prospects.</w:t>
      </w:r>
    </w:p>
    <w:p>
      <w:pPr>
        <w:spacing w:after="0" w:line="189"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The development of therapeutic products targeting the underlying biology of the human microbiome is an emerging field, and it is possible that the FDA and other regulatory authorities could issue regulations or new policies in the future affecting our Ecobiotic microbiome therapeutics that could adversely affect our product candidates.</w:t>
      </w:r>
    </w:p>
    <w:p>
      <w:pPr>
        <w:spacing w:after="0" w:line="18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may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FDA Fast Track designation. Fast Track designation provides increased opportunities for sponsor meetings with the FDA during pre-clinical and clinical development, in addition to the potential for rolling review once a marketing application is filed. The FDA has broad discretion whether or not to grant this designation, and even if we believe a particular product candidate is eligible for this designation, we cannot be certain that the FDA would decide to grant it. Even if we do receive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clinical development program.</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regulatory review or approval process, and it does not increase the likelihood that our product candidates will receive marketing approval.</w:t>
      </w:r>
    </w:p>
    <w:p>
      <w:pPr>
        <w:spacing w:after="0" w:line="62"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We have received Breakthrough Therapy designation for SER-109, and we may seek a Breakthrough Therapy designation for our other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in early clinical development. For drugs that have been designated as breakthrough therapies, interaction and communication between the FDA and the sponsor can help to identify the most efficient path for clinical development. Drugs designated as breakthrough therapies by the FDA are also eligible for rolling review of the associated marketing application, meaning that the agency may review portions of the marketing application before the sponsor submits the complete application, as well as priority review, where the agency aims to act on the application within eight months.</w:t>
      </w:r>
    </w:p>
    <w:p>
      <w:pPr>
        <w:spacing w:after="0" w:line="192"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receipt of a Breakthrough Therapy designation for a product candidate may not result in a faster development process, review or approval compared to conventional FDA procedures and does not assure ultimate approval by the FDA. In addition, not all products designated as breakthrough therapies ultimately will be shown to have the substantial improvement over available therapies suggested by the preliminary clinical evidence at the time of designation. As a result, if the Breakthrough Therapy designation for SER-109 or any future designation we receive is no longer supported by subsequent data, the FDA may rescind the designation.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We may seek orphan drug designation for some of our product candidates, but may not be able to obtain it.</w:t>
      </w:r>
    </w:p>
    <w:p>
      <w:pPr>
        <w:spacing w:after="0" w:line="11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We have obtained orphan drug designation from the FDA for SER-109 for recurrent CDI and SER-287 for pediatric ulcerative colitis, and may seek orphan drug designation and exclusivity for some of our future product candidates. Regulatory authorities in some jurisdictions, including the United States and Europe,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annually in the United States.</w:t>
      </w:r>
    </w:p>
    <w:p>
      <w:pPr>
        <w:spacing w:after="0" w:line="18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or biologic for that time period.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a sufficient quantity of the drug or biologic to meet the needs of patients with the rare disease or condition.</w:t>
      </w:r>
    </w:p>
    <w:p>
      <w:pPr>
        <w:spacing w:after="0" w:line="165"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Orphan drug exclusivity for a product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27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jc w:val="both"/>
        <w:ind w:right="240"/>
        <w:spacing w:after="0" w:line="340" w:lineRule="auto"/>
        <w:rPr>
          <w:sz w:val="20"/>
          <w:szCs w:val="20"/>
          <w:color w:val="auto"/>
        </w:rPr>
      </w:pPr>
      <w:r>
        <w:rPr>
          <w:rFonts w:ascii="Arial" w:cs="Arial" w:eastAsia="Arial" w:hAnsi="Arial"/>
          <w:sz w:val="15"/>
          <w:szCs w:val="15"/>
          <w:b w:val="1"/>
          <w:bCs w:val="1"/>
          <w:i w:val="1"/>
          <w:iCs w:val="1"/>
          <w:color w:val="auto"/>
        </w:rPr>
        <w:t>The Collaboration and License Agreement, or the License Agreement, with NHS is important to our business. If we or NHS fail to adequately perform under the License Agreement, or if we or NHS terminate the License Agreement, the development and commercialization of our CDI and IBD product candidates, including SER-109, SER-262, SER-287, and SER-301, would be delayed or terminated and our business would be adversely affected.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License Agreement may be terminated:</w:t>
      </w:r>
    </w:p>
    <w:p>
      <w:pPr>
        <w:spacing w:after="0" w:line="117" w:lineRule="exact"/>
        <w:rPr>
          <w:sz w:val="20"/>
          <w:szCs w:val="20"/>
          <w:color w:val="auto"/>
        </w:rPr>
      </w:pPr>
    </w:p>
    <w:p>
      <w:pPr>
        <w:ind w:left="1040" w:right="4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NHS in the event of serious safety issues related to SER-109, SER-262, SER-287, SER-301 or other specific products added under the License Agreement, or, collectively, the NHS Collaboration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us if NHS challenges the validity or enforceability of any of our licensed patents;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either NHS or us in the event of the other party’s uncured material breach or insolvency.</w:t>
      </w:r>
    </w:p>
    <w:p>
      <w:pPr>
        <w:spacing w:after="0" w:line="225"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Upon termination of the License Agreement, all licenses granted to NHS by us will terminate, and all rights in and to the NHS Collaboration Products held by NHS will revert to us. If we commit a material breach of the License Agreement, NHS may elect not to terminate the License Agreement but instead apply specified adjustments to its payment obligations and other terms and conditions of the License Agreement. If NHS were to make such adjustments, the funding from and benefits of the License Agreement could be diminished, which could adversely affect our financial condition. Unless the License Agreement is terminated by us for NHS’ uncured material breach, upon termination of the License Agreement, NHS will be eligible to receive post-termination royalties from us until NHS has recouped certain development costs related to the NHS Collaboration Products and specified percentages of any milestone payments paid to us under the License Agreement prior to termination, which could have a material adverse effect on our business.</w:t>
      </w:r>
    </w:p>
    <w:p>
      <w:pPr>
        <w:spacing w:after="0" w:line="16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Termination of the License Agreement could cause significant delays in our product development and commercialization efforts that could prevent us from commercializing our CDI and IBD product candidates, outside of the United States and Canada, without first expanding our internal capabilities or entering into another agreement with a third party. Any alternative collaboration or license could also be on less favorable terms to us. In addition, under the License Agreement, NHS agreed to provide funding for certain clinical development activities. If the License Agreement were terminated, we may need to refund those payments and seek additional financing to support the research and development of any terminated products or discontinue any terminated products, which could have a material adverse effect on our business.</w:t>
      </w:r>
    </w:p>
    <w:p>
      <w:pPr>
        <w:spacing w:after="0" w:line="19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Under the License Agreement, we are dependent upon NHS to successfully commercialize any NHS Collaboration Products outside of the United States and Canada. We cannot directly control NHS’ commercialization activities or the resources it allocates to our product candidates. Our interests and NHS’ interests may differ or conflict from time to time, or we may disagree with NHS’ level of effort or resource allocation. NHS may internally prioritize our product candidates differently than we do or it may not allocate sufficient resources to effectively or optimally commercialize them. If these events were to occur, our business would be adversely affected.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right="40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62"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We expect to continue to rely on third parties, such as contract research organizations, or CROs, clinical data management organizations, medical institutions and clinical investigators, to conduct and manage our clinical trials.</w:t>
      </w:r>
    </w:p>
    <w:p>
      <w:pPr>
        <w:spacing w:after="0" w:line="170"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with which we must comply. We also are required to register ongoing clinical trials and post the results of completed clinical trials on a government-sponsored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specified timeframes. Failure to do so can result in fines, adverse publicity and civil and criminal sanctions.</w:t>
      </w:r>
    </w:p>
    <w:p>
      <w:pPr>
        <w:spacing w:after="0" w:line="16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and may not be able to, or may be delayed in our efforts to, successfully commercialize our product candidates.</w:t>
      </w:r>
    </w:p>
    <w:p>
      <w:pPr>
        <w:spacing w:after="0" w:line="178"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9" w:lineRule="exact"/>
        <w:rPr>
          <w:sz w:val="20"/>
          <w:szCs w:val="20"/>
          <w:color w:val="auto"/>
        </w:rPr>
      </w:pPr>
    </w:p>
    <w:p>
      <w:pPr>
        <w:jc w:val="both"/>
        <w:ind w:right="100"/>
        <w:spacing w:after="0" w:line="340" w:lineRule="auto"/>
        <w:rPr>
          <w:sz w:val="20"/>
          <w:szCs w:val="20"/>
          <w:color w:val="auto"/>
        </w:rPr>
      </w:pPr>
      <w:r>
        <w:rPr>
          <w:rFonts w:ascii="Arial" w:cs="Arial" w:eastAsia="Arial" w:hAnsi="Arial"/>
          <w:sz w:val="15"/>
          <w:szCs w:val="15"/>
          <w:b w:val="1"/>
          <w:bCs w:val="1"/>
          <w:i w:val="1"/>
          <w:iCs w:val="1"/>
          <w:color w:val="auto"/>
        </w:rPr>
        <w:t>We rely on third parties for certain aspects of the manufacture of our product candidates for pre-clinical and clinical testing and expect to continue to do so for the foreseeable future. This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2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rely, and expect to continue to rely, on third parties for certain aspects of materials supply for our product candidates in pre-clinical and clinical testing, as well as for commercial manufacture if any of our product candidates receive marketing approval. This reliance on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on acceptable terms or at all. Even if we are able to establish agreements with third-party manufacturers, reliance on third-party manufacturers entails additional risks, including:</w:t>
      </w:r>
    </w:p>
    <w:p>
      <w:pPr>
        <w:spacing w:after="0" w:line="62"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breach of supply agreements by the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supply components, intermediates, services, or product according to our specifications;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supply components, intermediates, services, or product according to our schedule or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know-how;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or nonrenewal of agreements by third-party manufacturers at times that are costly or inconvenient for us.</w:t>
      </w:r>
    </w:p>
    <w:p>
      <w:pPr>
        <w:spacing w:after="0" w:line="225" w:lineRule="exact"/>
        <w:rPr>
          <w:sz w:val="20"/>
          <w:szCs w:val="20"/>
          <w:color w:val="auto"/>
        </w:rPr>
      </w:pPr>
    </w:p>
    <w:p>
      <w:pPr>
        <w:ind w:right="360" w:firstLine="518"/>
        <w:spacing w:after="0" w:line="270" w:lineRule="auto"/>
        <w:rPr>
          <w:sz w:val="20"/>
          <w:szCs w:val="20"/>
          <w:color w:val="auto"/>
        </w:rPr>
      </w:pPr>
      <w:r>
        <w:rPr>
          <w:rFonts w:ascii="Arial" w:cs="Arial" w:eastAsia="Arial" w:hAnsi="Arial"/>
          <w:sz w:val="17"/>
          <w:szCs w:val="17"/>
          <w:color w:val="auto"/>
        </w:rPr>
        <w:t>Third-party manufacturers may not be able to comply with current good manufacturing processes, or cGMP, regulations or similar regulatory requirements inside or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The contract manufacturer we rely on to produce SER-109 and SER-287 has never produced an FDA-approved therapeutic. If our manufacturers are unable to comply with cGMP regulation or if the FDA or other regulators do not approve their facility upon a pre-approval inspection, our therapeutic candidates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ind w:right="480"/>
        <w:spacing w:after="0" w:line="277" w:lineRule="auto"/>
        <w:rPr>
          <w:sz w:val="20"/>
          <w:szCs w:val="20"/>
          <w:color w:val="auto"/>
        </w:rPr>
      </w:pPr>
      <w:r>
        <w:rPr>
          <w:rFonts w:ascii="Arial" w:cs="Arial" w:eastAsia="Arial" w:hAnsi="Arial"/>
          <w:sz w:val="18"/>
          <w:szCs w:val="18"/>
          <w:color w:val="auto"/>
        </w:rPr>
        <w:t>manufacturing facilities. Any failure to gain access to these limited manufacturing facilities could severely impact the clinical development, marketing approval and commercialization of our product candidates.</w:t>
      </w:r>
    </w:p>
    <w:p>
      <w:pPr>
        <w:spacing w:after="0" w:line="17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Except for our clinical production facility in Massachusetts, we do not currently have arrangements in place for redundant supply of SER-109 and SER-287 product. We do not currently have a second source for required materials used for the manufacture of finished SER-109 or SER-287 product. If our current manufacturers cannot perform as agreed, we may be required to replace such manufacturers and we may be unable to replace them on a timely basis or at all. Our current and anticipated future dependence upon others for the manufacture of our product candidates or products could delay, prevent or impair our development and commercialization efforts.</w:t>
      </w:r>
    </w:p>
    <w:p>
      <w:pPr>
        <w:spacing w:after="0" w:line="30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73"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We have manufacturing facilities at our Cambridge, Massachusetts locations where we conduct process development, scale-up activities and a portion of the manufacture of Ecobiotic microbiome therapeutics. The FDA and other comparable foreign regulatory agencies must, pursuant to inspections that are conducted after submitting a BLA or relevant foreign marketing submission, confirm that the manufacturing processes for the product meet cGMP. We have not yet had any of our manufacturing facilities inspected.</w:t>
      </w:r>
    </w:p>
    <w:p>
      <w:pPr>
        <w:spacing w:after="0" w:line="187"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We may establish a manufacturing facility for our product candidates for production at a commercial scale. We have no experience in commercial-scale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commercial-scale manufacturing facilities that are adequate to produce materials for additional later-stage clinical trials or commercial use.</w:t>
      </w:r>
    </w:p>
    <w:p>
      <w:pPr>
        <w:spacing w:after="0" w:line="188" w:lineRule="exact"/>
        <w:rPr>
          <w:sz w:val="20"/>
          <w:szCs w:val="20"/>
          <w:color w:val="auto"/>
        </w:rPr>
      </w:pPr>
    </w:p>
    <w:p>
      <w:pPr>
        <w:ind w:right="480" w:firstLine="518"/>
        <w:spacing w:after="0" w:line="264"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facility, equipment, systems, processes and analytics. We may be subject to lengthy delays and expense in conducting validation studies, if we can meet the requirements at all.</w:t>
      </w:r>
    </w:p>
    <w:p>
      <w:pPr>
        <w:spacing w:after="0" w:line="18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In addition, some of our product candidates require donor material, of which we may not be able to collect sufficient quantities for commercial-scale or other manufacturing.</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Risks Related to Commercialization of Our Product Candidates and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Other Legal Matters</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hospitals, third-party payors and others in the medical community necessary for commercial success.</w:t>
      </w:r>
    </w:p>
    <w:p>
      <w:pPr>
        <w:spacing w:after="0" w:line="62"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For example, current CDI treatment involves the use of antibiotics that are well established in the medical community or the use of FMT and physicians may continue to rely on these treatments and our competitors and physicians may continue to seek to standardize and implement this procedure. If our product candidates receive approval but do not achieve an adequate level of acceptance, we may not generate significant product revenue and we may not become profitable. The degree of market acceptance of our approved product candidates, if any, will depend on a number of factors, including:</w:t>
      </w:r>
    </w:p>
    <w:p>
      <w:pPr>
        <w:spacing w:after="0" w:line="85"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our products are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3" w:name="page44"/>
    <w:bookmarkEnd w:id="43"/>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interactions of our products with other medicines patients are taking;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patients to take our products.</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6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have employees with experience in sales and marketing, but we have limited sales or marketing infrastructure and, as a company,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sales and marketing functions and we may not be successful in doing so.</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the future,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educate physicians on the benefits of our products;</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2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Outside the United States, we rely and may increasingly rely on third parties, including NHS,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for reducing CDI and other disease indications we are targeting. Some of these competitive products and therapies are based on scientific approaches that are the same as or similar to our approach, and others may be based on entirely different approaches. For example, FMT is a procedure that has resulted in reports of high cure rates for recurrent CDI and our competitors and physicians may continue to seek to standardize and implement this procedure. Potential competitors also include academic institutions, government agencies, not-for-profits,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4" w:name="page45"/>
    <w:bookmarkEnd w:id="44"/>
    <w:p>
      <w:pPr>
        <w:ind w:right="100" w:firstLine="518"/>
        <w:spacing w:after="0" w:line="279"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and marketing approved products than we do. Mergers and acquisitions in the pharmaceutical and biotechnology industries may result in even more resources being concentrated among a smaller number of our competitors.</w:t>
      </w:r>
    </w:p>
    <w:p>
      <w:pPr>
        <w:spacing w:after="0" w:line="171"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24"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3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third-party coverage and reimbursement policies, any of which would harm our business.</w:t>
      </w:r>
    </w:p>
    <w:p>
      <w:pPr>
        <w:spacing w:after="0" w:line="6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18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Obtaining and maintaining adequate reimbursement for our products may be difficult. We cannot be certain if and when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78"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treatment approaches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140"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currently hold $5.0 million in product liability insurance coverage in the aggregate, with a per occurrence limit of $5.0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competition from biosimilars, which may have a material adverse impact on the future commercial prospects of our product candidates.</w:t>
      </w:r>
    </w:p>
    <w:p>
      <w:pPr>
        <w:spacing w:after="0" w:line="14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we may face competition from biosimilars. In the United States, the Biologics Price Competition and Innovation Act, or BPCIA, enacted in 2010 as part of the Patient Protection and Affordable Care Act, created an abbreviated approval pathway for biological products that are demonstrated to be “highly similar,” or biosimilar, to or “interchangeable” with an FDA-approved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w:t>
      </w:r>
    </w:p>
    <w:p>
      <w:pPr>
        <w:spacing w:after="0" w:line="180"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It is possible that Congress or the FDA may take these or other measures to reduce or eliminate periods of exclusivity. The BPCIA is complex and only beginning to be interpreted and implemented by the FDA. As a result, its ultimate impact is subject to uncertainty. The FDA has issued several guidance documents to date discussing the biosimilar pathway, and the FDA approved the first biosimilar under the BPCIA in March 2015. However, several issues still remain unclear with respect to the FDA’s final implementation of the BPCIA, and such FDA implementation could have a material adverse effect on the future commercial prospects for our product candidates.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ind w:right="180" w:firstLine="518"/>
        <w:spacing w:after="0" w:line="291" w:lineRule="auto"/>
        <w:rPr>
          <w:sz w:val="20"/>
          <w:szCs w:val="20"/>
          <w:color w:val="auto"/>
        </w:rPr>
      </w:pPr>
      <w:r>
        <w:rPr>
          <w:rFonts w:ascii="Arial" w:cs="Arial" w:eastAsia="Arial" w:hAnsi="Arial"/>
          <w:sz w:val="16"/>
          <w:szCs w:val="16"/>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 If competitors are able to obtain marketing approval for biosimilars referencing our products, our products may become subject to competition from such biosimilars, with the attendant competitive pressure and consequences.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129"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In order to market and sell our products in the European Union, or EU, and many other jurisdictions, we or our collaborators must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products in any market.</w:t>
      </w:r>
    </w:p>
    <w:p>
      <w:pPr>
        <w:spacing w:after="0" w:line="29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73"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7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Even if marketing approval of a product candidate is granted, the approval may be subject to limitations on the indicated uses for which the product may be marketed or to specific conditions of approval, including a requirement to implement a risk evaluation and mitigation strategy, which could include requirements for a medication guide, communication plan, or restricted distribution system. If any of our product candidates receives marketing approval, the accompanying label may limit the approved use of our drug, which could limit sales of the product.</w:t>
      </w:r>
    </w:p>
    <w:p>
      <w:pPr>
        <w:spacing w:after="0" w:line="171"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our approved products. The FDA closely regulates the post-approval marketing and promotion of drugs and biologics to ensure they are marketed only for the approved indications and in accordance with the provisions of the approved labeling. The FDA imposes stringent restrictions on manufacturers’ communications regarding off-label use, and if we market our products outside of their approved indications, we may be subject to enforcement action for off-label marketing. Violations of the FDA’s restrictions relating to the promotion of prescription drugs may also lead to investigations alleging violations of federal and state health care fraud and abuse laws, as well as state consumer protection laws.</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if a regulatory agency or we later discover previously unknown problems with our products, such as adverse events of unanticipated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79"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damage to relationships with potential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Noncompliance with similar EU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For example, in December 2016, the 21</w:t>
      </w:r>
      <w:r>
        <w:rPr>
          <w:rFonts w:ascii="Arial" w:cs="Arial" w:eastAsia="Arial" w:hAnsi="Arial"/>
          <w:sz w:val="14"/>
          <w:szCs w:val="14"/>
          <w:color w:val="auto"/>
        </w:rPr>
        <w:t>st</w:t>
      </w:r>
      <w:r>
        <w:rPr>
          <w:rFonts w:ascii="Arial" w:cs="Arial" w:eastAsia="Arial" w:hAnsi="Arial"/>
          <w:sz w:val="17"/>
          <w:szCs w:val="17"/>
          <w:color w:val="auto"/>
        </w:rPr>
        <w:t xml:space="preserve"> Century Cures Act was signed into law, which is intended, among other things, to modernize the regulation of biologics and to spur innovation, though its ultimate implementation remains unclear.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7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also cannot predict the likelihood, nature, or extent of adverse government regulation that may arise from pending or future legislation or administrative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or marketing applications.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27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will be subject to applicable anti-kickback, fraud and abuse and other healthcare laws and regulations, which could expose us to criminal sanctions, civil penalties, exclusion from governmental healthcare programs, contractual damages, reputational harm and diminished profits and future earnings.</w:t>
      </w:r>
    </w:p>
    <w:p>
      <w:pPr>
        <w:spacing w:after="0" w:line="7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obtain marketing approval. Our future arrangements with third-party payors, physicians and customers may expose us to broadly applicable fraud and abuse and other healthcare laws and regulations that may restrict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80" w:lineRule="exact"/>
        <w:rPr>
          <w:sz w:val="20"/>
          <w:szCs w:val="20"/>
          <w:color w:val="auto"/>
        </w:rPr>
      </w:pPr>
    </w:p>
    <w:p>
      <w:pPr>
        <w:ind w:left="1040" w:right="100" w:hanging="519"/>
        <w:spacing w:after="0" w:line="25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8" w:name="page49"/>
    <w:bookmarkEnd w:id="48"/>
    <w:p>
      <w:pPr>
        <w:ind w:left="1040" w:right="240"/>
        <w:spacing w:after="0" w:line="264" w:lineRule="auto"/>
        <w:rPr>
          <w:sz w:val="20"/>
          <w:szCs w:val="20"/>
          <w:color w:val="auto"/>
        </w:rPr>
      </w:pPr>
      <w:r>
        <w:rPr>
          <w:rFonts w:ascii="Arial" w:cs="Arial" w:eastAsia="Arial" w:hAnsi="Arial"/>
          <w:sz w:val="18"/>
          <w:szCs w:val="18"/>
          <w:color w:val="auto"/>
        </w:rPr>
        <w:t>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(described below);</w:t>
      </w:r>
    </w:p>
    <w:p>
      <w:pPr>
        <w:spacing w:after="0" w:line="73" w:lineRule="exact"/>
        <w:rPr>
          <w:sz w:val="20"/>
          <w:szCs w:val="20"/>
          <w:color w:val="auto"/>
        </w:rPr>
      </w:pPr>
    </w:p>
    <w:p>
      <w:pPr>
        <w:ind w:left="1040" w:hanging="519"/>
        <w:spacing w:after="0" w:line="25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false claims and civil monetary penalties laws, including the federal False Claims Act, which, among other things, impose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w:t>
      </w:r>
    </w:p>
    <w:p>
      <w:pPr>
        <w:spacing w:after="0" w:line="80" w:lineRule="exact"/>
        <w:rPr>
          <w:rFonts w:ascii="Arial" w:cs="Arial" w:eastAsia="Arial" w:hAnsi="Arial"/>
          <w:sz w:val="18"/>
          <w:szCs w:val="18"/>
          <w:color w:val="auto"/>
        </w:rPr>
      </w:pPr>
    </w:p>
    <w:p>
      <w:pPr>
        <w:ind w:left="1040" w:right="80" w:hanging="519"/>
        <w:spacing w:after="0" w:line="259"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 similar to the federal Anti-Kickback Statute, a person or entity does not need to have actual knowledge of these statutes or specific intent to violate them to have committed a violation;</w:t>
      </w:r>
    </w:p>
    <w:p>
      <w:pPr>
        <w:spacing w:after="0" w:line="78"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1040" w:right="20" w:hanging="519"/>
        <w:spacing w:after="0" w:line="286"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Physician Payment Sunshine Act requires applicable manufacturers of covered drugs to report payments and other transfers of value to physicians and teaching hospitals, and ownership and investment interests held by physicians and their immediate family members; manufacturers are required to submit reports to the government by the 90th day of each calendar year;</w:t>
      </w:r>
    </w:p>
    <w:p>
      <w:pPr>
        <w:spacing w:after="0" w:line="57" w:lineRule="exact"/>
        <w:rPr>
          <w:rFonts w:ascii="Arial" w:cs="Arial" w:eastAsia="Arial" w:hAnsi="Arial"/>
          <w:sz w:val="17"/>
          <w:szCs w:val="17"/>
          <w:color w:val="auto"/>
        </w:rPr>
      </w:pPr>
    </w:p>
    <w:p>
      <w:pPr>
        <w:ind w:left="1040" w:right="100" w:hanging="519"/>
        <w:spacing w:after="0" w:line="273"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our business practices, including but not limited to, research, distribution,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pricing information or marketing expenditures; and</w:t>
      </w:r>
    </w:p>
    <w:p>
      <w:pPr>
        <w:spacing w:after="0" w:line="70" w:lineRule="exact"/>
        <w:rPr>
          <w:rFonts w:ascii="Arial" w:cs="Arial" w:eastAsia="Arial" w:hAnsi="Arial"/>
          <w:sz w:val="17"/>
          <w:szCs w:val="17"/>
          <w:color w:val="auto"/>
        </w:rPr>
      </w:pPr>
    </w:p>
    <w:p>
      <w:pPr>
        <w:ind w:left="1040" w:right="1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170"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we may violate one or more of the requirements.</w:t>
      </w:r>
    </w:p>
    <w:p>
      <w:pPr>
        <w:spacing w:after="0" w:line="17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from government funded healthcare programs, such as Medicare and Medicaid, and the curtailment or restructuring of our operations.</w:t>
      </w:r>
    </w:p>
    <w:p>
      <w:pPr>
        <w:spacing w:after="0" w:line="30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ind w:right="20" w:firstLine="518"/>
        <w:spacing w:after="0" w:line="259" w:lineRule="auto"/>
        <w:rPr>
          <w:sz w:val="20"/>
          <w:szCs w:val="20"/>
          <w:color w:val="auto"/>
        </w:rPr>
      </w:pPr>
      <w:r>
        <w:rPr>
          <w:rFonts w:ascii="Arial" w:cs="Arial" w:eastAsia="Arial" w:hAnsi="Arial"/>
          <w:sz w:val="18"/>
          <w:szCs w:val="18"/>
          <w:color w:val="auto"/>
        </w:rPr>
        <w:t>In the United States, the Patient Protection and Affordable Care Act, as amended by the Health Care and Education Affordability Reconciliation Act, or collectively the Affordable Care Act,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Among the provisions of the Affordable Care Act of importance to our potential product candidates are the following:</w:t>
      </w:r>
    </w:p>
    <w:p>
      <w:pPr>
        <w:spacing w:after="0" w:line="117"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establishment of a new pathway for approval of lower-cost biosimilars to compete with biologic products, such as those we are developing;</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annual, nondeductible fee payable by any entity that manufactures or imports specified branded prescription drugs and biologic agents;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 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There have been judicial and Congressional challenges to certain aspects of the Affordable Care Act, and we expect there will be additional challenges and amendments to the Affordable Care Act in the future, particularly in light of the current Presidential administration and U.S. Congress. At this time, the full effect that the Affordable Care Act would have on our business remains unclear.</w:t>
      </w:r>
    </w:p>
    <w:p>
      <w:pPr>
        <w:spacing w:after="0" w:line="18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For example, the Budget Control Act of 2011, enacted in August 2011, included aggregate reductions of Medicare payments to providers of 2% per fiscal year, which went into effect on April 1, 2013 and, due to subsequent legislative amendments, will remain in effect through 2025 unless additional Congressional action is taken. On January 2, 2013, the American Taxpayer Relief Act of 2012 was signed into law, which, among other things, reduced Medicare payments to several providers, including hospitals, and an increase in the statute of limitations period for the government to recover overpayments to providers from three to five years. These new laws may result in additional reductions in Medicare and other healthcare funding and otherwise affect the prices we may obtain.</w:t>
      </w:r>
    </w:p>
    <w:p>
      <w:pPr>
        <w:spacing w:after="0" w:line="165"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expect that the Affordable Care Act,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73"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Individual states in the United States have become increasingly active in implementing regulations designed to contain pharmaceutical and biological product pricing, including price or patient reimbursement constraints, discounts, restrictions on certain product access and marketing cost disclosure and transparency measures.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0" w:name="page51"/>
    <w:bookmarkEnd w:id="50"/>
    <w:p>
      <w:pPr>
        <w:ind w:right="160"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EU member states and parallel distribution or arbitrage between low-priced and high-priced member states, can further reduce prices. To obtain reimbursement or pricing approval in some countries, we may be required to conduct a clinical trial that compares the cost-effectiveness of our product candidate to other available therapies. If coverage and reimbursement of our products are unavailable or limited in scope or amount, or if pricing is set at unsatisfactory levels, our business could be harmed, possibly materially.</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a very early stage. For some patent applications in our portfolio, we have filed national stage applications based on our Patent Cooperation Treaty, or PCT, applications, thereby limiting the jurisdictions in which we can pursue patent protection for the various inventions claimed in those applications.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financial condition and operating results.</w:t>
      </w:r>
    </w:p>
    <w:p>
      <w:pPr>
        <w:spacing w:after="0" w:line="195"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have obtained licenses and options to obtain licenses from third parties and may obtain additional licenses and options in the future.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firstLine="518"/>
        <w:spacing w:after="0" w:line="288" w:lineRule="auto"/>
        <w:rPr>
          <w:sz w:val="20"/>
          <w:szCs w:val="20"/>
          <w:color w:val="auto"/>
        </w:rPr>
      </w:pPr>
      <w:r>
        <w:rPr>
          <w:rFonts w:ascii="Arial" w:cs="Arial" w:eastAsia="Arial" w:hAnsi="Arial"/>
          <w:sz w:val="16"/>
          <w:szCs w:val="16"/>
          <w:color w:val="auto"/>
        </w:rPr>
        <w:t>Our patent portfolio is in the early stages of prosecution. We currently have seven issued U.S. patents. Although we have numerous patent applications pending, substantive prosecution has begun in only a small number of those applications. We cannot provide any assurances that any of our pending patent applications will mature into issued patents and, if they do, that such patents or our current patents will include claims with a scope sufficient to protect our product candidates or otherwise provide any competitive advantage. For example, we are pursuing claims to therapeutic, binary compositions of certain bacterial populations. Any claims that may issue may provide coverage for such binary compositions and/or their use. However, such claims would not prevent a third party from commercializing alternative compositions that do not include both of the bacterial populations claimed in pending applications, potential applications or patents that have or may issue. There can be no assurance that any such alternative composition will not be equally effective. Further, given that our SER-109 product candidate is a complex composition with some variation from lot-to-lot and that, likewise, third-party compositions may have similar complexity and variability, it is possible that a patent claim may provide coverage for some but not all lots of a product candidate or third-party product. These and other factors may provide opportunities for our competitors to design around our patents, should they issue.</w:t>
      </w:r>
    </w:p>
    <w:p>
      <w:pPr>
        <w:spacing w:after="0" w:line="16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Moreover, other parties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or cover one or more of our products. In addition, given the early stage of prosecution of our portfolio, it may be some time before we understand how patent offices react to our patent claims and whether they identify prior art of relevance that we have not already considered.</w:t>
      </w:r>
    </w:p>
    <w:p>
      <w:pPr>
        <w:spacing w:after="0" w:line="188"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ind w:right="140" w:firstLine="518"/>
        <w:spacing w:after="0" w:line="269" w:lineRule="auto"/>
        <w:rPr>
          <w:sz w:val="20"/>
          <w:szCs w:val="20"/>
          <w:color w:val="auto"/>
        </w:rPr>
      </w:pPr>
      <w:r>
        <w:rPr>
          <w:rFonts w:ascii="Arial" w:cs="Arial" w:eastAsia="Arial" w:hAnsi="Arial"/>
          <w:sz w:val="17"/>
          <w:szCs w:val="17"/>
          <w:color w:val="auto"/>
        </w:rPr>
        <w:t>We may be subject to third-party preissuance submissions of prior art to the United States Patent and Trademark Office, or USPTO, or in a foreign jurisdiction in which our applications are filed, or become involved in opposition, derivation, reexamination, inter partes review, post-grant review or interference proceedings challenging our patent rights or the patent rights of others. For example, on April 25, 2017, we filed a notice of opposition in the European Patent Office challenging the validity of a patent issued to The University of Tokyo. See “—</w:t>
      </w:r>
      <w:r>
        <w:rPr>
          <w:rFonts w:ascii="Arial" w:cs="Arial" w:eastAsia="Arial" w:hAnsi="Arial"/>
          <w:sz w:val="17"/>
          <w:szCs w:val="17"/>
          <w:i w:val="1"/>
          <w:iCs w:val="1"/>
          <w:color w:val="auto"/>
        </w:rPr>
        <w:t>Third parties may initiate legal proceedings alleging</w:t>
      </w:r>
      <w:r>
        <w:rPr>
          <w:rFonts w:ascii="Arial" w:cs="Arial" w:eastAsia="Arial" w:hAnsi="Arial"/>
          <w:sz w:val="17"/>
          <w:szCs w:val="17"/>
          <w:color w:val="auto"/>
        </w:rPr>
        <w:t xml:space="preserve"> </w:t>
      </w:r>
      <w:r>
        <w:rPr>
          <w:rFonts w:ascii="Arial" w:cs="Arial" w:eastAsia="Arial" w:hAnsi="Arial"/>
          <w:sz w:val="17"/>
          <w:szCs w:val="17"/>
          <w:i w:val="1"/>
          <w:iCs w:val="1"/>
          <w:color w:val="auto"/>
        </w:rPr>
        <w:t>that we are infringing their intellectual property rights, the outcome of which would be uncertain and could have a material adverse effect on the success of our business</w:t>
      </w:r>
      <w:r>
        <w:rPr>
          <w:rFonts w:ascii="Arial" w:cs="Arial" w:eastAsia="Arial" w:hAnsi="Arial"/>
          <w:sz w:val="17"/>
          <w:szCs w:val="17"/>
          <w:color w:val="auto"/>
        </w:rPr>
        <w:t>.” An adverse determination in any such submission, proceeding or litigation could reduce the scope of, or invalidate, our patent rights, allow</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18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040" w:right="28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of our pending patent applications, if issued, will include claims having a scope sufficient to protect our product candidates or any other products or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 w:name="page53"/>
    <w:bookmarkEnd w:id="52"/>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any existing patent and pending patent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or design around our patents;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third parties will not compete with us in jurisdictions where we do not pursue and obtain patent protection;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be able to obtain and/or maintain necessary or useful licenses on reasonable terms or at all;</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25"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know-how, our business and competitive position may be harmed.</w:t>
      </w:r>
    </w:p>
    <w:p>
      <w:pPr>
        <w:spacing w:after="0" w:line="129"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In addition to seeking patents for some of our technology and product candidates, we also utilize our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in particular the first to file provisions, only became effective on March 16, 2013.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pre-Leahy- Smith Act law and regulations, while other patent applications in our portfolio will be subject to examination under the law and regulations, as amended by the Leahy-Smith Act. This introduces additional complexities into the prosecution and management of our portfolio.</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3" w:name="page54"/>
    <w:bookmarkEnd w:id="53"/>
    <w:p>
      <w:pPr>
        <w:ind w:right="20" w:firstLine="518"/>
        <w:spacing w:after="0" w:line="270" w:lineRule="auto"/>
        <w:rPr>
          <w:sz w:val="20"/>
          <w:szCs w:val="20"/>
          <w:color w:val="auto"/>
        </w:rPr>
      </w:pPr>
      <w:r>
        <w:rPr>
          <w:rFonts w:ascii="Arial" w:cs="Arial" w:eastAsia="Arial" w:hAnsi="Arial"/>
          <w:sz w:val="17"/>
          <w:szCs w:val="17"/>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 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2"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addition, United States Supreme Court rulings have narrowed the scope of patent protection available in certain circumstances and weakened the rights of patent owners in certain situations. From time to time, the U.S. Supreme Court, other federal courts, the United States Congress, or the USPTO, may change the standards of patentability and any such changes could have a negative impact on our business.</w:t>
      </w:r>
    </w:p>
    <w:p>
      <w:pPr>
        <w:spacing w:after="0" w:line="18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 xml:space="preserve">A number of cases decided by the Supreme Court have involved questions of when claims reciting abstract ideas, laws of nature, natural phenomena and/or natural products are eligible for a patent, regardless of whether the claimed subject matter is otherwise novel and inventive. These cases include </w:t>
      </w:r>
      <w:r>
        <w:rPr>
          <w:rFonts w:ascii="Arial" w:cs="Arial" w:eastAsia="Arial" w:hAnsi="Arial"/>
          <w:sz w:val="18"/>
          <w:szCs w:val="18"/>
          <w:i w:val="1"/>
          <w:iCs w:val="1"/>
          <w:color w:val="auto"/>
        </w:rPr>
        <w:t>Association for Molecular Pathology v. Myriad Genetics, Inc.</w:t>
      </w:r>
      <w:r>
        <w:rPr>
          <w:rFonts w:ascii="Arial" w:cs="Arial" w:eastAsia="Arial" w:hAnsi="Arial"/>
          <w:sz w:val="18"/>
          <w:szCs w:val="18"/>
          <w:color w:val="auto"/>
        </w:rPr>
        <w:t>, 569 U.S. 12-398 (2013) or Myriad;</w:t>
      </w:r>
      <w:r>
        <w:rPr>
          <w:rFonts w:ascii="Arial" w:cs="Arial" w:eastAsia="Arial" w:hAnsi="Arial"/>
          <w:sz w:val="18"/>
          <w:szCs w:val="18"/>
          <w:i w:val="1"/>
          <w:iCs w:val="1"/>
          <w:color w:val="auto"/>
        </w:rPr>
        <w:t xml:space="preserve"> Alice Corp. v. CLS Bank International</w:t>
      </w:r>
      <w:r>
        <w:rPr>
          <w:rFonts w:ascii="Arial" w:cs="Arial" w:eastAsia="Arial" w:hAnsi="Arial"/>
          <w:sz w:val="18"/>
          <w:szCs w:val="18"/>
          <w:color w:val="auto"/>
        </w:rPr>
        <w:t>, 573 U.S. 13-298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(2014); and </w:t>
      </w:r>
      <w:r>
        <w:rPr>
          <w:rFonts w:ascii="Arial" w:cs="Arial" w:eastAsia="Arial" w:hAnsi="Arial"/>
          <w:sz w:val="18"/>
          <w:szCs w:val="18"/>
          <w:i w:val="1"/>
          <w:iCs w:val="1"/>
          <w:color w:val="auto"/>
        </w:rPr>
        <w:t>Mayo Collaborative Services v. Prometheus Laboratories, Inc.</w:t>
      </w:r>
      <w:r>
        <w:rPr>
          <w:rFonts w:ascii="Arial" w:cs="Arial" w:eastAsia="Arial" w:hAnsi="Arial"/>
          <w:sz w:val="18"/>
          <w:szCs w:val="18"/>
          <w:color w:val="auto"/>
        </w:rPr>
        <w:t>, or Prometheus, 566 U.S. 10-1150 (2012). In response to these cases, the USPTO has issued guidance to the examining corps.</w:t>
      </w:r>
    </w:p>
    <w:p>
      <w:pPr>
        <w:spacing w:after="0" w:line="188"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The full impact of these decisions is not yet known. For example, in view of these and subsequent court decisions, the USPTO has issued various materials to patent examiners providing guidance for determining the patent eligibility of claims reciting laws of nature, natural phenomena or natural products. Our current product candidates include natural products, therefore, this decision and its interpretation by the courts and the USPTO may impact prosecution, defense and enforcement of our patent portfolio. On March 4, 2014, the USPTO issued a memorandum reflecting the USPTO’s interpretation of the cases related to patent eligibility of natural products. The March 4, 2014 memorandum was superseded by interim guidance published on December 15, 2014. Additional guidance was published in July 2015 (July 2015 Update: Subject Matter Eligibility) and May 2016 (May 2016 Subject Matter Eligibility Update). The USPTO’s interpretation of the case law and new guidelines for examination may influence, possibly adversely, prosecution and defense of certain types of claims in our portfolio.</w:t>
      </w:r>
    </w:p>
    <w:p>
      <w:pPr>
        <w:spacing w:after="0" w:line="19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products or use of our products do not infringe third-party patents.</w:t>
      </w:r>
    </w:p>
    <w:p>
      <w:pPr>
        <w:spacing w:after="0" w:line="154"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are aware of numerous patents and pending applications owned by third parties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products or the use of our products. We are aware of several pending patent applications containing one or more claims that could be construed to cover some of our product candidates or technology, should those claims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right="80"/>
        <w:spacing w:after="0" w:line="257" w:lineRule="auto"/>
        <w:rPr>
          <w:sz w:val="20"/>
          <w:szCs w:val="20"/>
          <w:color w:val="auto"/>
        </w:rPr>
      </w:pPr>
      <w:r>
        <w:rPr>
          <w:rFonts w:ascii="Arial" w:cs="Arial" w:eastAsia="Arial" w:hAnsi="Arial"/>
          <w:sz w:val="18"/>
          <w:szCs w:val="18"/>
          <w:color w:val="auto"/>
        </w:rPr>
        <w:t>issue in their original form or in the form presently being pursued. In addition, we are aware of third-party patent families that include issued and allowed patents, including claims that, if valid and enforceable, could be construed to cover some of our product candidates or their methods of use. On April 25, 2017, we filed a notice of opposition in the European Patent Office challenging the validity of a patent issued to The University of Tokyo and requesting that it be revoked in its entirety for the reasons set forth in our opposition. Although we believe this patent should be revoked in its entirety, the ultimate outcome of the opposition remains uncertain.</w:t>
      </w:r>
    </w:p>
    <w:p>
      <w:pPr>
        <w:spacing w:after="0" w:line="188"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67"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80"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128" w:lineRule="exact"/>
        <w:rPr>
          <w:rFonts w:ascii="Arial" w:cs="Arial" w:eastAsia="Arial" w:hAnsi="Arial"/>
          <w:sz w:val="17"/>
          <w:szCs w:val="17"/>
          <w:color w:val="auto"/>
        </w:rPr>
      </w:pPr>
    </w:p>
    <w:p>
      <w:pPr>
        <w:ind w:left="1040" w:right="220" w:hanging="519"/>
        <w:spacing w:after="0" w:line="308"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invalid or unenforceable or could be interpreted narrowly if challenged in court.</w:t>
      </w:r>
    </w:p>
    <w:p>
      <w:pPr>
        <w:spacing w:after="0" w:line="14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 eligible subject matter.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right="40"/>
        <w:spacing w:after="0" w:line="272" w:lineRule="auto"/>
        <w:rPr>
          <w:sz w:val="20"/>
          <w:szCs w:val="20"/>
          <w:color w:val="auto"/>
        </w:rPr>
      </w:pPr>
      <w:r>
        <w:rPr>
          <w:rFonts w:ascii="Arial" w:cs="Arial" w:eastAsia="Arial" w:hAnsi="Arial"/>
          <w:sz w:val="17"/>
          <w:szCs w:val="17"/>
          <w:color w:val="auto"/>
        </w:rPr>
        <w:t>post grant review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86"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89"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6" w:name="page57"/>
    <w:bookmarkEnd w:id="56"/>
    <w:p>
      <w:pPr>
        <w:ind w:right="200" w:firstLine="518"/>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The statutory deadlines for pursuing patent protection in individual foreign jurisdictions are based on the priority date of each of our patent applications. For each of the patent families that we believe provide coverage for our product candidates, we decide whether and where to pursue protection outside the United States. In addition, the laws of some foreign countries do not protect intellectual property rights to the same extent as federal and state laws in the United States. Consequently, even if we do elect to pursue patent rights outside the United States,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8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9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If our ability to obtain and, if obtained, enforce our patents to stop infringing activities is inadequate, third parties may compete with our products,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We are highly dependent on Roger Pomerantz, our President and Chief Executive Officer and Chairman of the Board of Directors,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w:t>
      </w:r>
    </w:p>
    <w:p>
      <w:pPr>
        <w:spacing w:after="0" w:line="14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expand our operational capabilities, and as a result, we may encounter difficulties in managing our growth, which could disrupt our operations.</w:t>
      </w:r>
    </w:p>
    <w:p>
      <w:pPr>
        <w:spacing w:after="0" w:line="15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may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potential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7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being a public company, and our management will continue to devote substantial time to compliance initiatives and corporate governance practices.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particularly after we are no longer an emerging growth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may make it more difficult and more expensive for us to maintain director and officer liability insurance, which in turn could make it more difficult for us to attract and retain qualified members of our board of directors.</w:t>
      </w:r>
    </w:p>
    <w:p>
      <w:pPr>
        <w:spacing w:after="0" w:line="179"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A variety of risks associated with operating internationally could materially adversely affect our business.</w:t>
      </w:r>
    </w:p>
    <w:p>
      <w:pPr>
        <w:spacing w:after="0" w:line="117"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We currently have limited international operations, but our business strategy incorporates potentially expanding internationally if any of our product candidates receive regulatory approval. We currently plan to rely on collaborators, including NHS, to commercialize any approved products outside of the United States. Doing business internationally involves a number of risks, including but not limited to:</w:t>
      </w:r>
    </w:p>
    <w:p>
      <w:pPr>
        <w:spacing w:after="0" w:line="73" w:lineRule="exact"/>
        <w:rPr>
          <w:sz w:val="20"/>
          <w:szCs w:val="20"/>
          <w:color w:val="auto"/>
        </w:rPr>
      </w:pPr>
    </w:p>
    <w:p>
      <w:pPr>
        <w:ind w:left="10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17" w:lineRule="exact"/>
        <w:rPr>
          <w:rFonts w:ascii="Arial" w:cs="Arial" w:eastAsia="Arial" w:hAnsi="Arial"/>
          <w:sz w:val="18"/>
          <w:szCs w:val="18"/>
          <w:color w:val="auto"/>
        </w:rPr>
      </w:pPr>
    </w:p>
    <w:p>
      <w:pPr>
        <w:ind w:left="1040" w:right="320" w:hanging="519"/>
        <w:spacing w:after="0" w:line="308"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sales and activities that may fall within the purview of the U.S. Foreign Corrupt Practices Act, or FCPA, its books and records provisions, or its anti-bribery provisions.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factors could significantly harm our future international expansion and operations and, consequently, our results of operations.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information technology and other system failures.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Despite the implementation of security measures, our internal computer systems and data and those of our current and future contractors and consultants are vulnerable to damage or compromise from computer viruses, unauthorized access, human error,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product candidates could be delayed.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117"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We may acquire other businesses, products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73"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disruption in our relationships with future customers or with current or future distributors or suppliers as a result of such a transaction;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exposure to cybersecurity risks and vulnerabilities from any newly acquired information technology infrastructure;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9" w:name="page60"/>
    <w:bookmarkEnd w:id="59"/>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4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currently subject to securities class action litigation and may be subject to similar or other litigation in the future, which may harm our business.</w:t>
      </w:r>
    </w:p>
    <w:p>
      <w:pPr>
        <w:spacing w:after="0" w:line="15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On September 28, 2016, a purported stockholder filed a putative class action lawsuit in the U.S. District Court for the District of Massachusetts against us entitled </w:t>
      </w:r>
      <w:r>
        <w:rPr>
          <w:rFonts w:ascii="Arial" w:cs="Arial" w:eastAsia="Arial" w:hAnsi="Arial"/>
          <w:sz w:val="17"/>
          <w:szCs w:val="17"/>
          <w:i w:val="1"/>
          <w:iCs w:val="1"/>
          <w:color w:val="auto"/>
        </w:rPr>
        <w:t>Mariusz Mazurek v. Seres Therapeutics, Inc., et.al.</w:t>
      </w:r>
      <w:r>
        <w:rPr>
          <w:rFonts w:ascii="Arial" w:cs="Arial" w:eastAsia="Arial" w:hAnsi="Arial"/>
          <w:sz w:val="17"/>
          <w:szCs w:val="17"/>
          <w:color w:val="auto"/>
        </w:rPr>
        <w:t xml:space="preserve"> On February 12, 2017, we received an amended complaint, and on March 30, 2017 we submitted a motion to dismiss. A hearing on the motion to dismiss was held on August 9, 2017. The lawsuit alleges violations of Sections 10(b), 20(a) and Rule 10b-5 of the Securities Exchange Act of 1934, as amended, by making allegedly false and misleading statements and omissions about our clinical trials for our product candidate SER-109 in our public disclosures between June 25, 2015 and July 29, 2016. The lawsuit seeks, among other things, damages in connection with our allegedly inflated stock price between June 25, 2015 and July 29, 2016 as a result of those allegedly false and misleading statements, as well as interest, attorneys’ fees and costs. We can make no assurances as to the time or resources that will need to be devoted to this lawsuit or its final outcome, or the impact, if any, of this lawsuit or any proceedings on our business, financial condition, results of operations and cash flows. While we are vigorously defending against all claims asserted, this litigation could result in substantial costs to us and a diversion of our management’s attention and resources, which could harm our business. In addition, the uncertainty of the pending lawsuit or potential filing of additional lawsuits could lead to more volatility and a reduction in our stock price.</w:t>
      </w:r>
    </w:p>
    <w:p>
      <w:pPr>
        <w:spacing w:after="0" w:line="29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such as human stool.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5"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13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U.S. government recently enacted comprehensive federal income tax legislation that includes significant changes to the taxation of business entities. These changes include, among others, (i) a permanent reduction to the corporate income tax rate,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 Notwithstanding the reduction in the corporate income tax rate, the overall impact of this tax reform is uncertain, and our business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line="264" w:lineRule="auto"/>
        <w:rPr>
          <w:sz w:val="20"/>
          <w:szCs w:val="20"/>
          <w:color w:val="auto"/>
        </w:rPr>
      </w:pPr>
      <w:r>
        <w:rPr>
          <w:rFonts w:ascii="Arial" w:cs="Arial" w:eastAsia="Arial" w:hAnsi="Arial"/>
          <w:sz w:val="18"/>
          <w:szCs w:val="18"/>
          <w:color w:val="auto"/>
        </w:rPr>
        <w:t>financial condition could be adversely affected. This annual report on Form 10-K does not discuss any such tax legislation or the manner in which it might affect holders of our common stock. We urge our stockholders to consult with their legal and tax advisors with respect to any such legislation and the potential tax consequences of investing in our common stock.</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price of our common stock may be volatile and fluctuate substantially, which could result in substantial losses for purchasers of our common stock.</w:t>
      </w:r>
    </w:p>
    <w:p>
      <w:pPr>
        <w:spacing w:after="0" w:line="15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Our stock price is likely to be volatile. Furthermore, the stock market in general and the market for smaller biopharmaceutical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79"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related to any future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may make our product candidates less attractive;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ind w:right="8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6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Our executive officers, directors and stockholders who owned more than 5% of our outstanding common stock and their respective affiliates, in the aggregate, hold shares representing approximately 65% of our outstanding voting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ownership control may:</w:t>
      </w:r>
    </w:p>
    <w:p>
      <w:pPr>
        <w:spacing w:after="0" w:line="64" w:lineRule="exact"/>
        <w:rPr>
          <w:sz w:val="20"/>
          <w:szCs w:val="20"/>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entrench our management and the board of directors;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stockholders may desire.</w:t>
      </w:r>
    </w:p>
    <w:p>
      <w:pPr>
        <w:spacing w:after="0" w:line="3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6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Moreover, holders of an aggregate of approximately 18.3 million shares of our common stock as of December 31, 2017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promulgated under the Securities Act of 1933, as amended, or the Securities Act,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2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57" w:lineRule="exact"/>
        <w:rPr>
          <w:sz w:val="20"/>
          <w:szCs w:val="20"/>
          <w:color w:val="auto"/>
        </w:rPr>
      </w:pPr>
    </w:p>
    <w:p>
      <w:pPr>
        <w:ind w:left="1040" w:right="80" w:hanging="519"/>
        <w:spacing w:after="0" w:line="264"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being required to include audited financial statements in our selected financial data and in any future registration statements under the Securities Act for any period prior to the earliest audited financial statements presented in our registration statement on Form S-1 for the initial public offering of our common stock;</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1040" w:right="600" w:hanging="519"/>
        <w:spacing w:after="0" w:line="264"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260" w:firstLine="518"/>
        <w:spacing w:after="0" w:line="273" w:lineRule="auto"/>
        <w:rPr>
          <w:sz w:val="20"/>
          <w:szCs w:val="20"/>
          <w:color w:val="auto"/>
        </w:rPr>
      </w:pPr>
      <w:r>
        <w:rPr>
          <w:rFonts w:ascii="Arial" w:cs="Arial" w:eastAsia="Arial" w:hAnsi="Arial"/>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2" w:name="page63"/>
    <w:bookmarkEnd w:id="62"/>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or misleading opinion regarding our business, our common stock price and trading volume could decline.</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spacing w:after="0" w:line="73"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57" w:lineRule="exact"/>
        <w:rPr>
          <w:sz w:val="20"/>
          <w:szCs w:val="20"/>
          <w:color w:val="auto"/>
        </w:rPr>
      </w:pPr>
    </w:p>
    <w:p>
      <w:pPr>
        <w:ind w:left="1040" w:right="42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1040" w:right="660" w:hanging="519"/>
        <w:spacing w:after="0" w:line="308"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38" w:lineRule="exact"/>
        <w:rPr>
          <w:rFonts w:ascii="Arial" w:cs="Arial" w:eastAsia="Arial" w:hAnsi="Arial"/>
          <w:sz w:val="17"/>
          <w:szCs w:val="17"/>
          <w:color w:val="auto"/>
        </w:rPr>
      </w:pPr>
    </w:p>
    <w:p>
      <w:pPr>
        <w:ind w:left="1040" w:right="160" w:hanging="519"/>
        <w:spacing w:after="0" w:line="342" w:lineRule="auto"/>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38" w:lineRule="exact"/>
        <w:rPr>
          <w:rFonts w:ascii="Arial" w:cs="Arial" w:eastAsia="Arial" w:hAnsi="Arial"/>
          <w:sz w:val="17"/>
          <w:szCs w:val="17"/>
          <w:color w:val="auto"/>
        </w:rPr>
      </w:pPr>
    </w:p>
    <w:p>
      <w:pPr>
        <w:ind w:left="1040" w:right="50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1040" w:right="160" w:hanging="519"/>
        <w:spacing w:after="0" w:line="264"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Furthermore, our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3" w:name="page64"/>
    <w:bookmarkEnd w:id="63"/>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62"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and Offices</w:t>
      </w:r>
    </w:p>
    <w:p>
      <w:pPr>
        <w:spacing w:after="0" w:line="229"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Our corporate headquarters is located in Cambridge, Massachusetts, where we lease approximately 83,396 square feet of office, laboratory, and pilot manufacturing space under a lease that expires in November 2023. We also maintain a research and development facility in Cambridge, Massachusetts, where we lease approximately 7,484 square feet of office and laboratory facilities under a lease that expires in April 2020.</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Manufacturing</w:t>
      </w:r>
    </w:p>
    <w:p>
      <w:pPr>
        <w:spacing w:after="0" w:line="22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currently conduct part of our manufacturing operations in our leased facilities in Cambridge, Massachusetts, which both contain manufacturing facilities for clinical products. We believe our current laboratory facilities and contract relationships are sufficient to meet our current bioprocess development and manufacturing needs. We expect the new facility at our headquarters represents an important addition to our existing manufacturing network, which will broaden our capabilities in bioprocess development and manufacturing, in particular, the production of rationally designed microbiome candidates. We expect to utilize both of the manufacturing facilities to prepare for commercialization of our product candidates. Product candidates may be brought into the facilities for economies of operation, or may remain external with contract manufacturing organizations, depending on business dynamics and development needs.</w:t>
      </w:r>
    </w:p>
    <w:p>
      <w:pPr>
        <w:spacing w:after="0" w:line="16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plan to control the production of all products under current good manufacturing practices by making strategic investments in manufacturing, which may include collaborations with third parties, the design and renovation of existing facilities and the construction of additional new facilities for commercial supply.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On September 28, 2016, a purported stockholder filed a putative class action lawsuit in the U.S. District Court for the District of Massachusetts against us entitled </w:t>
      </w:r>
      <w:r>
        <w:rPr>
          <w:rFonts w:ascii="Arial" w:cs="Arial" w:eastAsia="Arial" w:hAnsi="Arial"/>
          <w:sz w:val="17"/>
          <w:szCs w:val="17"/>
          <w:i w:val="1"/>
          <w:iCs w:val="1"/>
          <w:color w:val="auto"/>
        </w:rPr>
        <w:t>Mariusz Mazurek v. Seres Therapeutics, Inc., et. al.</w:t>
      </w:r>
      <w:r>
        <w:rPr>
          <w:rFonts w:ascii="Arial" w:cs="Arial" w:eastAsia="Arial" w:hAnsi="Arial"/>
          <w:sz w:val="17"/>
          <w:szCs w:val="17"/>
          <w:color w:val="auto"/>
        </w:rPr>
        <w:t xml:space="preserve"> On February 12, 2017, we received an amended complaint, and on March 30, 2017, we filed a motion to dismiss. A hearing on the motion to dismiss was held on August 9, 2017, and we are awaiting a decision from the court. The lawsuit alleges violations of Sections 10(b), 20(a) and Rule 10b-5 of the Securities Exchange Act of 1934, as amended, by making allegedly false and misleading statements and omissions about our clinical trials for our product candidate SER-109 in our public disclosures between June 25, 2015 and July 29, 2016. The lawsuit seeks, among other things, damages in connection with our allegedly inflated stock price between June 25, 2015 and July 29, 2016 as a result of those allegedly false and misleading statements, as well as interest, attorneys’ fees and costs. We can make no assurances as to the time or resources that will need to be devoted to this lawsuit or its final outcome, or the impact, if any, of this lawsuit or any proceedings on our business, financial condition, results of operations and cash flows. We are vigorously defending against all claims asserted.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Opposition Proceeding</w:t>
      </w:r>
    </w:p>
    <w:p>
      <w:pPr>
        <w:spacing w:after="0" w:line="117"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On October 19, 2016, the European Patent Office granted European Patent No. 2 575 835 B1 to The University of Tokyo. On April 25, 2017, we filed a notice of opposition to this patent in the European Patent Office, requesting that it be revoked in its entirety for the reasons set forth in our opposition. Although we believe this patent should be revoked in its entirety, the ultimate outcome of the opposition remains uncertain.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of the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4" w:name="page65"/>
    <w:bookmarkEnd w:id="64"/>
    <w:p>
      <w:pPr>
        <w:ind w:right="120" w:firstLine="518"/>
        <w:spacing w:after="0" w:line="271" w:lineRule="auto"/>
        <w:rPr>
          <w:sz w:val="20"/>
          <w:szCs w:val="20"/>
          <w:color w:val="auto"/>
        </w:rPr>
      </w:pPr>
      <w:r>
        <w:rPr>
          <w:rFonts w:ascii="Arial" w:cs="Arial" w:eastAsia="Arial" w:hAnsi="Arial"/>
          <w:sz w:val="17"/>
          <w:szCs w:val="17"/>
          <w:i w:val="1"/>
          <w:iCs w:val="1"/>
          <w:color w:val="auto"/>
        </w:rPr>
        <w:t xml:space="preserve">Noubar B. Afeyan, Ph.D., </w:t>
      </w:r>
      <w:r>
        <w:rPr>
          <w:rFonts w:ascii="Arial" w:cs="Arial" w:eastAsia="Arial" w:hAnsi="Arial"/>
          <w:sz w:val="17"/>
          <w:szCs w:val="17"/>
          <w:color w:val="auto"/>
        </w:rPr>
        <w:t>has served as a member of our board of directors since October 2010. Since 1999, Dr. Afeyan has served as the Senior</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Partner and Chief Executive Officer of Flagship Pioneering, formerly known as Flagship Ventures, an early-stage venture capital firm that he co-founded. Dr. Afeyan serves on the board of directors of numerous privately and publicy held companies, including BIND Therapeutics, Inc. Eleven Biotherapeutics, Inc., and Moderna Therapeutics, Inc., and has previously served on the board of directors of several public companies, including BG Medicine, Inc., BIND Therapeutics, Inc., Eleven Biotherapeutics, Inc., and Helicos Biosciences. Dr. Afeyan received a B.S. in chemical engineering from McGill University and a Ph.D. in Biochemical Engineering from the Massachusetts Institute of Technology. He is currently a visiting lecturer of business administration at Harvard Business School and was previously a senior lecturer at the Massachusetts Institute of Technology’s Sloan School of Management where he taught courses on technology-entrepreneurship, innovation and leadership.</w:t>
      </w:r>
    </w:p>
    <w:p>
      <w:pPr>
        <w:spacing w:after="0" w:line="179"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i w:val="1"/>
          <w:iCs w:val="1"/>
          <w:color w:val="231F20"/>
        </w:rPr>
        <w:t>Dennis A. Ausiello, M.D.</w:t>
      </w:r>
      <w:r>
        <w:rPr>
          <w:rFonts w:ascii="Arial" w:cs="Arial" w:eastAsia="Arial" w:hAnsi="Arial"/>
          <w:sz w:val="16"/>
          <w:szCs w:val="16"/>
          <w:color w:val="231F20"/>
        </w:rPr>
        <w:t>, has served as a member of our board of directors since April 2015. Dr. Ausiello serves as the Director of the Center for</w:t>
      </w:r>
      <w:r>
        <w:rPr>
          <w:rFonts w:ascii="Arial" w:cs="Arial" w:eastAsia="Arial" w:hAnsi="Arial"/>
          <w:sz w:val="16"/>
          <w:szCs w:val="16"/>
          <w:i w:val="1"/>
          <w:iCs w:val="1"/>
          <w:color w:val="231F20"/>
        </w:rPr>
        <w:t xml:space="preserve"> </w:t>
      </w:r>
      <w:r>
        <w:rPr>
          <w:rFonts w:ascii="Arial" w:cs="Arial" w:eastAsia="Arial" w:hAnsi="Arial"/>
          <w:sz w:val="16"/>
          <w:szCs w:val="16"/>
          <w:color w:val="231F20"/>
        </w:rPr>
        <w:t>Assessment Technology and Continuous Health (CATCH),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also served on the board of directors of Pfizer Inc. since December 2006 and Alnylam Pharmaceuticals since April 2012. Dr. Ausiello received his undergraduate degree from Harvard College and an M.D. from the University of Pennsylvania.</w:t>
      </w:r>
    </w:p>
    <w:p>
      <w:pPr>
        <w:spacing w:after="0" w:line="16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231F20"/>
        </w:rPr>
        <w:t xml:space="preserve">Grégory Behar </w:t>
      </w:r>
      <w:r>
        <w:rPr>
          <w:rFonts w:ascii="Arial" w:cs="Arial" w:eastAsia="Arial" w:hAnsi="Arial"/>
          <w:sz w:val="18"/>
          <w:szCs w:val="18"/>
          <w:color w:val="231F20"/>
        </w:rPr>
        <w:t>has served as a member of our board of directors since December 2014. Mr. Behar has served as Chief Executive Officer of Nestlé</w:t>
      </w:r>
      <w:r>
        <w:rPr>
          <w:rFonts w:ascii="Arial" w:cs="Arial" w:eastAsia="Arial" w:hAnsi="Arial"/>
          <w:sz w:val="18"/>
          <w:szCs w:val="18"/>
          <w:i w:val="1"/>
          <w:iCs w:val="1"/>
          <w:color w:val="231F20"/>
        </w:rPr>
        <w:t xml:space="preserve"> </w:t>
      </w:r>
      <w:r>
        <w:rPr>
          <w:rFonts w:ascii="Arial" w:cs="Arial" w:eastAsia="Arial" w:hAnsi="Arial"/>
          <w:sz w:val="18"/>
          <w:szCs w:val="18"/>
          <w:color w:val="231F20"/>
        </w:rPr>
        <w:t>Health Science S.A., a health sciences company, since October 2014. From July 2011 to July 2014, Mr. Behar was President and Chief Executive Officer of Boehringer Ingelheim Pharmaceuticals Inc. (USA), a pharmaceutical company. From 2010 to July 2011, Mr. Behar was Corporate Vice President Region NECAR (North European Union, Canada and Australasia) for Boehringer-Ingelheim GmbH, a pharmaceutical company. Mr. Behar received his B.S. from the University of California, Los Angeles, an M.S. in Mechanical Engineering and Manufacturing from EPFL in Switzerland and an MBA from INSEAD in France.</w:t>
      </w:r>
    </w:p>
    <w:p>
      <w:pPr>
        <w:spacing w:after="0" w:line="193"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i w:val="1"/>
          <w:iCs w:val="1"/>
          <w:color w:val="auto"/>
        </w:rPr>
        <w:t xml:space="preserve">Willard Dere, M.D., </w:t>
      </w:r>
      <w:r>
        <w:rPr>
          <w:rFonts w:ascii="Arial" w:cs="Arial" w:eastAsia="Arial" w:hAnsi="Arial"/>
          <w:sz w:val="18"/>
          <w:szCs w:val="18"/>
          <w:color w:val="auto"/>
        </w:rPr>
        <w:t>has served on our board of directors since July 2017. Since November 2014, Dr. Dere has been Professor of Internal Medicine; B.</w:t>
      </w:r>
      <w:r>
        <w:rPr>
          <w:rFonts w:ascii="Arial" w:cs="Arial" w:eastAsia="Arial" w:hAnsi="Arial"/>
          <w:sz w:val="18"/>
          <w:szCs w:val="18"/>
          <w:i w:val="1"/>
          <w:iCs w:val="1"/>
          <w:color w:val="auto"/>
        </w:rPr>
        <w:t xml:space="preserve"> </w:t>
      </w:r>
      <w:r>
        <w:rPr>
          <w:rFonts w:ascii="Arial" w:cs="Arial" w:eastAsia="Arial" w:hAnsi="Arial"/>
          <w:sz w:val="18"/>
          <w:szCs w:val="18"/>
          <w:color w:val="auto"/>
        </w:rPr>
        <w:t>Lue and Hope S. Bettilyon Presidential Endowed Chair in Internal Medicine for Diabetes Research, Executive Director of Personalized Health, and Co-Principal Investigator of the Center for Clinical and Translational Science at the University of Utah Health Sciences Center. Prior to his professorship, from 2003 until his retirement in October 2014, Dr. Dere held multiple roles at Amgen, including head of global development, and both corporate and international chief medical officer, and led development of programs in various therapeutic areas. Dr. Dere currently serves on the boards of directors of BioMarin Pharmaceutical, Ocera Therapeutics, and Radius Health. Dr. Dere received his undergraduate and medical degrees from the University of California, Davis, completed his internal medicine residency training at the University of Utah, and his postdoctoral training in endocrinology and metabolism at the University of California, San Francisco.</w:t>
      </w:r>
    </w:p>
    <w:p>
      <w:pPr>
        <w:spacing w:after="0" w:line="192"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i w:val="1"/>
          <w:iCs w:val="1"/>
          <w:color w:val="231F20"/>
        </w:rPr>
        <w:t xml:space="preserve">Richard N. Kender </w:t>
      </w:r>
      <w:r>
        <w:rPr>
          <w:rFonts w:ascii="Arial" w:cs="Arial" w:eastAsia="Arial" w:hAnsi="Arial"/>
          <w:sz w:val="18"/>
          <w:szCs w:val="18"/>
          <w:color w:val="231F20"/>
        </w:rPr>
        <w:t>has served as a member of our board of directors since October 2014. From October 1978 to September 2013, Mr. Kender held</w:t>
      </w:r>
      <w:r>
        <w:rPr>
          <w:rFonts w:ascii="Arial" w:cs="Arial" w:eastAsia="Arial" w:hAnsi="Arial"/>
          <w:sz w:val="18"/>
          <w:szCs w:val="18"/>
          <w:i w:val="1"/>
          <w:iCs w:val="1"/>
          <w:color w:val="231F20"/>
        </w:rPr>
        <w:t xml:space="preserve"> </w:t>
      </w:r>
      <w:r>
        <w:rPr>
          <w:rFonts w:ascii="Arial" w:cs="Arial" w:eastAsia="Arial" w:hAnsi="Arial"/>
          <w:sz w:val="18"/>
          <w:szCs w:val="18"/>
          <w:color w:val="231F20"/>
        </w:rPr>
        <w:t>positions in a variety of corporate areas at Merck, most recently serving as Senior Vice President of Business Development and Corporate Licensing. Mr. Kender has served on the board of directors of INC Research Holdings, Inc. since 2014 and Poxel S.A. since 2015. Mr. Kender received a B.S. from Villanova University and an M.B.A. from Fairleigh Dickinson University.</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i w:val="1"/>
          <w:iCs w:val="1"/>
          <w:color w:val="231F20"/>
        </w:rPr>
        <w:t>Lorence H. Kim, M.D.</w:t>
      </w:r>
      <w:r>
        <w:rPr>
          <w:rFonts w:ascii="Arial" w:cs="Arial" w:eastAsia="Arial" w:hAnsi="Arial"/>
          <w:sz w:val="18"/>
          <w:szCs w:val="18"/>
          <w:color w:val="231F20"/>
        </w:rPr>
        <w:t>, has served as a member of our board of directors since October2014.Since April 2014, Dr. Kim has been the Chief Financial</w:t>
      </w:r>
      <w:r>
        <w:rPr>
          <w:rFonts w:ascii="Arial" w:cs="Arial" w:eastAsia="Arial" w:hAnsi="Arial"/>
          <w:sz w:val="18"/>
          <w:szCs w:val="18"/>
          <w:i w:val="1"/>
          <w:iCs w:val="1"/>
          <w:color w:val="231F20"/>
        </w:rPr>
        <w:t xml:space="preserve"> </w:t>
      </w:r>
      <w:r>
        <w:rPr>
          <w:rFonts w:ascii="Arial" w:cs="Arial" w:eastAsia="Arial" w:hAnsi="Arial"/>
          <w:sz w:val="18"/>
          <w:szCs w:val="18"/>
          <w:color w:val="231F20"/>
        </w:rPr>
        <w:t>Officer of Moderna Therapeutics, a biotechnology company. From July 2000 to April 2014, Dr. Kim held a number of positions at Goldman, Sachs &amp; Co., an investment bank, most recently as Managing Director and Co-Head of Biotechnology Investment Banking. Dr. Kim received an A.B. from Harvard University, an MBA in Healthcare Management from the Wharton School of the University of Pennsylvania, and an M.D. from the University of Pennsylvania’s School of Medicine.</w:t>
      </w:r>
    </w:p>
    <w:p>
      <w:pPr>
        <w:spacing w:after="0" w:line="188"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i w:val="1"/>
          <w:iCs w:val="1"/>
          <w:color w:val="auto"/>
        </w:rPr>
        <w:t xml:space="preserve">Kurt C. Graves </w:t>
      </w:r>
      <w:r>
        <w:rPr>
          <w:rFonts w:ascii="Arial" w:cs="Arial" w:eastAsia="Arial" w:hAnsi="Arial"/>
          <w:sz w:val="18"/>
          <w:szCs w:val="18"/>
          <w:color w:val="auto"/>
        </w:rPr>
        <w:t>has served as a member of our board of directors since November 2015. Mr. Graves has been the Chairman,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Intarcia Therapeutics, a biotechnology company, since April 2012. Mr. Graves served as Executive Chairman of Biolex Therapeutics, a biotechnology company, from November 2010 to March 2012, and served as Executive Chairman of Intarcia Therapeutics from August 2010 to April 2012. Previously, he served as Executive Vice President, Chief Commercial Officer and Head of Strategic Development at Vertex Pharmaceuticals Inc. from July 2007 to October 2009. Prior to joining Vertex, Mr. Graves held various leadership positions at Novartis pharmaceuticals from 1999 to June 2007. He was also the first Chief Marketing Officer for the Pharmaceuticals division from September 2003 to June 2007. He has served as a director of Intarcia Therapeutics, Inc. since 2012, Radius Health, Inc. since 2011, and Achillion Pharmaceuticals, Inc. since 2012. Mr. Graves received a B.S. in Biology from Hillsdale College.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65" w:name="page66"/>
    <w:bookmarkEnd w:id="65"/>
    <w:p>
      <w:pPr>
        <w:ind w:right="40" w:firstLine="518"/>
        <w:spacing w:after="0" w:line="287" w:lineRule="auto"/>
        <w:rPr>
          <w:sz w:val="20"/>
          <w:szCs w:val="20"/>
          <w:color w:val="auto"/>
        </w:rPr>
      </w:pPr>
      <w:r>
        <w:rPr>
          <w:rFonts w:ascii="Arial" w:cs="Arial" w:eastAsia="Arial" w:hAnsi="Arial"/>
          <w:sz w:val="16"/>
          <w:szCs w:val="16"/>
          <w:i w:val="1"/>
          <w:iCs w:val="1"/>
          <w:color w:val="auto"/>
        </w:rPr>
        <w:t>Roger J. Pomerantz, M.D.</w:t>
      </w:r>
      <w:r>
        <w:rPr>
          <w:rFonts w:ascii="Arial" w:cs="Arial" w:eastAsia="Arial" w:hAnsi="Arial"/>
          <w:sz w:val="16"/>
          <w:szCs w:val="16"/>
          <w:color w:val="auto"/>
        </w:rPr>
        <w:t>, has served as our President and Chief Executive Officer since June 2014 and as Chairman of our board of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2013. Since July 2014, Dr. Pomerantz has been a Senior Partner at Flagship Pioneering, formerly known as Flagship Ventures, an early-stage venture capital firm. From January 2011 to September 2013, Dr. Pomerantz was Worldwide Head of Licensing and Acquisitions and Senior Vice President at Merck &amp; Co., Inc., or Merck, a pharmaceutical company, where he oversaw licensing and acquisitions for Merck Research Laboratories, the research and development division of Merck. From February 2010 to February 2013, Dr. Pomerantz served as Global Head of Infectious Diseases and Senior Vice President at Merck, where he oversaw pharmaceutical development and discovery of antibiotics, antivirals, antifungals and antiparasitic agents. Prior to Merck, Dr. Pomerantz was Global Head of Infectious Diseases for the pharmaceutical division of Johnson &amp; Johnson, Inc., a multinational medical device, consumer goods and pharmaceutical corporation, where he was responsible for anti-infective agents worldwide. He joined Johnson &amp; Johnson, Inc. in August 2005 as President of Tibotec Pharmaceuticals, Inc., now Janssen Therapeutics and a subsidiary of Johnson &amp; Johnson, Inc., a pharmaceutical company focused on the treatment of infectious diseases. Dr. Pomerantz has developed ten approved infectious disease drugs for diseases including HIV, HCV and tuberculosis. He has served on the board of directors of Contrafect Corporation, a biotech company, since 2014. Dr. Pomerantz received his B.A. in Biochemistry from The Johns Hopkins University and his M.D. from The Johns Hopkins School of Medicine.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i w:val="1"/>
          <w:iCs w:val="1"/>
          <w:color w:val="auto"/>
        </w:rPr>
        <w:t>John G. Aunins, Ph.D.</w:t>
      </w:r>
      <w:r>
        <w:rPr>
          <w:rFonts w:ascii="Arial" w:cs="Arial" w:eastAsia="Arial" w:hAnsi="Arial"/>
          <w:sz w:val="17"/>
          <w:szCs w:val="17"/>
          <w:color w:val="auto"/>
        </w:rPr>
        <w:t>, has served as our Chief Technology Officer and Executive Vice President of Bioprocess Development since December 2012.</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joining our company, Dr. Aunins served on our Scientific Advisory Board from February 2012 to December 2012. From April 1989 to November 2011, Dr. Aunins served in various roles at Merck, most recently as Executive Science Director. At Merck, Dr. Aunins led process and product development teams for six licensed vaccines and multiple vaccine candidates. He is a Fellow of the American Institute for Medical and Biological Engineering and an adjunct Full Professor at the Instituto de Tecnologia Quimica e Biologica in Oeiras, Portugal. Dr. Aunins received his B.S. from the University of Kansas and his Ph.D. in Chemical Engineering from the Massachusetts Institute of Technology.</w:t>
      </w:r>
    </w:p>
    <w:p>
      <w:pPr>
        <w:spacing w:after="0" w:line="17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i w:val="1"/>
          <w:iCs w:val="1"/>
          <w:color w:val="auto"/>
        </w:rPr>
        <w:t>David N. Cook, Ph.D.</w:t>
      </w:r>
      <w:r>
        <w:rPr>
          <w:rFonts w:ascii="Arial" w:cs="Arial" w:eastAsia="Arial" w:hAnsi="Arial"/>
          <w:sz w:val="18"/>
          <w:szCs w:val="18"/>
          <w:color w:val="auto"/>
        </w:rPr>
        <w:t>, has served as our Chief Scientific Officer and Executive Vice President of Research &amp; Development since October 2012. From</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2010 to October 2012, Dr. Cook was the Chief Operating Officer at the International AIDS Vaccine Initiative, a global not-for-profit, research and development organization focused on the development of a safe and accessible vaccine for HIV. As Chief Operating Officer, Dr. Cook acted as the head of operations, overseeing seven international offices and research facilities. Dr. Cook received his A.B. from Harvard College and his Ph.D. in Chemistry from the University of California, Berkeley.</w:t>
      </w:r>
    </w:p>
    <w:p>
      <w:pPr>
        <w:spacing w:after="0" w:line="188"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i w:val="1"/>
          <w:iCs w:val="1"/>
          <w:color w:val="auto"/>
        </w:rPr>
        <w:t xml:space="preserve">Thomas J. DesRosier </w:t>
      </w:r>
      <w:r>
        <w:rPr>
          <w:rFonts w:ascii="Arial" w:cs="Arial" w:eastAsia="Arial" w:hAnsi="Arial"/>
          <w:sz w:val="16"/>
          <w:szCs w:val="16"/>
          <w:color w:val="auto"/>
        </w:rPr>
        <w:t>has served as our Chief Legal Officer, Executive Vice President, and Secretary since May 2016. Previously, he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Chief Legal and Administrative Officer and Secretary of ARIAD Pharmaceuticals, Inc., a biopharmaceutical company, from 2015 to 2016, as Executive Vice President, Chief Legal and Administrative Officer and Secretary of Cubist Pharmaceuticals, Inc., or Cubist, a biopharmaceutical company, from 2014 to 2015 and as Senior Vice President, Chief Legal Officer and Secretary of Cubist from 2013 to 2014. Before that, Mr. DesRosier served as Senior Vice President, General Counsel North America of Sanofi, a global biopharmaceutical company, from 2011 to 2013. From 1999 to 2011,</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DesRosier held several increasing leadership roles within the legal group of Genzyme Corporation, a biotechnology company, culminating in his role as Senior Vice President, Chief Legal Officer. Mr. DesRosier earned a B.A. in chemistry from the University of Vermont and a J.D. from Wake Forest University School of Law.</w:t>
      </w:r>
    </w:p>
    <w:p>
      <w:pPr>
        <w:spacing w:after="0" w:line="19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 xml:space="preserve">Eric D. Shaff </w:t>
      </w:r>
      <w:r>
        <w:rPr>
          <w:rFonts w:ascii="Arial" w:cs="Arial" w:eastAsia="Arial" w:hAnsi="Arial"/>
          <w:sz w:val="18"/>
          <w:szCs w:val="18"/>
          <w:color w:val="auto"/>
        </w:rPr>
        <w:t>has served as our Chief Financial Officer and Executive Vice President since November 2014. From January 2012 to November 2014,</w:t>
      </w:r>
      <w:r>
        <w:rPr>
          <w:rFonts w:ascii="Arial" w:cs="Arial" w:eastAsia="Arial" w:hAnsi="Arial"/>
          <w:sz w:val="18"/>
          <w:szCs w:val="18"/>
          <w:i w:val="1"/>
          <w:iCs w:val="1"/>
          <w:color w:val="auto"/>
        </w:rPr>
        <w:t xml:space="preserve"> </w:t>
      </w:r>
      <w:r>
        <w:rPr>
          <w:rFonts w:ascii="Arial" w:cs="Arial" w:eastAsia="Arial" w:hAnsi="Arial"/>
          <w:sz w:val="18"/>
          <w:szCs w:val="18"/>
          <w:color w:val="auto"/>
        </w:rPr>
        <w:t>Mr. Shaff was Vice President of Corporate Finance for Momenta Pharmaceuticals, a biotechnology company, where he helped manage Momenta’s accounting, finance, planning, and procurement functions, as well as contributing to Momenta’s investor relations efforts. From June 2004 to December 2011, Mr. Shaff held a number of corporate development and finance positions with Genzyme Corporation, a biotechnology company, most recently as Vice President of Finance/Controller for the Personalized Genetic Health division. Mr. Shaff received his B.A. from the University of Pennsylvania and his MBA from Cornell University.</w:t>
      </w:r>
    </w:p>
    <w:p>
      <w:pPr>
        <w:spacing w:after="0" w:line="193"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i w:val="1"/>
          <w:iCs w:val="1"/>
          <w:color w:val="auto"/>
        </w:rPr>
        <w:t>Michele Trucksis, Ph.D., M.D.</w:t>
      </w:r>
      <w:r>
        <w:rPr>
          <w:rFonts w:ascii="Arial" w:cs="Arial" w:eastAsia="Arial" w:hAnsi="Arial"/>
          <w:sz w:val="16"/>
          <w:szCs w:val="16"/>
          <w:color w:val="auto"/>
        </w:rPr>
        <w:t>, has served as our Chief Medical Officer and Executive Vice President since January 2015. Dr. Trucksis was an</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 Clinical Professor at Harvard Medical School from January 2005 to April 2015. From December 2006 to December 2014, Dr. Trucksis held various positions of increasing seniority at Merck Research Laboratories, the research and development division of Merck. Most recently, from June 2014 to December 2014, Dr. Trucksis served as Executive Director, Team Leader &amp; Clinical Lead, Antifungals and Antibacterials where she was responsible for medical, clinical and global product development and strategy. From July 2011 to June 2014, Dr. Trucksis was Project Leader, Antifungals and Antibacterials, and from December 2006 to July 2011, she was Director in Clinical Pharmacology. Dr. Trucksis received her B.S. in Medical Technology from Youngstown State University, her Ph.D. in Biochemistry from Kent State University and her M.D. from Case Western Reserve University School of Medicine.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common stock has been traded on The Nasdaq Global Select Market under the symbol “MCRB” since our initial public offering on June 26, 2015. Prior to this time, there was no public market for our common stock. The following table shows the high and low sale prices per share of our common stock as reported on The Nasdaq Global Select Market for the periods indicated:</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First Quarter 2017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13.32</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 Quarter 2017</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Third Quarter 2017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17.42</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Fourth Quarter 2017</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60" w:type="dxa"/>
            <w:vAlign w:val="bottom"/>
            <w:shd w:val="clear" w:color="auto" w:fill="CFF0FC"/>
          </w:tcPr>
          <w:p>
            <w:pPr>
              <w:spacing w:after="0"/>
              <w:rPr>
                <w:sz w:val="19"/>
                <w:szCs w:val="19"/>
                <w:color w:val="auto"/>
              </w:rPr>
            </w:pPr>
          </w:p>
        </w:tc>
      </w:tr>
      <w:tr>
        <w:trPr>
          <w:trHeight w:val="446"/>
        </w:trPr>
        <w:tc>
          <w:tcPr>
            <w:tcW w:w="5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First Quarter 2016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34.70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 Quarter 2016</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Third Quarter 2016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35.98</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Fourth Quarter 2016</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6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March 2, 2018, the last reported sale price for our common stock on The Nasdaq Global Select Market was $9.90 per share.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graph set forth below compares the cumulative total stockholder return on our common stock between June 26, 2015 (the date of our initial public offering) and December 31, 2017, with the cumulative total return of (a) the Nasdaq Biotechnology Index and (b) the Nasdaq Composite Index, over the same period. This graph assumes the investment of $100 on June 26, 2015 in our common stock, the Nasdaq Biotechnology Index and the Nasdaq Composite Index and assumes the reinvestment of dividends, if any. The graph assumes our closing sales price on June 26, 2015 of $51.40 per share as the initial value of our common stock and not the initial offering price to the public of $18.00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135890</wp:posOffset>
            </wp:positionV>
            <wp:extent cx="6165850" cy="2941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65850"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center"/>
        <w:ind w:right="-79"/>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March 2, 2018, there were approximately 23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not paid any cash dividends on our common stock since inception and do not anticipate paying cash dividends in the foreseeable future.</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make any sales of unregistered securities during the quarter ended December 31, 2017.</w:t>
      </w:r>
    </w:p>
    <w:p>
      <w:pPr>
        <w:spacing w:after="0" w:line="32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repurchases of shares of common stock made during the quarter ended December 31, 2017.</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following selected consolidated financial data should be read in conjunction with “Management’s Discussion and Analysis of Financial Condition and Results of Operations,” our consolidated financial statements and related notes, and other financial information included in this Annual Report on Form 10-K. We have derived the consolidated statement of operations data for the years ended December 31, 2017, 2016, and 2015 and the consolidated balance sheet data as of December 31, 2017 and 2016 from our audited consolidated financial statements, which are included elsewhere in this Annual Report on Form 10-K. The consolidated statement of operations and consolidated balance sheet data as of December 31, 2014 and 2013 are derived from our audited consolidated financial statements that are not included in this Annual Report on Form 10-K. Our historical results are not necessarily indicative of the results that should be expected in the future.</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jc w:val="center"/>
              <w:ind w:left="333"/>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11"/>
              <w:spacing w:after="0" w:line="155"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gridSpan w:val="10"/>
          </w:tcPr>
          <w:p>
            <w:pPr>
              <w:jc w:val="center"/>
              <w:ind w:right="28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Consolidated Statement of Operations Data:</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Revenue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32,100</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21,766</w:t>
            </w:r>
          </w:p>
        </w:tc>
        <w:tc>
          <w:tcPr>
            <w:tcW w:w="120" w:type="dxa"/>
            <w:vAlign w:val="bottom"/>
          </w:tcPr>
          <w:p>
            <w:pPr>
              <w:spacing w:after="0"/>
              <w:rPr>
                <w:sz w:val="19"/>
                <w:szCs w:val="19"/>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89,455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81,989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38,095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34,040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32,616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123,495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114,605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54,856</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15,082</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(91,395)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(92,839)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(54,856)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(15,082)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(expense), net</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Revaluation of preferred stock warrant</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liability</w:t>
            </w: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(1,418)</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4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(89,380)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(91,579)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(54,780)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(16,709)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Accretion of convertible preferred stock to</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380"/>
              <w:spacing w:after="0"/>
              <w:rPr>
                <w:sz w:val="20"/>
                <w:szCs w:val="20"/>
                <w:color w:val="auto"/>
              </w:rPr>
            </w:pPr>
            <w:r>
              <w:rPr>
                <w:rFonts w:ascii="Arial" w:cs="Arial" w:eastAsia="Arial" w:hAnsi="Arial"/>
                <w:sz w:val="18"/>
                <w:szCs w:val="18"/>
                <w:color w:val="auto"/>
              </w:rPr>
              <w:t>redemption value</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(1,291)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(89,380</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(91,579</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(54,780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(18,000</w:t>
            </w:r>
          </w:p>
        </w:tc>
        <w:tc>
          <w:tcPr>
            <w:tcW w:w="16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(6,977</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(2.67)</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right="100" w:hanging="512"/>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 Note 11 to our consolidated financial statements appearing at the end of this Annual Report on Form 10-K for further details on the calculation of basic and diluted net loss per share attributable to common stockholders.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0"/>
              </w:rPr>
              <w:t>As of December 31,</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7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2017</w:t>
            </w: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4"/>
                <w:szCs w:val="14"/>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(1)</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color w:val="auto"/>
              </w:rPr>
              <w:t>$   36,088</w:t>
            </w:r>
          </w:p>
        </w:tc>
        <w:tc>
          <w:tcPr>
            <w:tcW w:w="900" w:type="dxa"/>
            <w:vAlign w:val="bottom"/>
          </w:tcPr>
          <w:p>
            <w:pPr>
              <w:jc w:val="right"/>
              <w:spacing w:after="0"/>
              <w:rPr>
                <w:sz w:val="20"/>
                <w:szCs w:val="20"/>
                <w:color w:val="auto"/>
              </w:rPr>
            </w:pPr>
            <w:r>
              <w:rPr>
                <w:rFonts w:ascii="Arial" w:cs="Arial" w:eastAsia="Arial" w:hAnsi="Arial"/>
                <w:sz w:val="18"/>
                <w:szCs w:val="18"/>
                <w:color w:val="auto"/>
              </w:rPr>
              <w:t>$   54,539</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   73,933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w w:val="98"/>
              </w:rPr>
              <w:t>114,185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1,654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r>
              <w:rPr>
                <w:rFonts w:ascii="Arial" w:cs="Arial" w:eastAsia="Arial" w:hAnsi="Arial"/>
                <w:sz w:val="15"/>
                <w:szCs w:val="15"/>
                <w:color w:val="auto"/>
              </w:rPr>
              <w:t>(1)</w:t>
            </w:r>
          </w:p>
        </w:tc>
        <w:tc>
          <w:tcPr>
            <w:tcW w:w="17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113,895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175,456</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131,149</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color w:val="auto"/>
              </w:rPr>
              <w:t>123,453</w:t>
            </w:r>
          </w:p>
        </w:tc>
        <w:tc>
          <w:tcPr>
            <w:tcW w:w="900" w:type="dxa"/>
            <w:vAlign w:val="bottom"/>
          </w:tcPr>
          <w:p>
            <w:pPr>
              <w:jc w:val="right"/>
              <w:spacing w:after="0"/>
              <w:rPr>
                <w:sz w:val="20"/>
                <w:szCs w:val="20"/>
                <w:color w:val="auto"/>
              </w:rPr>
            </w:pPr>
            <w:r>
              <w:rPr>
                <w:rFonts w:ascii="Arial" w:cs="Arial" w:eastAsia="Arial" w:hAnsi="Arial"/>
                <w:sz w:val="18"/>
                <w:szCs w:val="18"/>
                <w:color w:val="auto"/>
              </w:rPr>
              <w:t>167,912</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196,690</w:t>
            </w:r>
          </w:p>
        </w:tc>
        <w:tc>
          <w:tcPr>
            <w:tcW w:w="24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w w:val="98"/>
              </w:rPr>
              <w:t>109,140</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7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189,522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272,646</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216,900</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8"/>
              </w:rPr>
              <w:t>117,345</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Preferred stock warrant liability</w:t>
            </w:r>
          </w:p>
        </w:tc>
        <w:tc>
          <w:tcPr>
            <w:tcW w:w="8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1,582</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discount,</w:t>
            </w:r>
          </w:p>
        </w:tc>
        <w:tc>
          <w:tcPr>
            <w:tcW w:w="8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including current portion</w:t>
            </w:r>
          </w:p>
        </w:tc>
        <w:tc>
          <w:tcPr>
            <w:tcW w:w="8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2,504</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Convertible preferred stock</w:t>
            </w:r>
            <w:r>
              <w:rPr>
                <w:rFonts w:ascii="Arial" w:cs="Arial" w:eastAsia="Arial" w:hAnsi="Arial"/>
                <w:sz w:val="15"/>
                <w:szCs w:val="15"/>
                <w:color w:val="auto"/>
              </w:rPr>
              <w:t>(3)</w:t>
            </w:r>
          </w:p>
        </w:tc>
        <w:tc>
          <w:tcPr>
            <w:tcW w:w="8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w w:val="98"/>
              </w:rPr>
              <w:t>136,077</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11,583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17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60,699</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132,631</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205,394</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(26,721)</w:t>
            </w: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(11,116)</w:t>
            </w:r>
          </w:p>
        </w:tc>
      </w:tr>
    </w:tbl>
    <w:p>
      <w:pPr>
        <w:spacing w:after="0" w:line="134" w:lineRule="exact"/>
        <w:rPr>
          <w:sz w:val="20"/>
          <w:szCs w:val="20"/>
          <w:color w:val="auto"/>
        </w:rPr>
      </w:pPr>
    </w:p>
    <w:p>
      <w:pPr>
        <w:ind w:left="520" w:right="440" w:hanging="512"/>
        <w:spacing w:after="0" w:line="291"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January 2016, we entered into a Collaboration and License Agreement with NHS for the development and commercialization of certain of our product candidates. In exchange for the license, NHS paid us an upfront cash payment of $120 million, which we received in February 2016.</w:t>
      </w: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9" w:lineRule="exact"/>
        <w:rPr>
          <w:rFonts w:ascii="Arial" w:cs="Arial" w:eastAsia="Arial" w:hAnsi="Arial"/>
          <w:sz w:val="18"/>
          <w:szCs w:val="18"/>
          <w:color w:val="auto"/>
        </w:rPr>
      </w:pPr>
    </w:p>
    <w:p>
      <w:pPr>
        <w:ind w:left="520" w:right="220" w:hanging="512"/>
        <w:spacing w:after="0" w:line="323"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Convertible preferred stock was converted into our common stock upon the listing of our common stock on The NASDAQ Global Select Market on June 26, 2015. See Note 8 to our consolidated financial statements appearing at the end of this Annual Report on Form 10-K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-734060</wp:posOffset>
            </wp:positionV>
            <wp:extent cx="12090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60" w:firstLine="518"/>
        <w:spacing w:after="0" w:line="297" w:lineRule="auto"/>
        <w:rPr>
          <w:sz w:val="20"/>
          <w:szCs w:val="20"/>
          <w:color w:val="auto"/>
        </w:rPr>
      </w:pPr>
      <w:r>
        <w:rPr>
          <w:rFonts w:ascii="Arial" w:cs="Arial" w:eastAsia="Arial" w:hAnsi="Arial"/>
          <w:sz w:val="16"/>
          <w:szCs w:val="16"/>
          <w:i w:val="1"/>
          <w:iCs w:val="1"/>
          <w:color w:val="auto"/>
        </w:rPr>
        <w:t>You should read the following discussion and analysis of financial condition and results of operations together with Item 6 “Selected Consolidated Financial Data” and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Item 1A. Risk Factors.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 xml:space="preserve">We are a microbiome therapeutics platform company developing a novel class of biological drugs, which are designed to treat disease by restoring the function of a dysbiotic microbiome. Our lead product candidate, SER-109, is designed to reduce recurrences of </w:t>
      </w:r>
      <w:r>
        <w:rPr>
          <w:rFonts w:ascii="Arial" w:cs="Arial" w:eastAsia="Arial" w:hAnsi="Arial"/>
          <w:sz w:val="17"/>
          <w:szCs w:val="17"/>
          <w:i w:val="1"/>
          <w:iCs w:val="1"/>
          <w:color w:val="auto"/>
        </w:rPr>
        <w:t>Clostridium difficile</w:t>
      </w:r>
      <w:r>
        <w:rPr>
          <w:rFonts w:ascii="Arial" w:cs="Arial" w:eastAsia="Arial" w:hAnsi="Arial"/>
          <w:sz w:val="17"/>
          <w:szCs w:val="17"/>
          <w:color w:val="auto"/>
        </w:rPr>
        <w:t xml:space="preserve">, or </w:t>
      </w:r>
      <w:r>
        <w:rPr>
          <w:rFonts w:ascii="Arial" w:cs="Arial" w:eastAsia="Arial" w:hAnsi="Arial"/>
          <w:sz w:val="17"/>
          <w:szCs w:val="17"/>
          <w:i w:val="1"/>
          <w:iCs w:val="1"/>
          <w:color w:val="auto"/>
        </w:rPr>
        <w:t>C. difficile</w:t>
      </w:r>
      <w:r>
        <w:rPr>
          <w:rFonts w:ascii="Arial" w:cs="Arial" w:eastAsia="Arial" w:hAnsi="Arial"/>
          <w:sz w:val="17"/>
          <w:szCs w:val="17"/>
          <w:color w:val="auto"/>
        </w:rPr>
        <w:t>, infection, or CDI, a debilitating infection of the colon, in patients who have received antibiotic therapy for recurrent CDI by treating the dysbiosis of the colonic microbiome and, if approved by the U.S. Food and Drug Administration, or FDA, could be a first-in-field oral microbiome drug. Our second product candidate, SER-287, is being developed to treat inflammatory bowel disease, or IBD, including ulcerative colitis, or UC. In addition, using our microbiome therapeutics platform, we are developing product candidates to treat diseases where the microbiome is implicated, including SER-401, a microbiome therapeutic candidate for use with checkpoint inhibitors in patients with solid tumors, SER-262, a rationally designed product candidate, to reduce recurrence of CDI in patients who have received antibiotic therapy for an initial or primary CDI, SER-301, a rationally designed IBD candidate, and SER-155, a rationally designed product candidate to prevent infections and improve gastrointestinal barrier function (including the consequences of graft versus host disease) in patients following allogeneic hematopoietic stem cell transplants or solid organ transplants. We are also using our microbiome therapeutics platform to conduct research on various indications, including: infectious diseases, metabolic diseases, and inflammatory and immune diseases, including immuno-oncology.</w:t>
      </w:r>
    </w:p>
    <w:p>
      <w:pPr>
        <w:spacing w:after="0" w:line="18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Since our inception in October 2010, we have devoted substantially all of our resources to developing SER-109, SER-287 and SER-262, researching our pre-clinical candidates SER-401, SER-155 and SER-301, building our intellectual property portfolio, developing our supply chain, business planning, raising capital and providing general and administrative support for these operations.</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All of our product candidates other than SER-109, SER-262 and SER-287 are still in pre-clinical or research development. Our ability to generate product revenue sufficient to achieve profitability will depend heavily on the successful development and eventual commercialization of one or more of our product candidates. Since our inception, we have incurred significant operating losses. Our net loss was $89.4 million for the year ended December 31, 2017. As of December 31, 2017, we had an accumulated deficit of $263.6 million.</w:t>
      </w:r>
    </w:p>
    <w:p>
      <w:pPr>
        <w:spacing w:after="0" w:line="18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On July 29, 2016, we announced the interim eight-week results from our SER-109 Phase 2 clinical study, a randomized, double-blind, placebo controlled Phase 2 clinical study conducted in 89 subjects to evaluate the safety, tolerability and efficacy of SER-109 in adults with recurrent CDI. In that study, 44% of subjects (26 of 59) who received SER-109 experienced a recurrence at the eight week endpoint compared to 53% of subjects (16 of 30) who received placebo, a result that was not statically significant.</w:t>
      </w:r>
    </w:p>
    <w:p>
      <w:pPr>
        <w:spacing w:after="0" w:line="18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 xml:space="preserve">In order to understand the difference in outcome between Phase 1b/2 and Phase 2 clinical studies of SER-109, we conducted an analysis of the available clinical, microbiome and chemistry, manufacturing and control data. We identified specific factors that we believe contributed to the Phase 2 clinical study results, including issues related to both the accurate diagnosis of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recurrent infection, and potential suboptimal dosing of certain subjects in the trial. In June 2017 we initiated a Phase 3 clinical study of SER-109 in approximately 320 patients with multiply recurrent CDI. Diagnosis of CDI infection for both study entry and for endpoint analysis will be confirmed by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cytotoxin assay, as compared to the Phase 2 clinical study, where most patients were diagnosed by PCR. Patients in the SER-109 arm will receive a total SER-109 dose, administered over three days, approximately 10-fold higher than the dose used in the Phase 2 clinical study. The new study will evaluate patients for 24 weeks and the primary endpoint will compare the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recurrence rate in subjects who receive SER-109 verses placebo at up to eight weeks after dosing.</w:t>
      </w:r>
    </w:p>
    <w:p>
      <w:pPr>
        <w:spacing w:after="0" w:line="179"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On October 2, 2017, we announced positive topline results from our Phase 1b clinical trial of SER-287 in patients with UC. The SER-287 Phase 1b study, a randomized, double-blinded, placebo-controlled, multiple-dose, induction study enrolled patients with active mild-to-moderate UC, with Total Modified Mayo scores of 4 to 10. The study enrolled 58 patients at 20 sites across the United States. Study subjects exhibited pre-study disease activity despite use of current therapies in a majority of subjects, which included 5-amino-salacylic acid, low dose corticosteroids, or immunomodulatory therapy. An evaluation of SER-287 safety and tolerability was a primary study endpoint. Study results demonstrated no imbalance in adverse events in SER-287-treated patients as compared to patients treated with placebo. There were no drug related serious adverse events.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ind w:right="120" w:firstLine="518"/>
        <w:spacing w:after="0" w:line="272" w:lineRule="auto"/>
        <w:rPr>
          <w:sz w:val="20"/>
          <w:szCs w:val="20"/>
          <w:color w:val="auto"/>
        </w:rPr>
      </w:pPr>
      <w:r>
        <w:rPr>
          <w:rFonts w:ascii="Arial" w:cs="Arial" w:eastAsia="Arial" w:hAnsi="Arial"/>
          <w:sz w:val="17"/>
          <w:szCs w:val="17"/>
          <w:color w:val="auto"/>
        </w:rPr>
        <w:t>Analyses of study patients’ microbiome data, a co-primary study endpoint of the trial, demonstrated that SER-287 induced dose-dependent engraftment of SER-287-derived bacterial species into the colonic microbiome of the patients treated with SER-287. Patients administered vancomycin pre-treatment followed by daily administration of SER-287 had the highest level of SER-287 engraftment, which was statistically significant. This patient cohort corresponded with the study arm where the most significant clinical benefits were observed, including clinical remission and endoscopic improvement. Differences in the composition of the microbiome post treatment were also associated with clinical remission. Bacterial engraftment signatures were durable throughout the dosing period of the trial and were also observed at four weeks post administration of the final SER-287 dose. The SER-287 Phase 1b study microbiome data support the previously reported clinical results.</w:t>
      </w:r>
    </w:p>
    <w:p>
      <w:pPr>
        <w:spacing w:after="0" w:line="17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An evaluation of SER-287 safety and tolerability was a primary study endpoint. Study results demonstrated no imbalance in adverse events in SER-287-treated patients as compared to patients treated with placebo. There were no drug related serious adverse events.</w:t>
      </w:r>
    </w:p>
    <w:p>
      <w:pPr>
        <w:spacing w:after="0" w:line="170"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We progressed our drug discovery and development platforms with the initiation in July 2016 of a Phase 1b dose-escalating study for SER-262, the first clinical, rationally designed ecology of spore forming bacteria designed to be used following antibiotic treatment for primary CDI to prevent an initial recurrence of CDI. We believe there are several advantages to using a rationally designed approach to developing microbiome therapeutics, such as scaling up manufacturing of rationally-designed product candidates to meet global demand in a reliable and reproducible manner, with well-defined</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characteristics. Based on our metagenomics expertise, proprietary in silico algorithms, extensive proprietary bacterial library, and advanced manufacturing capabilities, we believe we can rationally design microbiome therapeutic candidates for specific target indications. We believe these capabilities provide us with a competitive advantage in developing microbiome therapeutics. SER-262, available in oral capsule form, is derived from a manufacturing process that does not require human donor material. SER-262 contains a consortium of 12 bacterial strains in spore form constructed from strains from our microbiome strain library via in vitro fermentation.</w:t>
      </w:r>
    </w:p>
    <w:p>
      <w:pPr>
        <w:spacing w:after="0" w:line="19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The Phase 1b clinical study is a 24-week, randomized, placebo-controlled, dose-escalation trial. The present study was initially designed to evaluate a single dose administration of SER-262 at ascending spore doses ranging from 1x10</w:t>
      </w:r>
      <w:r>
        <w:rPr>
          <w:rFonts w:ascii="Arial" w:cs="Arial" w:eastAsia="Arial" w:hAnsi="Arial"/>
          <w:sz w:val="14"/>
          <w:szCs w:val="14"/>
          <w:color w:val="auto"/>
        </w:rPr>
        <w:t>4</w:t>
      </w:r>
      <w:r>
        <w:rPr>
          <w:rFonts w:ascii="Arial" w:cs="Arial" w:eastAsia="Arial" w:hAnsi="Arial"/>
          <w:sz w:val="17"/>
          <w:szCs w:val="17"/>
          <w:color w:val="auto"/>
        </w:rPr>
        <w:t xml:space="preserve"> to 1x10</w:t>
      </w:r>
      <w:r>
        <w:rPr>
          <w:rFonts w:ascii="Arial" w:cs="Arial" w:eastAsia="Arial" w:hAnsi="Arial"/>
          <w:sz w:val="14"/>
          <w:szCs w:val="14"/>
          <w:color w:val="auto"/>
        </w:rPr>
        <w:t>8</w:t>
      </w:r>
      <w:r>
        <w:rPr>
          <w:rFonts w:ascii="Arial" w:cs="Arial" w:eastAsia="Arial" w:hAnsi="Arial"/>
          <w:sz w:val="17"/>
          <w:szCs w:val="17"/>
          <w:color w:val="auto"/>
        </w:rPr>
        <w:t xml:space="preserve"> Spore Colony Forming Units, or SCFU, with each dosing cohort comprised of 10 subjects treated with SER-262 and two subjects administered placebo. Following analysis of prior SER-109 clinical studies that suggest higher doses of microbiome therapeutics may be important to rapidly address dysbiosis and provide increased efficacy, in mid-2017 we added additional multiple-dose cohorts to the Phase 1b study of 1x10</w:t>
      </w:r>
      <w:r>
        <w:rPr>
          <w:rFonts w:ascii="Arial" w:cs="Arial" w:eastAsia="Arial" w:hAnsi="Arial"/>
          <w:sz w:val="14"/>
          <w:szCs w:val="14"/>
          <w:color w:val="auto"/>
        </w:rPr>
        <w:t>6</w:t>
      </w:r>
      <w:r>
        <w:rPr>
          <w:rFonts w:ascii="Arial" w:cs="Arial" w:eastAsia="Arial" w:hAnsi="Arial"/>
          <w:sz w:val="17"/>
          <w:szCs w:val="17"/>
          <w:color w:val="auto"/>
        </w:rPr>
        <w:t>, 1x10</w:t>
      </w:r>
      <w:r>
        <w:rPr>
          <w:rFonts w:ascii="Arial" w:cs="Arial" w:eastAsia="Arial" w:hAnsi="Arial"/>
          <w:sz w:val="14"/>
          <w:szCs w:val="14"/>
          <w:color w:val="auto"/>
        </w:rPr>
        <w:t>7</w:t>
      </w:r>
      <w:r>
        <w:rPr>
          <w:rFonts w:ascii="Arial" w:cs="Arial" w:eastAsia="Arial" w:hAnsi="Arial"/>
          <w:sz w:val="17"/>
          <w:szCs w:val="17"/>
          <w:color w:val="auto"/>
        </w:rPr>
        <w:t xml:space="preserve"> and 1x10</w:t>
      </w:r>
      <w:r>
        <w:rPr>
          <w:rFonts w:ascii="Arial" w:cs="Arial" w:eastAsia="Arial" w:hAnsi="Arial"/>
          <w:sz w:val="14"/>
          <w:szCs w:val="14"/>
          <w:color w:val="auto"/>
        </w:rPr>
        <w:t>8</w:t>
      </w:r>
      <w:r>
        <w:rPr>
          <w:rFonts w:ascii="Arial" w:cs="Arial" w:eastAsia="Arial" w:hAnsi="Arial"/>
          <w:sz w:val="17"/>
          <w:szCs w:val="17"/>
          <w:color w:val="auto"/>
        </w:rPr>
        <w:t xml:space="preserve"> SCFU per day SER-262, for a three-day period.</w:t>
      </w:r>
    </w:p>
    <w:p>
      <w:pPr>
        <w:spacing w:after="0" w:line="173"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The primary endpoints of the study are to evaluate the safety and tolerability of SER-262 and to compare the CDI recurrence rate between the SER-262 and placebo groups at up to eight weeks post-dosing. A secondary endpoint is the analysis of the SER-262 bacterial strain engraftment in patient microbiomes. As of now, we have received unblinded clinical data on all but the final 1 x 10</w:t>
      </w:r>
      <w:r>
        <w:rPr>
          <w:rFonts w:ascii="Arial" w:cs="Arial" w:eastAsia="Arial" w:hAnsi="Arial"/>
          <w:sz w:val="13"/>
          <w:szCs w:val="13"/>
          <w:color w:val="auto"/>
        </w:rPr>
        <w:t>8</w:t>
      </w:r>
      <w:r>
        <w:rPr>
          <w:rFonts w:ascii="Arial" w:cs="Arial" w:eastAsia="Arial" w:hAnsi="Arial"/>
          <w:sz w:val="16"/>
          <w:szCs w:val="16"/>
          <w:color w:val="auto"/>
        </w:rPr>
        <w:t xml:space="preserve"> multiple dose cohort, which continues to enroll subjects. No drug-related serious adverse events were observed in these first seven cohorts. No relevant differences were observed in the relative risk of recurrence rates in patients administered SER-262 as compared to placebo. However, this small, first-in-human, Phase 1b study was not powered to detect a statistically significant difference in recurrence rates compared to placebo. A small group of placebo patients were included in this study and, in that group, no recurrences were observed. In addition, there was a measurable difference in recurrence rates in patients treated with Vancomycin and SER-262, as compared to those treated with Metronidazole and SER-262 (4% versus 31%, respectively). This difference was statistically significant with a p value of 0.0049. The medical literature suggests a recurrence rate of about 25% in patients treated solely with vancomycin for primary CDI.</w:t>
      </w:r>
    </w:p>
    <w:p>
      <w:pPr>
        <w:spacing w:after="0" w:line="16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Microbiome analysis has been conducted on the first five, lowest dose cohorts to assess drug pharmacokinetics. We detected a majority of SER-262 strains in patients receiving SER-262; detection of strains was variable across subjects. Partial engraftment of strains was also a characteristic in our SER-109 clinical studies, and has been reported in fecal microbiota treatment of CDI. Engraftment of SER-262 strains was associated with broader changes in the microbiome composition. Microbiome profile differences, based on the antibiotics that were used to treat each patient’s CDI, were also demonstrated. Vancomycin led to more rapid and more robust engraftment of SER-262 strains as compared to Metronidazole. More detailed microbiome and metabolomic analyses remain ongoing. These SER-262 proprietary data, the first ever obtained from a rationally-designed microbiome development candidate, will be used to inform the further development of SER-262 and our other therapeutic candidates.</w:t>
      </w:r>
    </w:p>
    <w:p>
      <w:pPr>
        <w:spacing w:after="0" w:line="178"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While we plan to focus our investment on our highest priority clinical programs in the near-term, our expenses may increase substantially in connection with our ongoing and planned activities, particularly as we:</w:t>
      </w:r>
    </w:p>
    <w:p>
      <w:pPr>
        <w:spacing w:after="0" w:line="62" w:lineRule="exact"/>
        <w:rPr>
          <w:sz w:val="20"/>
          <w:szCs w:val="20"/>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the clinical development of SER-109, our lead product candidate, in the Phase 3 clinical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the clinical development of SER-287 for the treatment of UC and potential other studies of IBD;</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advance the pre-clinical development of SER-401, a microbiome therapeutic candidate for use with checkpoint inhibitors (CPIs) in patients with solid tumors;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ind w:left="1040" w:right="30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 the clinical development of SER-262 to be used following antibiotic treatment of primary CDI to reduce recurrence after the initial episode of CDI;</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additional Ecobiotic® microbiome therapeutic candidates, including SER-155 and SER-301, our rationally designed IBD product candidate;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perform our obligations under the collaboration agreement with Nestec Ltd., or NHS;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225"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w:t>
      </w:r>
    </w:p>
    <w:p>
      <w:pPr>
        <w:spacing w:after="0" w:line="18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188"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In January 2016, we entered into a Collaboration and License Agreement, or the License Agreement, with Nestec Ltd., or NHS, for the development and commercialization of certain of our product candidates in development for the treatment and management of CDI and IBD, including UC and Crohn’s disease. The License Agreement supports the development of our portfolio of products for CDI and IBD in markets outside of the United States and Canada, or the Licensed Territory, and is expected to provide financial support for our ongoing research and development. We have retained full commercial rights to our entire portfolio of product candidates with respect to the United States and Canada, where we plan to build our own commercial organization.</w:t>
      </w:r>
    </w:p>
    <w:p>
      <w:pPr>
        <w:spacing w:after="0" w:line="158" w:lineRule="exact"/>
        <w:rPr>
          <w:sz w:val="20"/>
          <w:szCs w:val="20"/>
          <w:color w:val="auto"/>
        </w:rPr>
      </w:pPr>
    </w:p>
    <w:p>
      <w:pPr>
        <w:ind w:right="300" w:firstLine="518"/>
        <w:spacing w:after="0" w:line="302" w:lineRule="auto"/>
        <w:rPr>
          <w:sz w:val="20"/>
          <w:szCs w:val="20"/>
          <w:color w:val="auto"/>
        </w:rPr>
      </w:pPr>
      <w:r>
        <w:rPr>
          <w:rFonts w:ascii="Arial" w:cs="Arial" w:eastAsia="Arial" w:hAnsi="Arial"/>
          <w:sz w:val="16"/>
          <w:szCs w:val="16"/>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or, collectively, the NHS Collaboration Products. We also granted to NHS a non-exclusive license to export, develop and make NHS Collaboration Products in the licensed fields worldwide solely for commercialization in the licensed fields and in the Licensed Territory.</w:t>
      </w:r>
    </w:p>
    <w:p>
      <w:pPr>
        <w:spacing w:after="0" w:line="154"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In exchange for the license, NHS made an upfront cash payment of $120 million to us in February 2016. NHS has also agreed to pay us tiered royalties, at percentages ranging from the high single digits to high teens, of net sales of NHS Collaboration Products in the Licensed Territory. Additionally, NHS has agreed to pay us up to $660 million for the achievement of certain development and regulatory milestones and up to an aggregate of $1.125 billion for the achievement of certain commercial milestones related to the sales of NHS Collaboration Products. We received a $10.0 million milestone payment in 2016 associated with the planned initiation of a Phase 1b study for SER-262 in CDI. In June 2017, we initiated a Phase 3 clinical study of SER-109 (ECOSPOR III) in patients with multiply recurrent CDI. In July 2017, we recorded revenue of $20.0 million based on the achievement of this milestone under the License Agreement. The full potential value of the upfront payment and milestone payments payable by NHS is over $1.9 billion, assuming all products receive regulatory approval and are successfully commercialized. NHS is also obligated to pay some of the costs related to our clinical trials. See “— Liquidity and Capital Resources.”</w:t>
      </w:r>
    </w:p>
    <w:p>
      <w:pPr>
        <w:spacing w:after="0" w:line="19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expect that our existing cash, cash equivalents and investments, will enable us to fund our operating expenses and capital expenditure requirements through the first quarter of 2019. See “—Liquidity and Capital Resources.”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To date we have not generated any revenues from the sale of products. Our revenues from collaborations have been derived from the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operating expenses since inception have consisted primarily of research and development activities and general and administrative costs.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980" w:firstLine="51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product candidates, which include:</w:t>
      </w:r>
    </w:p>
    <w:p>
      <w:pPr>
        <w:spacing w:after="0" w:line="62" w:lineRule="exact"/>
        <w:rPr>
          <w:sz w:val="20"/>
          <w:szCs w:val="20"/>
          <w:color w:val="auto"/>
        </w:rPr>
      </w:pPr>
    </w:p>
    <w:p>
      <w:pPr>
        <w:ind w:left="1040" w:right="220" w:hanging="519"/>
        <w:spacing w:after="0" w:line="264"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or CROs, that conduct research, pre-clinical activities and clinical trials on our behalf as well as contract manufacturing organizations that manufacture drug products for use in our pre-clinical and clinical trials;</w:t>
      </w:r>
    </w:p>
    <w:p>
      <w:pPr>
        <w:spacing w:after="0" w:line="73"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expense, for personnel in our research and development functions;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stock-based compensation and related travel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of laboratory supplies and acquiring, developing and manufacturing pre-clinical study and clinical trial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17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financial statements as prepaid or accrued research and development expenses. All costs associated with the License Agreement are recorded in research and development expense in the consolidated statements of operations and comprehensive loss.</w:t>
      </w:r>
    </w:p>
    <w:p>
      <w:pPr>
        <w:spacing w:after="0" w:line="18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Our primary focus of research and development since inception has been on our microbiome therapeutics platform and the subsequent development of SER-109, SER-262, SER-287, SER-301 and SER-155. Our direct research and development expenses are tracked on a program-by-program basis and consist primarily of external costs, such as fees paid to investigators, consultants, CROs in connection with our pre-clinical studies and clinical trials, lab supplies and consumables, and regulatory fees. We do not allocate employee-related costs and other indirect costs to specific research and development programs because these costs are deployed across multiple product programs under development and, as such, are classified as costs of our microbiome therapeutics platform research, along with external costs directly related to our microbiome therapeutics platform.</w:t>
      </w:r>
    </w:p>
    <w:p>
      <w:pPr>
        <w:spacing w:after="0" w:line="178"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table below summarizes our research and development expenses incurred on our platform and by product development program for those that have begun clinical development.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515"/>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Microbiome therapeutics platform</w:t>
            </w:r>
          </w:p>
        </w:tc>
        <w:tc>
          <w:tcPr>
            <w:tcW w:w="17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63,695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46,611</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SER-109</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25,386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13,828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SER-262</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SER-287</w:t>
            </w: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5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89,455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38,095</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40" w:type="dxa"/>
            <w:vAlign w:val="bottom"/>
            <w:vMerge w:val="restart"/>
          </w:tcPr>
          <w:p>
            <w:pPr>
              <w:jc w:val="right"/>
              <w:ind w:right="650"/>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73" w:name="page74"/>
    <w:bookmarkEnd w:id="73"/>
    <w:p>
      <w:pPr>
        <w:ind w:firstLine="518"/>
        <w:spacing w:after="0" w:line="276"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advance the clinical development of SER-287 and SER-262, conduct our ECOSPOR III Phase 3 clinical study of SER-109, continue to discover and develop additional product candidates, including SER-401. SER-155 and SER-301, and pursue later stages of clinical development of our product candidates.</w:t>
      </w:r>
    </w:p>
    <w:p>
      <w:pPr>
        <w:spacing w:after="0" w:line="20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Research and development expenses of $89.5 million for the year ended December 31, 2017 were comprised of $7.4 million in external services, $23.9 million in clinical and manufacturing costs, and $58.2 million in other costs.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154"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Our general and administrative expenses may increase in the future if we increase our headcount to support the potential growth in our research and development activities and the potential commercialization of our product candidates. We also may continue to incur increased expenses associated with being a public company, including increased costs of accounting, audit, legal, regulatory and tax-related services associated with maintaining compliance with exchange listing and SEC requirements, director and officer insurance costs and investor and public relations costs.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 (Expense), Net</w:t>
      </w:r>
    </w:p>
    <w:p>
      <w:pPr>
        <w:spacing w:after="0" w:line="11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Interest income (expense), net consists of interest earned on our cash, cash equivalents and investments. During the year ended December 31, 2015, interest expense consisted of interest at the stated rate on borrowings under our loan and security agreement, amortization of deferred financing costs and interest expense related to the accretion of debt discount associated with (1) the fair value of preferred stock warrant we issued in connection with the loan and security agreement and (2) a final payment due at maturity. There was no such interest expense recorded for these items in 2017 and 2016 as we held no preferred stock warrants or debt during the years ended December 31, 2017 and December 31, 2016.</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Other income consists of an award from the Massachusetts Life Sciences Center that we earned in 2017 when we met the required employment thresholds.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Revaluation of Preferred Stock Warrant Liability</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Revaluation of preferred stock warrant liability consists of the net gain or loss associated with the change in the fair value of our preferred stock warrant liability. In connection with the loan and security agreement, we issued a warrant for the purchase of our Series A-2 convertible preferred stock, which we believe is a financial instrument that may have required a transfer of assets because of the redemption feature of the underlying stock. Therefore, we classified this warrant as a liability that we re-measured to fair value at each reporting period, and we recorded the changes in the fair value as a component of other income (expense), net. Upon the listing of our common stock on The Nasdaq Global Select Market, (“NASDAQ”), on June 26, 2015, the preferred stock warrant became a warrant to purchase common stock. We performed the final mark to market adjustment on the preferred stock warrant using the fair value of the underlying common shares of $18.00 per share on June 26, 2015 and recorded the change in fair value in other income (expense), net in the consolidated statement of operations and comprehensive loss. The preferred stock warrant liability was then reclassified to additional paid-in-capital as it became a warrant to purchase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Since our inception in 2010, we have not recorded any U.S. federal or state income tax benefits for the net losses we have incurred in each year or our earned research and development tax credits, due to our uncertainty of realizing a benefit from those items. As of December 31, 2017, we had federal and state net operating loss carryforwards of $120.7 million and $121.0 million, respectively, both of which begin to expire in 2035. As of December 31, 2017, we also had federal and state research and development tax credit carryforwards of $22.6 million and $3.6 million, respectively, which begin to expire in 2031 and 2028, respectively. The federal research and development tax credits include an orphan drug credit carryforward of $14.5 million.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or GAAP, in the United States.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We evaluate multiple-element arrangements based on the guidance in FASB ASC Topic 605-25, Revenue Recognition-Multiple-Element Arrangements, or ASC 605-25. Pursuant to this guidance, we identify the deliverables included in the arrangement and determine: (1) whether the individual deliverables have value to the customer on a standalone basis and represent separate units of accounting or whether they must be accounted for as a combined unit of accounting; and (2) if the arrangement includes a general right of return relative to the delivered item. This evaluation requires us to make judgments about the individual deliverables and whether such deliverables are separable from the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our control. In assessing whether an item has standalone value, we consider factors such as the research, manufacturing and commercialization capabilities of the collaboration partner, the retention of any key rights by us, and the availability of the associated expertise in the general marketplace. In addition, we consider whether the collaboration partner can use the other deliverable(s) for their intended purpose without the receipt of the remaining element(s), whether the value of the deliverable is dependent on the undelivered item(s) and whether there are other vendors that can provide the undelivered element(s).</w:t>
      </w:r>
    </w:p>
    <w:p>
      <w:pPr>
        <w:spacing w:after="0" w:line="17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situations where we have identified multiple units of accounting, the arrangement consideration that is fixed or determinable is allocated among the separate units of accounting using the relative selling price method. Then, the applicable revenue recognition criteria in ASC 605-25 are applied to each of the separate units of accounting in determining the appropriate period and pattern of recognition. We determine the selling price of a unit of accounting following the hierarchy of evidence prescribed by ASC 605-25. Accordingly, we determine the estimated selling price for units of accounting within each arrangement using vendor-specific objective evidence, or VSOE, of selling price, if available, third-party evidence, or TPE, of selling price if VSOE is not available, or best estimate of selling price if neither VSOE nor TPE is available.</w:t>
      </w:r>
    </w:p>
    <w:p>
      <w:pPr>
        <w:spacing w:after="0" w:line="17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recognize arrangement consideration allocated to each unit of accounting when all of the revenue recognition criteria in ASC 605-25 are satisfied for that particular unit of accounting. We will recognize as revenue arrangement consideration attributed to licenses that have standalone value from the other deliverables to be provided in an arrangement upon delivery. We will recognize as revenue arrangement consideration attributed to licenses that do not have standalone value from the other deliverables to be provided in an arrangement over the estimated performance period as the arrangement would be accounted for as a single unit of accounting.</w:t>
      </w:r>
    </w:p>
    <w:p>
      <w:pPr>
        <w:spacing w:after="0" w:line="188"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If there is no discernible pattern of performance and/or objectively measurable performance measures do not exist, then we recognize revenue under the arrangement for the single unit of accounting on a time-based proportional performance method over the period we are expected to complete our performance obligations. Alternatively, if the pattern of performance in which the service is provided to the customer can be determined and objectively measurable performance measures exist, then we recognize revenue under the arrangement using the proportional performance method. Revenue recognized is limited to the lesser of the cumulative amount of payments received or the cumulative amount of revenue earned, as determined using the time-based proportional performance method or effort-based proportional performance method, as applicable.</w:t>
      </w:r>
    </w:p>
    <w:p>
      <w:pPr>
        <w:spacing w:after="0" w:line="17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At the inception of an arrangement that includes milestone payments, we evaluate whether each milestone is substantive and at risk to both parties on the basis of the contingent nature of the milestone. This evaluation includes an assessment of whether: (i) the consideration is commensurate with either our performance to achieve the milestone or the enhancement of the value of the delivered item(s) as a result of a specific outcome resulting from our performance to achieve the milestone, (ii) the consideration relates solely to past performance and (iii) the consideration is reasonable relative to all of the deliverables and payment terms within the arrangement. We evaluate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We recognize revenue associated with substantive milestones in accordance with FASB ASC Topic 605-28, Revenue Recognition-Milestone Method upon successful accomplishment of each milestone, assuming all other revenue recognition criteria are met. Milestones that are not considered substantive would be recognized as revenue over the remaining period of performance, assuming all other revenue recognition criteria are met.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5" w:name="page76"/>
    <w:bookmarkEnd w:id="75"/>
    <w:p>
      <w:pPr>
        <w:ind w:right="220" w:firstLine="518"/>
        <w:spacing w:after="0" w:line="277" w:lineRule="auto"/>
        <w:rPr>
          <w:sz w:val="20"/>
          <w:szCs w:val="20"/>
          <w:color w:val="auto"/>
        </w:rPr>
      </w:pPr>
      <w:r>
        <w:rPr>
          <w:rFonts w:ascii="Arial" w:cs="Arial" w:eastAsia="Arial" w:hAnsi="Arial"/>
          <w:sz w:val="18"/>
          <w:szCs w:val="18"/>
          <w:color w:val="auto"/>
        </w:rPr>
        <w:t>Application of the above guidance requires significant judgment and requires us to make determinations based on the facts and circumstances under each arrangement.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financial statements based on facts and circumstances known to us at that time. Examples of estimated accrued research and development expenses include fees paid to:</w:t>
      </w:r>
    </w:p>
    <w:p>
      <w:pPr>
        <w:spacing w:after="0" w:line="81" w:lineRule="exact"/>
        <w:rPr>
          <w:sz w:val="20"/>
          <w:szCs w:val="20"/>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CROs in connection with performing research services on our behalf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investigative sites or other providers in connection with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vendors in connection with pre-clinical and clinical development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pre-clinical and clinical supplies.</w:t>
      </w:r>
    </w:p>
    <w:p>
      <w:pPr>
        <w:spacing w:after="0" w:line="225"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We measure stock options and other stock-based awards granted to employees and directors based on the fair value on the date of grant and recognize the corresponding compensation expense of those awards over the requisite service period, which is generally the vesting period of the respective award. Generally, we issue stock options and restricted stock awards with only service-based vesting conditions and record the expense for these awards using the straight- line method. We recognize adjustments to stock compensation expense for forfeitures as they occur.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6" w:name="page77"/>
    <w:bookmarkEnd w:id="76"/>
    <w:p>
      <w:pPr>
        <w:ind w:firstLine="518"/>
        <w:spacing w:after="0" w:line="279" w:lineRule="auto"/>
        <w:rPr>
          <w:sz w:val="20"/>
          <w:szCs w:val="20"/>
          <w:color w:val="auto"/>
        </w:rPr>
      </w:pPr>
      <w:r>
        <w:rPr>
          <w:rFonts w:ascii="Arial" w:cs="Arial" w:eastAsia="Arial" w:hAnsi="Arial"/>
          <w:sz w:val="17"/>
          <w:szCs w:val="17"/>
          <w:color w:val="auto"/>
        </w:rPr>
        <w:t>We measure stock-based awards granted to consultants and non-employees based on the fair value of the award on the date at which the related service is complete. Compensation expense is recognized over the period during which services are rendered by such consultants and non- 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7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We estimate the fair value of each stock option grant using the Black-Scholes option-pricing model. Use of this model requires that we make assumptions as to the volatility of our common stock, the expected term of our stock options, the risk-free interest rate for a period that approximates the expected term of our stock options and our expected dividend yield. Because we lack company-specific historical and implied volatility information, we estimate our expected volatility based on the historical volatility of a group of publicly traded peer companies. We expect to continue to do so until such time as we have adequate historical data regarding the volatility of our traded stock price. We use the simplified method prescribed by Securities and Exchange Commission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of options granted to employees and directors. We base the expected term of options granted to consultants and non-employees on the contractual term of the options. We determine the risk-free interest rate by reference to the U.S. Treasury yield curve in effect at the time of grant of the award for time periods approximately equal to the expected term of the award. Expected dividend yield is based on the fact that we have never paid cash dividends and do not expect to pay any cash dividends in the foreseeable future. We adjust stock-based compensation expense for forfeitures as they occur.</w:t>
      </w:r>
    </w:p>
    <w:p>
      <w:pPr>
        <w:spacing w:after="0" w:line="178"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assumptions we used to determine the fair value of stock options granted to employees and directors are as follows, presented on a weighted average basis:</w:t>
      </w:r>
    </w:p>
    <w:p>
      <w:pPr>
        <w:spacing w:after="0" w:line="243"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2.20%</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1.54%</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80.9%</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84.2%</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81.4%</w:t>
            </w:r>
          </w:p>
        </w:tc>
      </w:tr>
      <w:tr>
        <w:trPr>
          <w:trHeight w:val="230"/>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assumptions represented our best estimates, but the estimates involve inherent uncertainties and the application of our judgment.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classification of our stock-based compensation expenses recognized in our consolidated statements of operations: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517"/>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7"/>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Fair value of stock options</w:t>
      </w:r>
    </w:p>
    <w:p>
      <w:pPr>
        <w:spacing w:after="0" w:line="117"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 xml:space="preserve">Prior to our IPO, the estimated fair value of our common stock was determined contemporaneously by our board of directors based on valuation estimates provided by management and prepared in accordance with the framework of the American Institute of Certified Public Accountants’ Technical Practice Aid,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or AICPA Practice Aid, as well as independent third-party valuations. Our contemporaneous valuations of our common stock were based on a number of objective and subjective factors, including external market conditions affecting the biotechnology industry sector and the prices at which we sold shares of preferred stock, the superior rights and preferences of securities senior to our common stock at the time of each grant and the likelihood of achieving a liquidity event such as an IPO. Consequently, after the IPO the fair value of the shares of common stock underlying the stock options is the closing price on the option grant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 to Purchase Convertible Preferred Stock</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classified a warrant to purchase shares of our Series A-2 convertible preferred stock as a liability on our balance sheets as this warrant is a free-standing financial instrument that may require us to transfer assets upon exercise. The warrant was initially recorded at fair value on date of grant, and it was subsequently remeasured to fair value at each balance sheet date. Changes in fair value of this warrant were recognized as a component of other income (expense), net in our consolidated statement of operations and comprehensive loss.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7" w:name="page78"/>
    <w:bookmarkEnd w:id="77"/>
    <w:p>
      <w:pPr>
        <w:ind w:right="40" w:firstLine="518"/>
        <w:spacing w:after="0" w:line="270" w:lineRule="auto"/>
        <w:rPr>
          <w:sz w:val="20"/>
          <w:szCs w:val="20"/>
          <w:color w:val="auto"/>
        </w:rPr>
      </w:pPr>
      <w:r>
        <w:rPr>
          <w:rFonts w:ascii="Arial" w:cs="Arial" w:eastAsia="Arial" w:hAnsi="Arial"/>
          <w:sz w:val="17"/>
          <w:szCs w:val="17"/>
          <w:color w:val="auto"/>
        </w:rPr>
        <w:t>We used the Black-Scholes option-pricing model, which incorporates assumptions and estimates, to value the preferred stock warrant. We assessed these assumptions and estimates on a quarterly basis as additional information impacting the assumptions is obtained. Estimates and assumptions impacting the fair value measurement include the fair value per share of the underlying Series A-2 convertible preferred stock, the remaining contractual term of the warrant, risk-free interest rate, expected dividend yield and expected volatility of the price of the underlying preferred stock. We determine the fair value per share of the underlying preferred stock by taking into consideration our most recent sales of our convertible preferred stock, results obtained from third-party valuations and additional factors that we deemed relevant. We have historically been a private company and lack company-specific historical and implied volatility information of our stock. Therefore, we estimated expected stock volatility based on the historical volatility of publicly traded peer companies for a term equal to the remaining contractual term of the warrant. The risk-free interest rate is determined by reference to the U.S. Treasury yield curve for time periods approximately equal to the remaining contractual term of the warrant. We estimated a 0% dividend yield based on the expected dividend yield and the fact that we have never paid or declared dividends.</w:t>
      </w:r>
    </w:p>
    <w:p>
      <w:pPr>
        <w:spacing w:after="0" w:line="178" w:lineRule="exact"/>
        <w:rPr>
          <w:sz w:val="20"/>
          <w:szCs w:val="20"/>
          <w:color w:val="auto"/>
        </w:rPr>
      </w:pPr>
    </w:p>
    <w:p>
      <w:pPr>
        <w:jc w:val="both"/>
        <w:ind w:right="200" w:firstLine="518"/>
        <w:spacing w:after="0" w:line="302" w:lineRule="auto"/>
        <w:rPr>
          <w:sz w:val="20"/>
          <w:szCs w:val="20"/>
          <w:color w:val="auto"/>
        </w:rPr>
      </w:pPr>
      <w:r>
        <w:rPr>
          <w:rFonts w:ascii="Arial" w:cs="Arial" w:eastAsia="Arial" w:hAnsi="Arial"/>
          <w:sz w:val="16"/>
          <w:szCs w:val="16"/>
          <w:color w:val="auto"/>
        </w:rPr>
        <w:t>Upon the listing of our common stock on NASDAQ on June 26, 2015, the preferred stock warrant became a warrant to purchase common stock. We performed the final mark to market adjustment on the preferred stock warrant using the fair value of the underlying common shares of $18.00 per share on June 26, 2015 and recorded the change in fair value in other income (expense), net in the consolidated statement of operations and comprehensive loss. The preferred stock warrant liability was then reclassified to additional paid-in-capital as it became a warrant to purchase common stock.</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2016:</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32,100</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21,766</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4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89,455</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(91,395)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(92,839)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Interest income (expense), net</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1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(89,380)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(91,579)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131"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Total revenue was $32.1 million and $21.8 million for the years ended December 31, 2017 and 2016, respectively. Of the $32.1 million of revenue recognized for the year ended December 31, 2017, $20.0 million was received from NHS associated with the initiation of the Phase 3 study for SER-109 in patients with multiply recurrent CDI, which is a substantive milestone under the License Agreement. Of the $21.8 million of revenue recognized for the year ended December 31, 2016, $10.0 million was received from NHS associated with the initiation of the Phase 1b study for SER-262 in CDI, which was a substantive development milestone under the License Agreement. We recognize revenue associated with substantive milestones in accordance with FASB ASC Topic 605-28, Revenue Recognition-Milestone Method, or ASC 605-28. The $20.0 million and $10.0 million payments were recognized in full as related party collaboration revenue during the years ended December 31, 2017 and 2016, respectively. The remaining revenue for both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ind w:right="20"/>
        <w:spacing w:after="0" w:line="277" w:lineRule="auto"/>
        <w:rPr>
          <w:sz w:val="20"/>
          <w:szCs w:val="20"/>
          <w:color w:val="auto"/>
        </w:rPr>
      </w:pPr>
      <w:r>
        <w:rPr>
          <w:rFonts w:ascii="Arial" w:cs="Arial" w:eastAsia="Arial" w:hAnsi="Arial"/>
          <w:sz w:val="18"/>
          <w:szCs w:val="18"/>
          <w:color w:val="auto"/>
        </w:rPr>
        <w:t>periods principally relates to the recognition of the $120.0 million upfront payment under the License Agreement over the estimated performance period of 10 years.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Microbiome therapeutics platform</w:t>
            </w:r>
          </w:p>
        </w:tc>
        <w:tc>
          <w:tcPr>
            <w:tcW w:w="1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63,695</w:t>
            </w:r>
          </w:p>
        </w:tc>
        <w:tc>
          <w:tcPr>
            <w:tcW w:w="56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46,611</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SER-109</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16,306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SER-262</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SER-287</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Research and development expenses were $89.5 million for the year ended December 31, 2017, compared to $82.0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The increase of $7.5 million was due primarily to the following:</w:t>
      </w:r>
    </w:p>
    <w:p>
      <w:pPr>
        <w:spacing w:after="0" w:line="103" w:lineRule="exact"/>
        <w:rPr>
          <w:sz w:val="20"/>
          <w:szCs w:val="20"/>
          <w:color w:val="auto"/>
        </w:rPr>
      </w:pPr>
    </w:p>
    <w:p>
      <w:pPr>
        <w:ind w:left="1040" w:right="120" w:hanging="519"/>
        <w:spacing w:after="0" w:line="259"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increase of $17.1 million in research expenses related to our microbiome therapeutics platform, due primarily to higher payroll and consultant costs of $6.1 million, an increase in facilities and depreciation costs of $5.3 million, an increase in sponsorship and license costs of $2.7 million, an increase in laboratory consumables and supplies of $1.6 million, an increase in IT expenses of $0.6 million, and an increase in office expenses of $0.7 million;</w:t>
      </w:r>
    </w:p>
    <w:p>
      <w:pPr>
        <w:spacing w:after="0" w:line="78" w:lineRule="exact"/>
        <w:rPr>
          <w:rFonts w:ascii="Arial" w:cs="Arial" w:eastAsia="Arial" w:hAnsi="Arial"/>
          <w:sz w:val="18"/>
          <w:szCs w:val="18"/>
          <w:color w:val="auto"/>
        </w:rPr>
      </w:pPr>
    </w:p>
    <w:p>
      <w:pPr>
        <w:ind w:left="1040" w:right="20" w:hanging="519"/>
        <w:spacing w:after="0" w:line="302" w:lineRule="auto"/>
        <w:tabs>
          <w:tab w:leader="none" w:pos="10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decrease of $9.1 million in expenses related to our SER-109 program, due primarily to a decrease in clinical trial costs of $1.7 million, a decrease in other consulting costs of $1.2 million, a decrease in laboratory consumables and supplies of $3.5 million, a decrease in sequencing costs of $1.3 million, a decrease in animal studies of $0.6 million, a decrease in conference costs of $0.5 million, a decrease in office expenses of $0.3 million, and a decrease in IT expenses of $0.2 million, partially offset by an increase in contract manufacturing costs of $0.3 million;</w:t>
      </w:r>
    </w:p>
    <w:p>
      <w:pPr>
        <w:spacing w:after="0" w:line="46" w:lineRule="exact"/>
        <w:rPr>
          <w:rFonts w:ascii="Arial" w:cs="Arial" w:eastAsia="Arial" w:hAnsi="Arial"/>
          <w:sz w:val="16"/>
          <w:szCs w:val="16"/>
          <w:color w:val="auto"/>
        </w:rPr>
      </w:pPr>
    </w:p>
    <w:p>
      <w:pPr>
        <w:ind w:left="1040" w:right="100" w:hanging="519"/>
        <w:spacing w:after="0" w:line="264"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decrease of $0.3 million in expenses of our SER-262 program primarily driven by a decrease in contract manufacturing costs of $1.0 million, a decrease in animal studies costs of $0.2 million, and a decrease in other consulting costs of $0.2 million, partially offset by an increase in clinical trial costs of $0.9 million and an increase in sequencing costs of $0.3 million,; and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decrease of $0.2 million in expenses of our SER-287 program primarily driven by a decrease in contract manufacturing costs of $0.3 million a decrease in other consulting costs of $0.2 million, and a decrease in lab consumables and supplies of $0.6 million, partially offset by an increase in clinical trial costs of $0.3 million and an increase in sequencing costs of $0.6 million.</w:t>
      </w:r>
    </w:p>
    <w:p>
      <w:pPr>
        <w:spacing w:after="0" w:line="181"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We expect that our research and development expenses may increase in the foreseeable future as we advance the clinical development of SER-109, SER-287 and SER-262, and continue to discover and develop additional product candidates, including SER-401, SER-301 and SER-155, and pursue later stages of clinical development of our product candidates.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 (including stock-based compensation)</w:t>
            </w:r>
          </w:p>
        </w:tc>
        <w:tc>
          <w:tcPr>
            <w:tcW w:w="9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17,233</w:t>
            </w:r>
          </w:p>
        </w:tc>
        <w:tc>
          <w:tcPr>
            <w:tcW w:w="56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16,623</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Professional fees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8,265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Facility-related and other</w:t>
            </w:r>
          </w:p>
        </w:tc>
        <w:tc>
          <w:tcPr>
            <w:tcW w:w="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8,542</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Total general and administrative expenses</w:t>
            </w:r>
          </w:p>
        </w:tc>
        <w:tc>
          <w:tcPr>
            <w:tcW w:w="6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34,040</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and administrative expenses were $34.0 million for the year ended December 31, 2017, compared to $32.6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The increase of $1.4 million was primarily due to the following:</w:t>
      </w:r>
    </w:p>
    <w:p>
      <w:pPr>
        <w:spacing w:after="0" w:line="103" w:lineRule="exact"/>
        <w:rPr>
          <w:sz w:val="20"/>
          <w:szCs w:val="20"/>
          <w:color w:val="auto"/>
        </w:rPr>
      </w:pPr>
    </w:p>
    <w:p>
      <w:pPr>
        <w:ind w:left="5620" w:right="1680" w:hanging="5099"/>
        <w:spacing w:after="0" w:line="528" w:lineRule="auto"/>
        <w:tabs>
          <w:tab w:leader="none" w:pos="103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increase in personnel related costs of $0.6 million primarily due to the increase in stock-based compensation expense;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ind w:left="1040" w:right="40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decrease in professional fees of $0.8 million due to a decrease in consulting costs of $0.9 million, partially offset by an increase in legal, accounting, and audit fees of $0.1 million; and</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increase in facility-related and other costs of $1.6 million primarily due to an increase in information technology expenses of $2.5 million, partially offset by a decrease in office-related expenses of $1.0 million.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Other income (expense), net for the year ended December 31, 2017 was $2.0 million, compared to $1.3 million for the year ended December 31, 2016. The $0.8 million increase in other income (expense), net was primarily due to an increase of $0.3 million in interest income and the recognition of $0.3 million of non-operating income related to the Massachusetts Life Sciences Center tax incentive received in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2016 and 2015:</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21,766</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(92,839)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(54,856)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Interest income (expense), net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Revaluation of preferred stock warrant liability</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8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(91,579)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(54,780)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(36,799)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13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Total revenue was $21.8 million for the year ended December 31, 2016. Of this $21.8 million, $10.0 million was received from NHS associated with the initiation of the Phase 1b study for SER-262 in CDI which is a substantive development milestone under the License Agreement. We recognized revenue associated with substantive milestones in accordance with FASB ASC Topic 605-28, Revenue Recognition-Milestone Method. The $10.0 million was recognized in full as related party collaboration revenue during the year ended December 31, 2016. The remaining $11.8 million relates to the recognition of the $120.0 million upfront payment from NHS over the estimated performance period of 10 years. We had no revenue for the year ended December 31, 2015.</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Microbiome therapeutics platform</w:t>
            </w:r>
          </w:p>
        </w:tc>
        <w:tc>
          <w:tcPr>
            <w:tcW w:w="1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46,611</w:t>
            </w:r>
          </w:p>
        </w:tc>
        <w:tc>
          <w:tcPr>
            <w:tcW w:w="56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20,603</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SER-109</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25,386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13,828</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SER-262</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SER-287</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43,894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Research and development expenses were $82.0 million for the year ended December 31, 2016, compared to $38.1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The increase of $43.9 million was due primarily to the following:</w:t>
      </w:r>
    </w:p>
    <w:p>
      <w:pPr>
        <w:spacing w:after="0" w:line="103" w:lineRule="exact"/>
        <w:rPr>
          <w:sz w:val="20"/>
          <w:szCs w:val="20"/>
          <w:color w:val="auto"/>
        </w:rPr>
      </w:pPr>
    </w:p>
    <w:p>
      <w:pPr>
        <w:ind w:left="1040" w:right="680" w:hanging="519"/>
        <w:spacing w:after="0" w:line="308" w:lineRule="auto"/>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 increase of $26.0 million in research expenses related to our microbiome therapeutics platform, due primarily to higher payroll and consultant costs of $16.0 million, which included an increase in stock-based compensation expense of $3.0</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0" w:name="page81"/>
    <w:bookmarkEnd w:id="80"/>
    <w:p>
      <w:pPr>
        <w:ind w:left="1040" w:right="180"/>
        <w:spacing w:after="0" w:line="259" w:lineRule="auto"/>
        <w:rPr>
          <w:sz w:val="20"/>
          <w:szCs w:val="20"/>
          <w:color w:val="auto"/>
        </w:rPr>
      </w:pPr>
      <w:r>
        <w:rPr>
          <w:rFonts w:ascii="Arial" w:cs="Arial" w:eastAsia="Arial" w:hAnsi="Arial"/>
          <w:sz w:val="18"/>
          <w:szCs w:val="18"/>
          <w:color w:val="auto"/>
        </w:rPr>
        <w:t>million due primarily to an increase in research and development employee headcount of 26 individuals, an increase in facilities and depreciation costs of $7.0 million due primarily to the buildout of new laboratory and manufacturing space in Cambridge, Massachusetts, an increase in license costs of $1.3 million, an increase in laboratory consumables and supplies of $1.2 million, and an increase in travel costs of $0.3 million;</w:t>
      </w:r>
    </w:p>
    <w:p>
      <w:pPr>
        <w:spacing w:after="0" w:line="79" w:lineRule="exact"/>
        <w:rPr>
          <w:sz w:val="20"/>
          <w:szCs w:val="20"/>
          <w:color w:val="auto"/>
        </w:rPr>
      </w:pPr>
    </w:p>
    <w:p>
      <w:pPr>
        <w:ind w:left="1040" w:right="200" w:hanging="519"/>
        <w:spacing w:after="0" w:line="312" w:lineRule="auto"/>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increase of $11.6 million in expenses related to our SER-109 program, due primarily to an increase in clinical trial costs of $7.1 million in connection with our Phase 2 clinical study, an increase in other consulting costs of $0.4 million, an increase in laboratory consumables and supplies of $2.2 million, an increase in sequencing costs of $0.9 million, and an increase in conference costs of $0.5 million;</w:t>
      </w:r>
    </w:p>
    <w:p>
      <w:pPr>
        <w:spacing w:after="0" w:line="38" w:lineRule="exact"/>
        <w:rPr>
          <w:rFonts w:ascii="Arial" w:cs="Arial" w:eastAsia="Arial" w:hAnsi="Arial"/>
          <w:sz w:val="16"/>
          <w:szCs w:val="16"/>
          <w:color w:val="auto"/>
        </w:rPr>
      </w:pPr>
    </w:p>
    <w:p>
      <w:pPr>
        <w:ind w:left="1040" w:right="120" w:hanging="519"/>
        <w:spacing w:after="0" w:line="259"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of $3.7 million in expenses of our SER-262 program primarily driven by an increase in clinical trial costs of $1.4 million, an increase in contract manufacturing costs of $0.9 million, an increase in animal studies costs of $0.1 million, an increase in other consulting costs of $0.2 million, and an increase in lab consumables and supplies of $1.0 million; these increases are due primarily to the initiation of our Phase 1b clinical study in July 2016; and</w:t>
      </w:r>
    </w:p>
    <w:p>
      <w:pPr>
        <w:spacing w:after="0" w:line="78" w:lineRule="exact"/>
        <w:rPr>
          <w:rFonts w:ascii="Arial" w:cs="Arial" w:eastAsia="Arial" w:hAnsi="Arial"/>
          <w:sz w:val="18"/>
          <w:szCs w:val="18"/>
          <w:color w:val="auto"/>
        </w:rPr>
      </w:pPr>
    </w:p>
    <w:p>
      <w:pPr>
        <w:jc w:val="both"/>
        <w:ind w:left="1040" w:right="540" w:hanging="519"/>
        <w:spacing w:after="0" w:line="264"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of $2.6 million in expenses of our SER-287 program primarily driven by an increase in clinical trial costs of $2.2 million, an increase in lab consumables and supplies of $0.6 million, offset in part due to a decrease in other consulting costs of $0.2 million. These increases are due primarily to the initiation of a Phase 1b clinical trial in December 2015.</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38"/>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 (including stock-based compensation)</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16,623</w:t>
            </w:r>
          </w:p>
        </w:tc>
        <w:tc>
          <w:tcPr>
            <w:tcW w:w="5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8,371</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Professional fees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9,090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Facility-related and other</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6,903</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Total general and administrative expenses</w:t>
            </w:r>
          </w:p>
        </w:tc>
        <w:tc>
          <w:tcPr>
            <w:tcW w:w="7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32,616</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and administrative expenses were $32.6 million for the year ended December 31, 2016, compared to $16.8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The increase of $15.9 million was primarily due to the following:</w:t>
      </w:r>
    </w:p>
    <w:p>
      <w:pPr>
        <w:spacing w:after="0" w:line="103" w:lineRule="exact"/>
        <w:rPr>
          <w:sz w:val="20"/>
          <w:szCs w:val="20"/>
          <w:color w:val="auto"/>
        </w:rPr>
      </w:pPr>
    </w:p>
    <w:p>
      <w:pPr>
        <w:ind w:left="1040" w:right="20" w:hanging="519"/>
        <w:spacing w:after="0" w:line="264"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in personnel related costs of $8.3 million primarily due to the hiring of additional employees from December 31, 2015 to December 31, 2016 to support corporate operations and business development activities, including an increase of $4.2 million in stock-based compensation;</w:t>
      </w:r>
    </w:p>
    <w:p>
      <w:pPr>
        <w:spacing w:after="0" w:line="73" w:lineRule="exact"/>
        <w:rPr>
          <w:rFonts w:ascii="Arial" w:cs="Arial" w:eastAsia="Arial" w:hAnsi="Arial"/>
          <w:sz w:val="18"/>
          <w:szCs w:val="18"/>
          <w:color w:val="auto"/>
        </w:rPr>
      </w:pPr>
    </w:p>
    <w:p>
      <w:pPr>
        <w:jc w:val="both"/>
        <w:ind w:left="1040" w:right="440" w:hanging="519"/>
        <w:spacing w:after="0" w:line="264"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in professional fees of $3.2 million due to an increase in contracted employee costs of $1.0 million, an increase in information technology project consulting costs of $0.6 million, an increase in other general consulting costs of $0.6 million, and an increase in legal, accounting, and audit fees of $0.7 million as a result of ongoing business activities; and</w:t>
      </w:r>
    </w:p>
    <w:p>
      <w:pPr>
        <w:spacing w:after="0" w:line="73"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in facility-related and other costs of $4.4 million primarily due to an increase in office-related expenses of $2.2 million due to the build-out of the 200 Sidney facility, an increase in depreciation and rent charges of $0.9 million, an increase in information technology expenses of $0.9 million, and an increase in insurance costs of $0.5 million.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(expense), net for the year ended December 31, 2016 was $1.3 million, compared to $0.1 million for the year ended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$1.2 million increase in other income (expense), net was primarily due to interest income from investing activities.</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Since our inception, we have generated revenue only from collaborations and have incurred recurring net losses. We anticipate that we will continue to incur losses for at least the next several years. Our research and development and general and administrative expenses may continue to increase and, as a result, we will need additional capital to fund our operations, which we may obtain from additional financings, public offerings, research funding, additional collaborations, contract and grant revenue or other sources.</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January 2016, we entered into the License Agreement with NHS, for the development and commercialization of certain of our product candidates in development for the treatment and management of CDI and IBD, including UC and Crohn’s disease. In exchange for the license, NHS agreed to pay us an upfront cash payment of $120 million, which we received in February 2016. NHS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1" w:name="page82"/>
    <w:bookmarkEnd w:id="81"/>
    <w:p>
      <w:pPr>
        <w:ind w:right="20"/>
        <w:spacing w:after="0" w:line="272" w:lineRule="auto"/>
        <w:rPr>
          <w:sz w:val="20"/>
          <w:szCs w:val="20"/>
          <w:color w:val="auto"/>
        </w:rPr>
      </w:pPr>
      <w:r>
        <w:rPr>
          <w:rFonts w:ascii="Arial" w:cs="Arial" w:eastAsia="Arial" w:hAnsi="Arial"/>
          <w:sz w:val="17"/>
          <w:szCs w:val="17"/>
          <w:color w:val="auto"/>
        </w:rPr>
        <w:t>has also agreed to pay us tiered royalties, at percentages ranging from the high single digits to high teens, of net sales of NHS Collaboration Products in the Licensed Territory. We are eligible to receive up to $285.0 million in development milestone payments, $375.0 million in regulatory payments and up to an aggregate of $1.1 billion for the achievement of certain commercial milestones related to the sales of NHS Collaboration Products. The full potential value of the up-front payment and milestone payments payable by NHS is over $1.9 billion, assuming all products receive regulatory approval and are successfully commercialized. In September 2016, we received a $10.0 million milestone payment associated with the initiation of the Phase 1b clinical study for SER-262 in CDI. In June 2017, we initiated a Phase 3 clinical study of SER-109 (ECOSPOR III) in patients with multiply recurrent CDI. In July 2017, we recorded revenue of $20.0 million based on the achievement of this milestone under the License Agreement.</w:t>
      </w:r>
    </w:p>
    <w:p>
      <w:pPr>
        <w:spacing w:after="0" w:line="17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For the development of NHS Collaboration Products for IBD under a global development plan, we agreed to pay the costs of clinical trials of such products up to and including Phase 2 clinical trials, and 67% of the costs for Phase 3 and other clinical trials of such products, with NHS bearing the remaining 33% of such costs. For other clinical development of NHS Collaboration Products for IBD, we agreed to pay the costs of such activities to support approval in the United States and Canada, and NHS agreed to bear the cost of such activities to support approval of NHS Collaboration Products in the Licensed Territory.</w:t>
      </w:r>
    </w:p>
    <w:p>
      <w:pPr>
        <w:spacing w:after="0" w:line="18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With respect to development of NHS Collaboration Products for CDI under a global development plan, we agreed to pay all costs of Phase 2 clinical trials for SER-109 and for Phase 3 clinical trials for SER-109. We agreed to bear all costs of conducting any Phase 1 or Phase 2 clinical trials under a global development plan for NHS Collaboration Products other than SER-109 for CDI. We agreed to pay 67% and NHS agreed to pay 33% of other costs of Phase 3 clinical trials conducted for NHS Collaboration Products other than SER-109 for CDI under a global development plan. For other clinical development of NHS Collaboration Products for CDI, we agreed to pay costs of such development activities to support approval in the United States and Canada, and NHS agreed to bear the cost of such activities to support approval of NHS Collaboration Products in the Licensed Territory.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2017, we had cash, cash equivalents and investments totaling $150.0 million and an accumulated deficit of $263.6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left="516"/>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 operating activities</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(75,523)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43,921</w:t>
            </w:r>
          </w:p>
        </w:tc>
        <w:tc>
          <w:tcPr>
            <w:tcW w:w="20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(40,844)</w:t>
            </w:r>
          </w:p>
        </w:tc>
      </w:tr>
      <w:tr>
        <w:trPr>
          <w:trHeight w:val="243"/>
        </w:trPr>
        <w:tc>
          <w:tcPr>
            <w:tcW w:w="4380" w:type="dxa"/>
            <w:vAlign w:val="bottom"/>
            <w:gridSpan w:val="2"/>
          </w:tcPr>
          <w:p>
            <w:pPr>
              <w:spacing w:after="0"/>
              <w:rPr>
                <w:sz w:val="20"/>
                <w:szCs w:val="20"/>
                <w:color w:val="auto"/>
              </w:rPr>
            </w:pPr>
            <w:r>
              <w:rPr>
                <w:rFonts w:ascii="Arial" w:cs="Arial" w:eastAsia="Arial" w:hAnsi="Arial"/>
                <w:sz w:val="18"/>
                <w:szCs w:val="18"/>
                <w:color w:val="auto"/>
              </w:rPr>
              <w:t>Cash provided by (used in) investing activities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56,989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(65,453)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(137,133)</w:t>
            </w:r>
          </w:p>
        </w:tc>
      </w:tr>
      <w:tr>
        <w:trPr>
          <w:trHeight w:val="243"/>
        </w:trPr>
        <w:tc>
          <w:tcPr>
            <w:tcW w:w="20" w:type="dxa"/>
            <w:vAlign w:val="bottom"/>
          </w:tcPr>
          <w:p>
            <w:pPr>
              <w:spacing w:after="0"/>
              <w:rPr>
                <w:sz w:val="21"/>
                <w:szCs w:val="21"/>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137,725</w:t>
            </w:r>
          </w:p>
        </w:tc>
        <w:tc>
          <w:tcPr>
            <w:tcW w:w="80" w:type="dxa"/>
            <w:vAlign w:val="bottom"/>
            <w:shd w:val="clear" w:color="auto" w:fill="CFF0FC"/>
          </w:tcPr>
          <w:p>
            <w:pPr>
              <w:spacing w:after="0"/>
              <w:rPr>
                <w:sz w:val="21"/>
                <w:szCs w:val="21"/>
                <w:color w:val="auto"/>
              </w:rPr>
            </w:pPr>
          </w:p>
        </w:tc>
      </w:tr>
      <w:tr>
        <w:trPr>
          <w:trHeight w:val="20"/>
        </w:trPr>
        <w:tc>
          <w:tcPr>
            <w:tcW w:w="43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3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(18,451)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(19,394)</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(40,252)</w:t>
            </w: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3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During the year ended December 31, 2017, operating activities used $75.5 million of cash, primarily due to a net loss of $89.4 million and cash used from changes in our operating assets and liabilities of $10.6 million, partially offset by non-cash charges of $24.4 million. Net cash used by changes in our operating assets and liabilities during the year ended December 31, 2017 consisted of a $0.9 million decrease in accounts payable and a $11.9 million decrease in deferred revenue, offset in part by a $2.2 million increase in accrued expenses and other liabilities. The decrease in our accounts payable and increase in accrued expenses were due to the timing of payments, an increase in payroll related costs, and an increase in amounts accrued for clinical trial expenses. The decrease in deferred revenue was due to the recognition of revenue related to the $120.0 million upfront payment under the License Agreement over the estimated performance period of 10 years.</w:t>
      </w:r>
    </w:p>
    <w:p>
      <w:pPr>
        <w:spacing w:after="0" w:line="189"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During the year ended December 31, 2016, operating activities provided $43.9 million of cash, primarily due to upfront cash of $120.0 million and a milestone payment of $10.0 million received in connection with the License Agreement, and cash provided by changes in our operating assets and liabilities of $6.0 million. This increase was partially offset by a net loss of $91.6 million, less non-cash charges of $20.7 million. Net cash provided by changes in our operating assets and liabilities during the year ended December 31, 2016 consisted of a $3.6 million increase in accounts payable and a $5.0 million increase in accrued expenses and other current liabilities, offset in part by $2.6 million increase in prepaid expenses and other current assets. The increases in our accounts payable and accrued expenses were due to the timing of payments, an increase in payroll related costs, and an increase in amounts accrued for clinical trial and contracted manufacturing expenses. The increase in prepaid expenses and other current assets was due primarily to prepayments made for clinical trial activities.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2" w:name="page83"/>
    <w:bookmarkEnd w:id="82"/>
    <w:p>
      <w:pPr>
        <w:ind w:right="200" w:firstLine="518"/>
        <w:spacing w:after="0" w:line="255" w:lineRule="auto"/>
        <w:rPr>
          <w:sz w:val="20"/>
          <w:szCs w:val="20"/>
          <w:color w:val="auto"/>
        </w:rPr>
      </w:pPr>
      <w:r>
        <w:rPr>
          <w:rFonts w:ascii="Arial" w:cs="Arial" w:eastAsia="Arial" w:hAnsi="Arial"/>
          <w:sz w:val="18"/>
          <w:szCs w:val="18"/>
          <w:color w:val="auto"/>
        </w:rPr>
        <w:t>During the year ended December 31, 2015, operating activities used $40.8 million of cash, primarily resulting from our net loss of $54.8 million and cash provided by changes in our operating assets and liabilities of $3.1 million, partially offset by non-cash charges of $10.8 million. Net cash provided by changes in our operating assets and liabilities during the year ended December 31, 2015 consisted of a $2.5 million increase in prepaid expenses and other current assets, a $2.7 million increase in accounts payable and a $2.9 million increase in accrued expenses and other current liabilities. The increases in our accounts payable and accrued expenses were due to the timing of payments, an increase in payroll related costs, and an increase in amounts accrued for clinical trial and contracted manufacturing expenses. The increase in prepaid expenses and other current assets was due primarily to prepayments made for clinical trial activities.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year ended December 31, 2017, investing activities provided $57.0 million of cash, consisting of sales and maturities of investments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$158.3 million; these amounts were partially offset by purchases of investments of $96.5 million, purchases of property and equipment of $4.7 million, and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our restricted cash balance of $0.1 million.</w:t>
      </w:r>
    </w:p>
    <w:p>
      <w:pPr>
        <w:spacing w:after="0" w:line="21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During the year ended December 31, 2016, we used $65.5 million of cash in investing activities, consisting of purchases of investments of $290.6 million and purchases of property and equipment of $21.5 million; these increases were offset by maturities of investments of $246.5 million and a decrease in our restricted cash balance of $0.1 million.</w:t>
      </w:r>
    </w:p>
    <w:p>
      <w:pPr>
        <w:spacing w:after="0" w:line="181"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During the year ended December 31, 2015, we used $137.1 million of cash in investing activities, consisting of purchases of investments of $267.8 million, purchases of property and equipment of $4.4 million, and an increase in our restricted cash balance of $1.4 million; these increases were offset by maturities of investments of $136.4 million.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During the year ended December 31, 2017, net cash provided by financing activities was $0.1 million in connection with the exercise of options to purchase our common stock, partially offset by payments for the repurchase of common stock.</w:t>
      </w:r>
    </w:p>
    <w:p>
      <w:pPr>
        <w:spacing w:after="0" w:line="17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During the year ended December 31, 2016, net cash provided by financing activities was $2.1 million in connection with the exercise of options to purchase our common stock.</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During the year ended December 31, 2015, net cash provided by financing activities was $137.7 million as a result of proceeds from the issuance of common stock in connection with our IPO of $143.0 million and proceeds of $0.3 million in connection with the exercise of options and warrants to purchase our common stock. These increases were partially offset by principal repayments of $2.6 million of borrowings under our loan and security agreement and payments of costs in connection with the IPO of $2.9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Our expenses may increase substantially in connection with our ongoing development activities related to SER-109, SER-287, and SER-262, which are in clinical development, and our follow-on therapeutic candidates and other programs. In addition, we expect to continue to incur additional costs associated with operating as a public company. We anticipate that our expenses will increase substantially if and as we:</w:t>
      </w:r>
    </w:p>
    <w:p>
      <w:pPr>
        <w:spacing w:after="0" w:line="57" w:lineRule="exact"/>
        <w:rPr>
          <w:sz w:val="20"/>
          <w:szCs w:val="20"/>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 the clinical development of SER-109, our lead product candidate, in the Phase 3 clinical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 the clinical development of SER-287 for the treatment of UC and potential other studies of IBD;</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advance the pre-clinical development of SER-401, a microbiome therapeutic candidate for use with checkpoint inhibitors in patients with solid tumors;</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 the clinical development of SER-262 to be used following antibiotic treatment of primary CDI to reduce recurrence after the initial episode of CDI;</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additional Ecobiotic® microbiome therapeutic candidates, including SER-155 and SER-301, our rationally designed IBD product candidate;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perform our obligations under the collaboration agreement with NHS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22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continue to expect that our existing cash, cash equivalents and investments will enable us to fund our operating expenses and capital expenditure requirements through Q1’19. This estimate excludes net cash flows from future business development activities. The specifics of future SER-109 related activities could impact capital requirements and cash projections. We have based this estimate on assumptions that may prove to be wrong, and we may use our available capital resources sooner than we currently expect. Because of the numerous risks and uncertainties associated with the development of SER-109, SER-287 and SER-262 or our follow-on programs, we are unable to estimate the amounts of increased capital outlays and operating expenses associated with completing the research and development of our product candidates. The near-term focus will be on the highest priority clinical programs to optimally advance our pipeline: SER-287 for UC; SER-109 for recurrent CDI; and the SER-401 immune-oncology program. Our future capital requirements will depend on many factors, including:</w:t>
      </w:r>
    </w:p>
    <w:p>
      <w:pPr>
        <w:spacing w:after="0" w:line="71" w:lineRule="exact"/>
        <w:rPr>
          <w:sz w:val="20"/>
          <w:szCs w:val="20"/>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progress and results of our Phase 3 clinical study of SER-109;</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progress and results of any future clinical studies of SER-287;</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progress and results of any future clinical study of SER-262;</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17"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 including SER-401, SER-155 and SER-301;</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and research activities;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right="880" w:hanging="519"/>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To the extent that we raise additional capital through the sale of equity or convertible debt securities, our shareholders’ ownership interest will be diluted, and the terms of these securities may include liquidation or other preferences that adversely affect our shareholders’ rights as common stockholders.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shareholders’ ownership interest.</w:t>
      </w:r>
    </w:p>
    <w:p>
      <w:pPr>
        <w:spacing w:after="0" w:line="193"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in addition to the License Agreement,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2017 and the effect such obligations are expected to have on our liquidity and cash flows in future periods: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right="10"/>
              <w:spacing w:after="0"/>
              <w:rPr>
                <w:sz w:val="20"/>
                <w:szCs w:val="20"/>
                <w:color w:val="auto"/>
              </w:rPr>
            </w:pPr>
            <w:r>
              <w:rPr>
                <w:rFonts w:ascii="Arial" w:cs="Arial" w:eastAsia="Arial" w:hAnsi="Arial"/>
                <w:sz w:val="14"/>
                <w:szCs w:val="14"/>
                <w:b w:val="1"/>
                <w:bCs w:val="1"/>
                <w:color w:val="auto"/>
                <w:w w:val="92"/>
              </w:rPr>
              <w:t>Payments Due by Period</w:t>
            </w: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237"/>
              <w:spacing w:after="0" w:line="133" w:lineRule="exact"/>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1 - 3 Years</w:t>
            </w:r>
          </w:p>
        </w:tc>
        <w:tc>
          <w:tcPr>
            <w:tcW w:w="14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4 - 5 Years</w:t>
            </w:r>
          </w:p>
        </w:tc>
        <w:tc>
          <w:tcPr>
            <w:tcW w:w="120" w:type="dxa"/>
            <w:vAlign w:val="bottom"/>
          </w:tcPr>
          <w:p>
            <w:pPr>
              <w:spacing w:after="0"/>
              <w:rPr>
                <w:sz w:val="11"/>
                <w:szCs w:val="11"/>
                <w:color w:val="auto"/>
              </w:rPr>
            </w:pP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4"/>
                <w:szCs w:val="14"/>
                <w:b w:val="1"/>
                <w:bCs w:val="1"/>
                <w:color w:val="auto"/>
                <w:w w:val="95"/>
              </w:rPr>
              <w:t>Less Than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MD Anderson/PICI collaboration</w:t>
            </w:r>
            <w:r>
              <w:rPr>
                <w:rFonts w:ascii="Arial" w:cs="Arial" w:eastAsia="Arial" w:hAnsi="Arial"/>
                <w:sz w:val="15"/>
                <w:szCs w:val="15"/>
                <w:color w:val="auto"/>
              </w:rPr>
              <w:t>(2)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right="40" w:hanging="512"/>
        <w:spacing w:after="0" w:line="291"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6"/>
          <w:szCs w:val="16"/>
          <w:color w:val="auto"/>
        </w:rPr>
        <w:t>Amounts in the table reflect payments due for (i) our laboratory and office space in Cambridge, Massachusetts under an operating lease agreement that expires in November 2023 and (ii) our lease for office and laboratory space in Cambridge, Massachusetts with a term expiring April 2020.</w:t>
      </w:r>
    </w:p>
    <w:p>
      <w:pPr>
        <w:ind w:left="520" w:right="1120" w:hanging="512"/>
        <w:spacing w:after="0" w:line="261" w:lineRule="auto"/>
        <w:tabs>
          <w:tab w:leader="none" w:pos="520" w:val="left"/>
        </w:tabs>
        <w:numPr>
          <w:ilvl w:val="0"/>
          <w:numId w:val="64"/>
        </w:numPr>
        <w:rPr>
          <w:rFonts w:ascii="Arial" w:cs="Arial" w:eastAsia="Arial" w:hAnsi="Arial"/>
          <w:sz w:val="15"/>
          <w:szCs w:val="15"/>
          <w:color w:val="auto"/>
        </w:rPr>
      </w:pPr>
      <w:r>
        <w:rPr>
          <w:rFonts w:ascii="Arial" w:cs="Arial" w:eastAsia="Arial" w:hAnsi="Arial"/>
          <w:sz w:val="18"/>
          <w:szCs w:val="18"/>
          <w:color w:val="auto"/>
        </w:rPr>
        <w:t>Amounts in the table reflect payment obligations under an agreement with MD Anderson Cancer Center and Parker Institute for Cancer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12090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64" w:lineRule="exact"/>
        <w:rPr>
          <w:sz w:val="20"/>
          <w:szCs w:val="20"/>
          <w:color w:val="auto"/>
        </w:rPr>
      </w:pPr>
    </w:p>
    <w:p>
      <w:pPr>
        <w:jc w:val="both"/>
        <w:ind w:right="400" w:firstLine="518"/>
        <w:spacing w:after="0" w:line="264" w:lineRule="auto"/>
        <w:rPr>
          <w:sz w:val="20"/>
          <w:szCs w:val="20"/>
          <w:color w:val="auto"/>
        </w:rPr>
      </w:pPr>
      <w:r>
        <w:rPr>
          <w:rFonts w:ascii="Arial" w:cs="Arial" w:eastAsia="Arial" w:hAnsi="Arial"/>
          <w:sz w:val="18"/>
          <w:szCs w:val="18"/>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For a discussion of recent accounting standards see Note 2, Summary of Significant Accounting Policies, to our consolidated financial statements included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Rate Fluctuation Risk</w:t>
      </w:r>
    </w:p>
    <w:p>
      <w:pPr>
        <w:spacing w:after="0" w:line="229"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are exposed to market risk related to changes in interest rates. As of December 31, 2017, our cash, cash equivalents and investments consisted of cash, money market accounts, and investments in corporate bonds, commercial paper, certificates of deposit, treasury bonds, and government securities. Our primary exposure to market risk is interest income sensitivity, which is affected by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On March 7, 2018, we amended the employment agreements we have with Drs. Pomerantz, Trucksis, and Cook and Mr. Shaff to update each of their target bonuses and, with regard to Mr. Shaff, to reflect his additional role as Chief Operating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13a- 15(e) and 15d- 15(e) under the Securities Exchange Act of 1934, as amended), as of the end of the period covered by this Annual Report on Form 10-K. Based on such evaluation, our principal executive officer and principal financial officer have concluded that as of such date, our disclosure controls and procedures were effective at the reasonable assurance level.</w:t>
      </w: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such term is defined in Rule 13a-15(f) under the Securities Exchange Act, as amended.</w:t>
      </w:r>
    </w:p>
    <w:p>
      <w:pPr>
        <w:spacing w:after="0" w:line="170" w:lineRule="exact"/>
        <w:rPr>
          <w:sz w:val="20"/>
          <w:szCs w:val="20"/>
          <w:color w:val="auto"/>
        </w:rPr>
      </w:pPr>
    </w:p>
    <w:p>
      <w:pPr>
        <w:ind w:right="580" w:firstLine="518"/>
        <w:spacing w:after="0" w:line="308"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Based on this assessment, our management concluded that, as of December 31, 2017, our internal control over financial reporting was effective.</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our most recent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On March 7, 2018, we amended the employment agreements we have with Drs. Pomerantz, Trucksis, and Cook and Mr. Shaff to update each of their target bonuses and, with regard to Mr. Shaff, to reflect his additional role as Chief Operating Officer.</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board of directors has adopted a Code of Business Conduct and Ethics applicable to all officers, directors and employees, which is available on our website at www.serestherapeutics.com in the “Investors &amp; Media”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w:t>
      </w:r>
    </w:p>
    <w:p>
      <w:pPr>
        <w:spacing w:after="0" w:line="229"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information in response to this item is contained in part under the caption “Executive Officers and Directors of the Registrant” at the end of Part I of this Annual Report on Form 10-K. The remainder of the response to this item is contained in the Proxy Statement for our Annual Meeting of Stockholders scheduled to be held on June 26, 2018 and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information required to be disclosed by this item is contained in the Proxy Statement for our Annual Meeting of Stockholders scheduled to be held on June 26, 2018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information required to be disclosed by this item is contained in the Proxy Statement for our Annual Meeting of Stockholders scheduled to be held on June 26, 2018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information required to be disclosed by this item is contained in the Proxy Statement for our Annual Meeting of Stockholders scheduled to be held on June 26, 2018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information required to be disclosed by this item is contained in the Proxy Statement for our Annual Meeting of Stockholders scheduled to be held on June 26, 2018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the “Index to Consolidated Financial Statements” on page F-1 below for the list of financial statements filed as part of this report.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 set forth below beginning on page F-1.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Exhibit</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0" w:type="dxa"/>
            <w:vAlign w:val="bottom"/>
            <w:gridSpan w:val="24"/>
            <w:vMerge w:val="restart"/>
          </w:tcPr>
          <w:p>
            <w:pPr>
              <w:ind w:left="90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0"/>
                <w:szCs w:val="10"/>
                <w:color w:val="auto"/>
              </w:rPr>
            </w:pPr>
          </w:p>
        </w:tc>
        <w:tc>
          <w:tcPr>
            <w:tcW w:w="6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200" w:type="dxa"/>
            <w:vAlign w:val="bottom"/>
            <w:vMerge w:val="restart"/>
          </w:tcPr>
          <w:p>
            <w:pPr>
              <w:spacing w:after="0"/>
              <w:rPr>
                <w:sz w:val="10"/>
                <w:szCs w:val="10"/>
                <w:color w:val="auto"/>
              </w:rPr>
            </w:pPr>
          </w:p>
        </w:tc>
        <w:tc>
          <w:tcPr>
            <w:tcW w:w="13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140" w:type="dxa"/>
            <w:vAlign w:val="bottom"/>
            <w:vMerge w:val="restart"/>
          </w:tcPr>
          <w:p>
            <w:pPr>
              <w:spacing w:after="0"/>
              <w:rPr>
                <w:sz w:val="10"/>
                <w:szCs w:val="10"/>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Exhibit</w:t>
            </w:r>
          </w:p>
        </w:tc>
        <w:tc>
          <w:tcPr>
            <w:tcW w:w="220" w:type="dxa"/>
            <w:vAlign w:val="bottom"/>
            <w:vMerge w:val="restart"/>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20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24"/>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18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4220" w:type="dxa"/>
            <w:vAlign w:val="bottom"/>
            <w:tcBorders>
              <w:bottom w:val="single" w:sz="8" w:color="0000EE"/>
            </w:tcBorders>
            <w:gridSpan w:val="16"/>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Restated Certificate of Incorporation, filed on July 1, 2015</w:t>
              </w:r>
            </w:hyperlink>
          </w:p>
        </w:tc>
        <w:tc>
          <w:tcPr>
            <w:tcW w:w="500" w:type="dxa"/>
            <w:vAlign w:val="bottom"/>
            <w:gridSpan w:val="11"/>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7/1/15</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180"/>
              <w:spacing w:after="0" w:line="196"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7"/>
                <w:szCs w:val="17"/>
                <w:color w:val="auto"/>
              </w:rPr>
            </w:pPr>
          </w:p>
        </w:tc>
        <w:tc>
          <w:tcPr>
            <w:tcW w:w="23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Amended and Restated By-Laws</w:t>
              </w:r>
            </w:hyperlink>
          </w:p>
        </w:tc>
        <w:tc>
          <w:tcPr>
            <w:tcW w:w="2340" w:type="dxa"/>
            <w:vAlign w:val="bottom"/>
            <w:gridSpan w:val="23"/>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1"/>
              </w:rPr>
              <w:t>7/1/15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180"/>
              <w:spacing w:after="0" w:line="196"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7"/>
                <w:szCs w:val="17"/>
                <w:color w:val="auto"/>
              </w:rPr>
            </w:pPr>
          </w:p>
        </w:tc>
        <w:tc>
          <w:tcPr>
            <w:tcW w:w="42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Amended and Restated Investors’ Rights Agreement, dated</w:t>
              </w:r>
            </w:hyperlink>
          </w:p>
        </w:tc>
        <w:tc>
          <w:tcPr>
            <w:tcW w:w="440" w:type="dxa"/>
            <w:vAlign w:val="bottom"/>
            <w:gridSpan w:val="8"/>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5/27/15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December 19, 2014, by and among the Registrant and each of</w:t>
              </w:r>
            </w:hyperlink>
          </w:p>
        </w:tc>
        <w:tc>
          <w:tcPr>
            <w:tcW w:w="2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the investors listed on Schedule A thereto</w:t>
              </w:r>
            </w:hyperlink>
          </w:p>
        </w:tc>
        <w:tc>
          <w:tcPr>
            <w:tcW w:w="172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180"/>
              <w:spacing w:after="0" w:line="196" w:lineRule="exact"/>
              <w:rPr>
                <w:sz w:val="20"/>
                <w:szCs w:val="20"/>
                <w:color w:val="auto"/>
              </w:rPr>
            </w:pPr>
            <w:r>
              <w:rPr>
                <w:rFonts w:ascii="Arial" w:cs="Arial" w:eastAsia="Arial" w:hAnsi="Arial"/>
                <w:sz w:val="18"/>
                <w:szCs w:val="18"/>
                <w:color w:val="auto"/>
              </w:rPr>
              <w:t>4.2</w:t>
            </w:r>
          </w:p>
        </w:tc>
        <w:tc>
          <w:tcPr>
            <w:tcW w:w="240" w:type="dxa"/>
            <w:vAlign w:val="bottom"/>
          </w:tcPr>
          <w:p>
            <w:pPr>
              <w:spacing w:after="0"/>
              <w:rPr>
                <w:sz w:val="17"/>
                <w:szCs w:val="17"/>
                <w:color w:val="auto"/>
              </w:rPr>
            </w:pPr>
          </w:p>
        </w:tc>
        <w:tc>
          <w:tcPr>
            <w:tcW w:w="444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Specimen Stock Certificate evidencing the shares of common</w:t>
              </w:r>
            </w:hyperlink>
          </w:p>
        </w:tc>
        <w:tc>
          <w:tcPr>
            <w:tcW w:w="280" w:type="dxa"/>
            <w:vAlign w:val="bottom"/>
            <w:gridSpan w:val="6"/>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6/16/15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114">
              <w:r>
                <w:rPr>
                  <w:rFonts w:ascii="Arial" w:cs="Arial" w:eastAsia="Arial" w:hAnsi="Arial"/>
                  <w:sz w:val="18"/>
                  <w:szCs w:val="18"/>
                  <w:color w:val="0000EE"/>
                  <w:w w:val="85"/>
                </w:rPr>
                <w:t>stock</w:t>
              </w:r>
            </w:hyperlink>
          </w:p>
        </w:tc>
        <w:tc>
          <w:tcPr>
            <w:tcW w:w="4340" w:type="dxa"/>
            <w:vAlign w:val="bottom"/>
            <w:gridSpan w:val="2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7"/>
                <w:szCs w:val="17"/>
                <w:color w:val="auto"/>
              </w:rPr>
            </w:pPr>
          </w:p>
        </w:tc>
        <w:tc>
          <w:tcPr>
            <w:tcW w:w="4720" w:type="dxa"/>
            <w:vAlign w:val="bottom"/>
            <w:gridSpan w:val="27"/>
          </w:tcPr>
          <w:p>
            <w:pPr>
              <w:spacing w:after="0" w:line="196" w:lineRule="exact"/>
              <w:rPr>
                <w:rFonts w:ascii="Arial" w:cs="Arial" w:eastAsia="Arial" w:hAnsi="Arial"/>
                <w:sz w:val="18"/>
                <w:szCs w:val="18"/>
                <w:color w:val="0000EE"/>
                <w:w w:val="99"/>
              </w:rPr>
            </w:pPr>
            <w:hyperlink r:id="rId115">
              <w:r>
                <w:rPr>
                  <w:rFonts w:ascii="Arial" w:cs="Arial" w:eastAsia="Arial" w:hAnsi="Arial"/>
                  <w:sz w:val="18"/>
                  <w:szCs w:val="18"/>
                  <w:color w:val="0000EE"/>
                  <w:w w:val="99"/>
                </w:rPr>
                <w:t>2015 Incentive Award Plan and forms of award agreements</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6/16/15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thereunder</w:t>
              </w:r>
            </w:hyperlink>
          </w:p>
        </w:tc>
        <w:tc>
          <w:tcPr>
            <w:tcW w:w="46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10.2#</w:t>
            </w:r>
          </w:p>
        </w:tc>
        <w:tc>
          <w:tcPr>
            <w:tcW w:w="240" w:type="dxa"/>
            <w:vAlign w:val="bottom"/>
          </w:tcPr>
          <w:p>
            <w:pPr>
              <w:spacing w:after="0"/>
              <w:rPr>
                <w:sz w:val="17"/>
                <w:szCs w:val="17"/>
                <w:color w:val="auto"/>
              </w:rPr>
            </w:pPr>
          </w:p>
        </w:tc>
        <w:tc>
          <w:tcPr>
            <w:tcW w:w="4720" w:type="dxa"/>
            <w:vAlign w:val="bottom"/>
            <w:gridSpan w:val="27"/>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2015 Employee Stock Purchase Plan</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5"/>
              </w:rPr>
              <w:t>10.3</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6/16/15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10.3#</w:t>
            </w:r>
          </w:p>
        </w:tc>
        <w:tc>
          <w:tcPr>
            <w:tcW w:w="240" w:type="dxa"/>
            <w:vAlign w:val="bottom"/>
          </w:tcPr>
          <w:p>
            <w:pPr>
              <w:spacing w:after="0"/>
              <w:rPr>
                <w:sz w:val="17"/>
                <w:szCs w:val="17"/>
                <w:color w:val="auto"/>
              </w:rPr>
            </w:pPr>
          </w:p>
        </w:tc>
        <w:tc>
          <w:tcPr>
            <w:tcW w:w="3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Non-Employee Director Compensation Program</w:t>
              </w:r>
            </w:hyperlink>
          </w:p>
        </w:tc>
        <w:tc>
          <w:tcPr>
            <w:tcW w:w="1220" w:type="dxa"/>
            <w:vAlign w:val="bottom"/>
            <w:gridSpan w:val="17"/>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5"/>
              </w:rPr>
              <w:t>10.4</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6/16/15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10.4</w:t>
            </w:r>
          </w:p>
        </w:tc>
        <w:tc>
          <w:tcPr>
            <w:tcW w:w="240" w:type="dxa"/>
            <w:vAlign w:val="bottom"/>
          </w:tcPr>
          <w:p>
            <w:pPr>
              <w:spacing w:after="0"/>
              <w:rPr>
                <w:sz w:val="17"/>
                <w:szCs w:val="17"/>
                <w:color w:val="auto"/>
              </w:rPr>
            </w:pPr>
          </w:p>
        </w:tc>
        <w:tc>
          <w:tcPr>
            <w:tcW w:w="42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Lease Agreement, dated April 1, 2015, by and between the</w:t>
              </w:r>
            </w:hyperlink>
          </w:p>
        </w:tc>
        <w:tc>
          <w:tcPr>
            <w:tcW w:w="480" w:type="dxa"/>
            <w:vAlign w:val="bottom"/>
            <w:gridSpan w:val="10"/>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3"/>
              </w:rPr>
              <w:t>10.13</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5/27/15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20" w:type="dxa"/>
            <w:vAlign w:val="bottom"/>
            <w:gridSpan w:val="27"/>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Registrant and ARE-MA Region No. 38, LLC</w:t>
              </w:r>
            </w:hyperlink>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10.5</w:t>
            </w:r>
          </w:p>
        </w:tc>
        <w:tc>
          <w:tcPr>
            <w:tcW w:w="240" w:type="dxa"/>
            <w:vAlign w:val="bottom"/>
          </w:tcPr>
          <w:p>
            <w:pPr>
              <w:spacing w:after="0"/>
              <w:rPr>
                <w:sz w:val="17"/>
                <w:szCs w:val="17"/>
                <w:color w:val="auto"/>
              </w:rPr>
            </w:pPr>
          </w:p>
        </w:tc>
        <w:tc>
          <w:tcPr>
            <w:tcW w:w="38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119">
              <w:r>
                <w:rPr>
                  <w:rFonts w:ascii="Arial" w:cs="Arial" w:eastAsia="Arial" w:hAnsi="Arial"/>
                  <w:sz w:val="18"/>
                  <w:szCs w:val="18"/>
                  <w:color w:val="0000EE"/>
                  <w:w w:val="88"/>
                </w:rPr>
                <w:t>Lease, dated November 11, 2015, by and between the</w:t>
              </w:r>
            </w:hyperlink>
          </w:p>
        </w:tc>
        <w:tc>
          <w:tcPr>
            <w:tcW w:w="860" w:type="dxa"/>
            <w:vAlign w:val="bottom"/>
            <w:gridSpan w:val="12"/>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10-K</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3"/>
              </w:rPr>
              <w:t>10.13</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3/14/16</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Registrant and BMR-Sidney Research Campus, LLC</w:t>
              </w:r>
            </w:hyperlink>
          </w:p>
        </w:tc>
        <w:tc>
          <w:tcPr>
            <w:tcW w:w="90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10.6#</w:t>
            </w:r>
          </w:p>
        </w:tc>
        <w:tc>
          <w:tcPr>
            <w:tcW w:w="240" w:type="dxa"/>
            <w:vAlign w:val="bottom"/>
          </w:tcPr>
          <w:p>
            <w:pPr>
              <w:spacing w:after="0"/>
              <w:rPr>
                <w:sz w:val="17"/>
                <w:szCs w:val="17"/>
                <w:color w:val="auto"/>
              </w:rPr>
            </w:pPr>
          </w:p>
        </w:tc>
        <w:tc>
          <w:tcPr>
            <w:tcW w:w="4720" w:type="dxa"/>
            <w:vAlign w:val="bottom"/>
            <w:gridSpan w:val="27"/>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Employment Agreement, dated June 14, 2015, by and between</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5"/>
              </w:rPr>
              <w:t>10.6</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6/16/15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the Registrant and Roger J. Pomerantz</w:t>
              </w:r>
            </w:hyperlink>
          </w:p>
        </w:tc>
        <w:tc>
          <w:tcPr>
            <w:tcW w:w="2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10.7#</w:t>
            </w:r>
          </w:p>
        </w:tc>
        <w:tc>
          <w:tcPr>
            <w:tcW w:w="240" w:type="dxa"/>
            <w:vAlign w:val="bottom"/>
          </w:tcPr>
          <w:p>
            <w:pPr>
              <w:spacing w:after="0"/>
              <w:rPr>
                <w:sz w:val="17"/>
                <w:szCs w:val="17"/>
                <w:color w:val="auto"/>
              </w:rPr>
            </w:pPr>
          </w:p>
        </w:tc>
        <w:tc>
          <w:tcPr>
            <w:tcW w:w="4720" w:type="dxa"/>
            <w:vAlign w:val="bottom"/>
            <w:gridSpan w:val="27"/>
          </w:tcPr>
          <w:p>
            <w:pPr>
              <w:spacing w:after="0" w:line="196" w:lineRule="exact"/>
              <w:rPr>
                <w:rFonts w:ascii="Arial" w:cs="Arial" w:eastAsia="Arial" w:hAnsi="Arial"/>
                <w:sz w:val="18"/>
                <w:szCs w:val="18"/>
                <w:color w:val="0000EE"/>
                <w:w w:val="96"/>
              </w:rPr>
            </w:pPr>
            <w:hyperlink r:id="rId121">
              <w:r>
                <w:rPr>
                  <w:rFonts w:ascii="Arial" w:cs="Arial" w:eastAsia="Arial" w:hAnsi="Arial"/>
                  <w:sz w:val="18"/>
                  <w:szCs w:val="18"/>
                  <w:color w:val="0000EE"/>
                  <w:w w:val="96"/>
                </w:rPr>
                <w:t>First Amendment to Employment Agreement, dated February</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1"/>
              </w:rPr>
              <w:t>2/4/16</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r:id="rId121">
              <w:r>
                <w:rPr>
                  <w:rFonts w:ascii="Arial" w:cs="Arial" w:eastAsia="Arial" w:hAnsi="Arial"/>
                  <w:sz w:val="18"/>
                  <w:szCs w:val="18"/>
                  <w:color w:val="0000EE"/>
                  <w:w w:val="88"/>
                </w:rPr>
                <w:t>3, 2016, by and between the Registrant and Roger J.</w:t>
              </w:r>
            </w:hyperlink>
          </w:p>
        </w:tc>
        <w:tc>
          <w:tcPr>
            <w:tcW w:w="680" w:type="dxa"/>
            <w:vAlign w:val="bottom"/>
            <w:tcBorders>
              <w:top w:val="single" w:sz="8" w:color="0000EE"/>
            </w:tcBorders>
            <w:gridSpan w:val="8"/>
          </w:tcPr>
          <w:p>
            <w:pPr>
              <w:spacing w:after="0"/>
              <w:rPr>
                <w:sz w:val="17"/>
                <w:szCs w:val="17"/>
                <w:color w:val="auto"/>
              </w:rPr>
            </w:pPr>
          </w:p>
        </w:tc>
        <w:tc>
          <w:tcPr>
            <w:tcW w:w="2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20" w:type="dxa"/>
            <w:vAlign w:val="bottom"/>
            <w:gridSpan w:val="27"/>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Pomerantz</w:t>
              </w:r>
            </w:hyperlink>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10.8#</w:t>
            </w:r>
          </w:p>
        </w:tc>
        <w:tc>
          <w:tcPr>
            <w:tcW w:w="240" w:type="dxa"/>
            <w:vAlign w:val="bottom"/>
          </w:tcPr>
          <w:p>
            <w:pPr>
              <w:spacing w:after="0"/>
              <w:rPr>
                <w:sz w:val="17"/>
                <w:szCs w:val="17"/>
                <w:color w:val="auto"/>
              </w:rPr>
            </w:pPr>
          </w:p>
        </w:tc>
        <w:tc>
          <w:tcPr>
            <w:tcW w:w="4720" w:type="dxa"/>
            <w:vAlign w:val="bottom"/>
            <w:gridSpan w:val="27"/>
          </w:tcPr>
          <w:p>
            <w:pPr>
              <w:spacing w:after="0" w:line="196" w:lineRule="exact"/>
              <w:rPr>
                <w:rFonts w:ascii="Arial" w:cs="Arial" w:eastAsia="Arial" w:hAnsi="Arial"/>
                <w:sz w:val="18"/>
                <w:szCs w:val="18"/>
                <w:color w:val="0000EE"/>
                <w:w w:val="95"/>
              </w:rPr>
            </w:pPr>
            <w:hyperlink w:anchor="page118">
              <w:r>
                <w:rPr>
                  <w:rFonts w:ascii="Arial" w:cs="Arial" w:eastAsia="Arial" w:hAnsi="Arial"/>
                  <w:sz w:val="18"/>
                  <w:szCs w:val="18"/>
                  <w:color w:val="0000EE"/>
                  <w:w w:val="95"/>
                </w:rPr>
                <w:t>Second Amendment to Employment Agreement, dated March</w:t>
              </w:r>
            </w:hyperlink>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118">
              <w:r>
                <w:rPr>
                  <w:rFonts w:ascii="Arial" w:cs="Arial" w:eastAsia="Arial" w:hAnsi="Arial"/>
                  <w:sz w:val="18"/>
                  <w:szCs w:val="18"/>
                  <w:color w:val="0000EE"/>
                  <w:w w:val="88"/>
                </w:rPr>
                <w:t>7, 2018, by and between the Registrant and Roger J.</w:t>
              </w:r>
            </w:hyperlink>
          </w:p>
        </w:tc>
        <w:tc>
          <w:tcPr>
            <w:tcW w:w="700" w:type="dxa"/>
            <w:vAlign w:val="bottom"/>
            <w:tcBorders>
              <w:top w:val="single" w:sz="8" w:color="0000EE"/>
            </w:tcBorders>
            <w:gridSpan w:val="9"/>
          </w:tcPr>
          <w:p>
            <w:pPr>
              <w:spacing w:after="0"/>
              <w:rPr>
                <w:sz w:val="17"/>
                <w:szCs w:val="17"/>
                <w:color w:val="auto"/>
              </w:rPr>
            </w:pPr>
          </w:p>
        </w:tc>
        <w:tc>
          <w:tcPr>
            <w:tcW w:w="2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20" w:type="dxa"/>
            <w:vAlign w:val="bottom"/>
            <w:gridSpan w:val="27"/>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Pomerantz</w:t>
              </w:r>
            </w:hyperlink>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10.9#</w:t>
            </w:r>
          </w:p>
        </w:tc>
        <w:tc>
          <w:tcPr>
            <w:tcW w:w="240" w:type="dxa"/>
            <w:vAlign w:val="bottom"/>
          </w:tcPr>
          <w:p>
            <w:pPr>
              <w:spacing w:after="0"/>
              <w:rPr>
                <w:sz w:val="17"/>
                <w:szCs w:val="17"/>
                <w:color w:val="auto"/>
              </w:rPr>
            </w:pPr>
          </w:p>
        </w:tc>
        <w:tc>
          <w:tcPr>
            <w:tcW w:w="4720" w:type="dxa"/>
            <w:vAlign w:val="bottom"/>
            <w:gridSpan w:val="27"/>
          </w:tcPr>
          <w:p>
            <w:pPr>
              <w:spacing w:after="0" w:line="196"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Employment Agreement, dated June 14, 2015, by and between</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5"/>
              </w:rPr>
              <w:t>10.7</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6/16/15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the Registrant and Eric D. Shaff</w:t>
              </w:r>
            </w:hyperlink>
          </w:p>
        </w:tc>
        <w:tc>
          <w:tcPr>
            <w:tcW w:w="2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10.10#</w:t>
            </w:r>
          </w:p>
        </w:tc>
        <w:tc>
          <w:tcPr>
            <w:tcW w:w="240" w:type="dxa"/>
            <w:vAlign w:val="bottom"/>
          </w:tcPr>
          <w:p>
            <w:pPr>
              <w:spacing w:after="0"/>
              <w:rPr>
                <w:sz w:val="17"/>
                <w:szCs w:val="17"/>
                <w:color w:val="auto"/>
              </w:rPr>
            </w:pPr>
          </w:p>
        </w:tc>
        <w:tc>
          <w:tcPr>
            <w:tcW w:w="45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Amendment to Employment Agreement, dated August 7, 2015</w:t>
              </w:r>
            </w:hyperlink>
          </w:p>
        </w:tc>
        <w:tc>
          <w:tcPr>
            <w:tcW w:w="180" w:type="dxa"/>
            <w:vAlign w:val="bottom"/>
            <w:gridSpan w:val="2"/>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5"/>
              </w:rPr>
              <w:t>10.7</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8/10/15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20" w:type="dxa"/>
            <w:vAlign w:val="bottom"/>
            <w:gridSpan w:val="27"/>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by and between the Registrant and Eric. D. Shaff</w:t>
              </w:r>
            </w:hyperlink>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10.11#</w:t>
            </w:r>
          </w:p>
        </w:tc>
        <w:tc>
          <w:tcPr>
            <w:tcW w:w="240" w:type="dxa"/>
            <w:vAlign w:val="bottom"/>
          </w:tcPr>
          <w:p>
            <w:pPr>
              <w:spacing w:after="0"/>
              <w:rPr>
                <w:sz w:val="17"/>
                <w:szCs w:val="17"/>
                <w:color w:val="auto"/>
              </w:rPr>
            </w:pPr>
          </w:p>
        </w:tc>
        <w:tc>
          <w:tcPr>
            <w:tcW w:w="44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Amendment to Employment Agreement, dated March 7, 2018</w:t>
              </w:r>
            </w:hyperlink>
          </w:p>
        </w:tc>
        <w:tc>
          <w:tcPr>
            <w:tcW w:w="2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20" w:type="dxa"/>
            <w:vAlign w:val="bottom"/>
            <w:gridSpan w:val="27"/>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by and between the Registrant and Eric. D. Shaff</w:t>
              </w:r>
            </w:hyperlink>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10.12#</w:t>
            </w:r>
          </w:p>
        </w:tc>
        <w:tc>
          <w:tcPr>
            <w:tcW w:w="240" w:type="dxa"/>
            <w:vAlign w:val="bottom"/>
          </w:tcPr>
          <w:p>
            <w:pPr>
              <w:spacing w:after="0"/>
              <w:rPr>
                <w:sz w:val="17"/>
                <w:szCs w:val="17"/>
                <w:color w:val="auto"/>
              </w:rPr>
            </w:pPr>
          </w:p>
        </w:tc>
        <w:tc>
          <w:tcPr>
            <w:tcW w:w="4720" w:type="dxa"/>
            <w:vAlign w:val="bottom"/>
            <w:gridSpan w:val="27"/>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Employment Agreement, dated June 13, 2015, by and between</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5"/>
              </w:rPr>
              <w:t>10.8</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6/16/15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the Registrant and David N. Cook</w:t>
              </w:r>
            </w:hyperlink>
          </w:p>
        </w:tc>
        <w:tc>
          <w:tcPr>
            <w:tcW w:w="2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10.13#</w:t>
            </w:r>
          </w:p>
        </w:tc>
        <w:tc>
          <w:tcPr>
            <w:tcW w:w="240" w:type="dxa"/>
            <w:vAlign w:val="bottom"/>
          </w:tcPr>
          <w:p>
            <w:pPr>
              <w:spacing w:after="0"/>
              <w:rPr>
                <w:sz w:val="17"/>
                <w:szCs w:val="17"/>
                <w:color w:val="auto"/>
              </w:rPr>
            </w:pPr>
          </w:p>
        </w:tc>
        <w:tc>
          <w:tcPr>
            <w:tcW w:w="4720" w:type="dxa"/>
            <w:vAlign w:val="bottom"/>
            <w:gridSpan w:val="27"/>
          </w:tcPr>
          <w:p>
            <w:pPr>
              <w:spacing w:after="0" w:line="196" w:lineRule="exact"/>
              <w:rPr>
                <w:rFonts w:ascii="Arial" w:cs="Arial" w:eastAsia="Arial" w:hAnsi="Arial"/>
                <w:sz w:val="18"/>
                <w:szCs w:val="18"/>
                <w:color w:val="0000EE"/>
                <w:w w:val="96"/>
              </w:rPr>
            </w:pPr>
            <w:hyperlink r:id="rId125">
              <w:r>
                <w:rPr>
                  <w:rFonts w:ascii="Arial" w:cs="Arial" w:eastAsia="Arial" w:hAnsi="Arial"/>
                  <w:sz w:val="18"/>
                  <w:szCs w:val="18"/>
                  <w:color w:val="0000EE"/>
                  <w:w w:val="96"/>
                </w:rPr>
                <w:t>Amendment to Employment Agreement, dated June 13, 2015</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5"/>
              </w:rPr>
              <w:t>10.9</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8/10/15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by and between the Registrant and David N. Cook</w:t>
              </w:r>
            </w:hyperlink>
          </w:p>
        </w:tc>
        <w:tc>
          <w:tcPr>
            <w:tcW w:w="30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tcBorders>
              <w:top w:val="single" w:sz="8" w:color="0000EE"/>
            </w:tcBorders>
            <w:gridSpan w:val="12"/>
          </w:tcPr>
          <w:p>
            <w:pPr>
              <w:spacing w:after="0"/>
              <w:rPr>
                <w:sz w:val="24"/>
                <w:szCs w:val="24"/>
                <w:color w:val="auto"/>
              </w:rPr>
            </w:pPr>
          </w:p>
        </w:tc>
        <w:tc>
          <w:tcPr>
            <w:tcW w:w="1100" w:type="dxa"/>
            <w:vAlign w:val="bottom"/>
            <w:gridSpan w:val="15"/>
          </w:tcPr>
          <w:p>
            <w:pPr>
              <w:jc w:val="right"/>
              <w:ind w:right="200"/>
              <w:spacing w:after="0"/>
              <w:rPr>
                <w:sz w:val="20"/>
                <w:szCs w:val="20"/>
                <w:color w:val="auto"/>
              </w:rPr>
            </w:pPr>
            <w:r>
              <w:rPr>
                <w:rFonts w:ascii="Arial" w:cs="Arial" w:eastAsia="Arial" w:hAnsi="Arial"/>
                <w:sz w:val="18"/>
                <w:szCs w:val="18"/>
                <w:color w:val="auto"/>
              </w:rPr>
              <w:t>88</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12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Exhibit</w:t>
            </w: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980" w:type="dxa"/>
            <w:vAlign w:val="bottom"/>
            <w:gridSpan w:val="21"/>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vMerge w:val="restart"/>
          </w:tcPr>
          <w:p>
            <w:pPr>
              <w:spacing w:after="0"/>
              <w:rPr>
                <w:sz w:val="10"/>
                <w:szCs w:val="10"/>
                <w:color w:val="auto"/>
              </w:rPr>
            </w:pPr>
          </w:p>
        </w:tc>
        <w:tc>
          <w:tcPr>
            <w:tcW w:w="6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200" w:type="dxa"/>
            <w:vAlign w:val="bottom"/>
            <w:vMerge w:val="restart"/>
          </w:tcPr>
          <w:p>
            <w:pPr>
              <w:spacing w:after="0"/>
              <w:rPr>
                <w:sz w:val="10"/>
                <w:szCs w:val="10"/>
                <w:color w:val="auto"/>
              </w:rPr>
            </w:pPr>
          </w:p>
        </w:tc>
        <w:tc>
          <w:tcPr>
            <w:tcW w:w="13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140" w:type="dxa"/>
            <w:vAlign w:val="bottom"/>
            <w:vMerge w:val="restart"/>
          </w:tcPr>
          <w:p>
            <w:pPr>
              <w:spacing w:after="0"/>
              <w:rPr>
                <w:sz w:val="10"/>
                <w:szCs w:val="10"/>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Exhibit</w:t>
            </w:r>
          </w:p>
        </w:tc>
        <w:tc>
          <w:tcPr>
            <w:tcW w:w="220" w:type="dxa"/>
            <w:vAlign w:val="bottom"/>
            <w:vMerge w:val="restart"/>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20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21"/>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1"/>
        </w:trPr>
        <w:tc>
          <w:tcPr>
            <w:tcW w:w="1040" w:type="dxa"/>
            <w:vAlign w:val="bottom"/>
          </w:tcPr>
          <w:p>
            <w:pPr>
              <w:ind w:left="100"/>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44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122">
              <w:r>
                <w:rPr>
                  <w:rFonts w:ascii="Arial" w:cs="Arial" w:eastAsia="Arial" w:hAnsi="Arial"/>
                  <w:sz w:val="18"/>
                  <w:szCs w:val="18"/>
                  <w:color w:val="0000EE"/>
                  <w:w w:val="90"/>
                </w:rPr>
                <w:t>Amendment to Employment Agreement, dated March 7, 2018</w:t>
              </w:r>
            </w:hyperlink>
          </w:p>
        </w:tc>
        <w:tc>
          <w:tcPr>
            <w:tcW w:w="2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20" w:type="dxa"/>
            <w:vAlign w:val="bottom"/>
            <w:gridSpan w:val="2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by and between the Registrant and David N. Cook</w:t>
              </w:r>
            </w:hyperlink>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10.15#</w:t>
            </w:r>
          </w:p>
        </w:tc>
        <w:tc>
          <w:tcPr>
            <w:tcW w:w="240" w:type="dxa"/>
            <w:vAlign w:val="bottom"/>
          </w:tcPr>
          <w:p>
            <w:pPr>
              <w:spacing w:after="0"/>
              <w:rPr>
                <w:sz w:val="17"/>
                <w:szCs w:val="17"/>
                <w:color w:val="auto"/>
              </w:rPr>
            </w:pPr>
          </w:p>
        </w:tc>
        <w:tc>
          <w:tcPr>
            <w:tcW w:w="40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Employment Agreement, dated August 10, 2015, by and</w:t>
              </w:r>
            </w:hyperlink>
          </w:p>
        </w:tc>
        <w:tc>
          <w:tcPr>
            <w:tcW w:w="640" w:type="dxa"/>
            <w:vAlign w:val="bottom"/>
            <w:gridSpan w:val="9"/>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3"/>
              </w:rPr>
              <w:t>10.10</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8/10/15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20" w:type="dxa"/>
            <w:vAlign w:val="bottom"/>
            <w:gridSpan w:val="24"/>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between the Registrant and John G. Aunins</w:t>
              </w:r>
            </w:hyperlink>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10.16#</w:t>
            </w:r>
          </w:p>
        </w:tc>
        <w:tc>
          <w:tcPr>
            <w:tcW w:w="240" w:type="dxa"/>
            <w:vAlign w:val="bottom"/>
          </w:tcPr>
          <w:p>
            <w:pPr>
              <w:spacing w:after="0"/>
              <w:rPr>
                <w:sz w:val="17"/>
                <w:szCs w:val="17"/>
                <w:color w:val="auto"/>
              </w:rPr>
            </w:pPr>
          </w:p>
        </w:tc>
        <w:tc>
          <w:tcPr>
            <w:tcW w:w="4720" w:type="dxa"/>
            <w:vAlign w:val="bottom"/>
            <w:gridSpan w:val="24"/>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Amendment to Employment Agreement, dated February 8,</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10-K</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3"/>
              </w:rPr>
              <w:t>10.13</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3/16/17</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2017 by and between the Registrant and John G. Aunins</w:t>
              </w:r>
            </w:hyperlink>
          </w:p>
        </w:tc>
        <w:tc>
          <w:tcPr>
            <w:tcW w:w="180" w:type="dxa"/>
            <w:vAlign w:val="bottom"/>
            <w:tcBorders>
              <w:top w:val="single" w:sz="8" w:color="0000EE"/>
            </w:tcBorders>
            <w:gridSpan w:val="5"/>
          </w:tcPr>
          <w:p>
            <w:pPr>
              <w:spacing w:after="0"/>
              <w:rPr>
                <w:sz w:val="17"/>
                <w:szCs w:val="17"/>
                <w:color w:val="auto"/>
              </w:rPr>
            </w:pPr>
          </w:p>
        </w:tc>
        <w:tc>
          <w:tcPr>
            <w:tcW w:w="4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10.17#</w:t>
            </w:r>
          </w:p>
        </w:tc>
        <w:tc>
          <w:tcPr>
            <w:tcW w:w="240" w:type="dxa"/>
            <w:vAlign w:val="bottom"/>
          </w:tcPr>
          <w:p>
            <w:pPr>
              <w:spacing w:after="0"/>
              <w:rPr>
                <w:sz w:val="17"/>
                <w:szCs w:val="17"/>
                <w:color w:val="auto"/>
              </w:rPr>
            </w:pPr>
          </w:p>
        </w:tc>
        <w:tc>
          <w:tcPr>
            <w:tcW w:w="4720" w:type="dxa"/>
            <w:vAlign w:val="bottom"/>
            <w:gridSpan w:val="24"/>
          </w:tcPr>
          <w:p>
            <w:pPr>
              <w:spacing w:after="0" w:line="19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Employment Agreement, dated June 13, 2015, by and between</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3"/>
              </w:rPr>
              <w:t>10.10</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6/16/15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the Registrant and Michele Trucksis</w:t>
              </w:r>
            </w:hyperlink>
          </w:p>
        </w:tc>
        <w:tc>
          <w:tcPr>
            <w:tcW w:w="2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10.18#</w:t>
            </w:r>
          </w:p>
        </w:tc>
        <w:tc>
          <w:tcPr>
            <w:tcW w:w="240" w:type="dxa"/>
            <w:vAlign w:val="bottom"/>
          </w:tcPr>
          <w:p>
            <w:pPr>
              <w:spacing w:after="0"/>
              <w:rPr>
                <w:sz w:val="17"/>
                <w:szCs w:val="17"/>
                <w:color w:val="auto"/>
              </w:rPr>
            </w:pPr>
          </w:p>
        </w:tc>
        <w:tc>
          <w:tcPr>
            <w:tcW w:w="4720" w:type="dxa"/>
            <w:vAlign w:val="bottom"/>
            <w:gridSpan w:val="24"/>
          </w:tcPr>
          <w:p>
            <w:pPr>
              <w:spacing w:after="0" w:line="196" w:lineRule="exact"/>
              <w:rPr>
                <w:rFonts w:ascii="Arial" w:cs="Arial" w:eastAsia="Arial" w:hAnsi="Arial"/>
                <w:sz w:val="18"/>
                <w:szCs w:val="18"/>
                <w:color w:val="0000EE"/>
                <w:w w:val="94"/>
              </w:rPr>
            </w:pPr>
            <w:hyperlink r:id="rId131">
              <w:r>
                <w:rPr>
                  <w:rFonts w:ascii="Arial" w:cs="Arial" w:eastAsia="Arial" w:hAnsi="Arial"/>
                  <w:sz w:val="18"/>
                  <w:szCs w:val="18"/>
                  <w:color w:val="0000EE"/>
                  <w:w w:val="94"/>
                </w:rPr>
                <w:t>Amendment to Employment Agreement, dated August 7, 2015</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3"/>
              </w:rPr>
              <w:t>10.12</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8/10/15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by and between the Registrant and Michele Trucksis</w:t>
              </w:r>
            </w:hyperlink>
          </w:p>
        </w:tc>
        <w:tc>
          <w:tcPr>
            <w:tcW w:w="740" w:type="dxa"/>
            <w:vAlign w:val="bottom"/>
            <w:tcBorders>
              <w:top w:val="single" w:sz="8" w:color="0000EE"/>
            </w:tcBorders>
            <w:gridSpan w:val="13"/>
          </w:tcPr>
          <w:p>
            <w:pPr>
              <w:spacing w:after="0"/>
              <w:rPr>
                <w:sz w:val="17"/>
                <w:szCs w:val="17"/>
                <w:color w:val="auto"/>
              </w:rPr>
            </w:pPr>
          </w:p>
        </w:tc>
        <w:tc>
          <w:tcPr>
            <w:tcW w:w="2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10.19#</w:t>
            </w:r>
          </w:p>
        </w:tc>
        <w:tc>
          <w:tcPr>
            <w:tcW w:w="240" w:type="dxa"/>
            <w:vAlign w:val="bottom"/>
          </w:tcPr>
          <w:p>
            <w:pPr>
              <w:spacing w:after="0"/>
              <w:rPr>
                <w:sz w:val="17"/>
                <w:szCs w:val="17"/>
                <w:color w:val="auto"/>
              </w:rPr>
            </w:pPr>
          </w:p>
        </w:tc>
        <w:tc>
          <w:tcPr>
            <w:tcW w:w="44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Amendment to Employment Agreement, dated March 7, 2018</w:t>
              </w:r>
            </w:hyperlink>
          </w:p>
        </w:tc>
        <w:tc>
          <w:tcPr>
            <w:tcW w:w="24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by and between the Registrant and Michele Trucksis</w:t>
              </w:r>
            </w:hyperlink>
          </w:p>
        </w:tc>
        <w:tc>
          <w:tcPr>
            <w:tcW w:w="940" w:type="dxa"/>
            <w:vAlign w:val="bottom"/>
            <w:gridSpan w:val="15"/>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10.20#</w:t>
            </w:r>
          </w:p>
        </w:tc>
        <w:tc>
          <w:tcPr>
            <w:tcW w:w="240" w:type="dxa"/>
            <w:vAlign w:val="bottom"/>
          </w:tcPr>
          <w:p>
            <w:pPr>
              <w:spacing w:after="0"/>
              <w:rPr>
                <w:sz w:val="17"/>
                <w:szCs w:val="17"/>
                <w:color w:val="auto"/>
              </w:rPr>
            </w:pPr>
          </w:p>
        </w:tc>
        <w:tc>
          <w:tcPr>
            <w:tcW w:w="4720" w:type="dxa"/>
            <w:vAlign w:val="bottom"/>
            <w:gridSpan w:val="24"/>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Employment Agreement, dated April 26, 2016 by and</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8/11/16</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between the Registrant and Thomas J. DesRosier</w:t>
              </w:r>
            </w:hyperlink>
          </w:p>
        </w:tc>
        <w:tc>
          <w:tcPr>
            <w:tcW w:w="340" w:type="dxa"/>
            <w:vAlign w:val="bottom"/>
            <w:tcBorders>
              <w:top w:val="single" w:sz="8" w:color="0000EE"/>
            </w:tcBorders>
            <w:gridSpan w:val="5"/>
          </w:tcPr>
          <w:p>
            <w:pPr>
              <w:spacing w:after="0"/>
              <w:rPr>
                <w:sz w:val="17"/>
                <w:szCs w:val="17"/>
                <w:color w:val="auto"/>
              </w:rPr>
            </w:pPr>
          </w:p>
        </w:tc>
        <w:tc>
          <w:tcPr>
            <w:tcW w:w="84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10.21^</w:t>
            </w:r>
          </w:p>
        </w:tc>
        <w:tc>
          <w:tcPr>
            <w:tcW w:w="240" w:type="dxa"/>
            <w:vAlign w:val="bottom"/>
          </w:tcPr>
          <w:p>
            <w:pPr>
              <w:spacing w:after="0"/>
              <w:rPr>
                <w:sz w:val="17"/>
                <w:szCs w:val="17"/>
                <w:color w:val="auto"/>
              </w:rPr>
            </w:pPr>
          </w:p>
        </w:tc>
        <w:tc>
          <w:tcPr>
            <w:tcW w:w="44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33">
              <w:r>
                <w:rPr>
                  <w:rFonts w:ascii="Arial" w:cs="Arial" w:eastAsia="Arial" w:hAnsi="Arial"/>
                  <w:sz w:val="18"/>
                  <w:szCs w:val="18"/>
                  <w:color w:val="0000EE"/>
                  <w:w w:val="89"/>
                </w:rPr>
                <w:t>Collaboration and License Agreement, dated January 9, 2016,</w:t>
              </w:r>
            </w:hyperlink>
          </w:p>
        </w:tc>
        <w:tc>
          <w:tcPr>
            <w:tcW w:w="260" w:type="dxa"/>
            <w:vAlign w:val="bottom"/>
            <w:gridSpan w:val="4"/>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5/16/16</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33">
              <w:r>
                <w:rPr>
                  <w:rFonts w:ascii="Arial" w:cs="Arial" w:eastAsia="Arial" w:hAnsi="Arial"/>
                  <w:sz w:val="18"/>
                  <w:szCs w:val="18"/>
                  <w:color w:val="0000EE"/>
                  <w:w w:val="89"/>
                </w:rPr>
                <w:t>by and between the Registrant and Nestec Ltd.</w:t>
              </w:r>
            </w:hyperlink>
          </w:p>
        </w:tc>
        <w:tc>
          <w:tcPr>
            <w:tcW w:w="136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10.22#</w:t>
            </w:r>
          </w:p>
        </w:tc>
        <w:tc>
          <w:tcPr>
            <w:tcW w:w="240" w:type="dxa"/>
            <w:vAlign w:val="bottom"/>
          </w:tcPr>
          <w:p>
            <w:pPr>
              <w:spacing w:after="0"/>
              <w:rPr>
                <w:sz w:val="17"/>
                <w:szCs w:val="17"/>
                <w:color w:val="auto"/>
              </w:rPr>
            </w:pPr>
          </w:p>
        </w:tc>
        <w:tc>
          <w:tcPr>
            <w:tcW w:w="4720" w:type="dxa"/>
            <w:vAlign w:val="bottom"/>
            <w:gridSpan w:val="24"/>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2012 Stock Incentive Plan, as amended and form of option</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5/27/15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agreement thereunder</w:t>
              </w:r>
            </w:hyperlink>
          </w:p>
        </w:tc>
        <w:tc>
          <w:tcPr>
            <w:tcW w:w="5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21.1</w:t>
            </w:r>
          </w:p>
        </w:tc>
        <w:tc>
          <w:tcPr>
            <w:tcW w:w="240" w:type="dxa"/>
            <w:vAlign w:val="bottom"/>
          </w:tcPr>
          <w:p>
            <w:pPr>
              <w:spacing w:after="0"/>
              <w:rPr>
                <w:sz w:val="17"/>
                <w:szCs w:val="17"/>
                <w:color w:val="auto"/>
              </w:rPr>
            </w:pPr>
          </w:p>
        </w:tc>
        <w:tc>
          <w:tcPr>
            <w:tcW w:w="4720" w:type="dxa"/>
            <w:vAlign w:val="bottom"/>
            <w:gridSpan w:val="24"/>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Subsidiaries of Seres Therapeutics, Inc.</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5"/>
              </w:rPr>
              <w:t>21.1</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3"/>
              </w:rPr>
              <w:t>6/16/15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23.1</w:t>
            </w:r>
          </w:p>
        </w:tc>
        <w:tc>
          <w:tcPr>
            <w:tcW w:w="240" w:type="dxa"/>
            <w:vAlign w:val="bottom"/>
          </w:tcPr>
          <w:p>
            <w:pPr>
              <w:spacing w:after="0"/>
              <w:rPr>
                <w:sz w:val="17"/>
                <w:szCs w:val="17"/>
                <w:color w:val="auto"/>
              </w:rPr>
            </w:pPr>
          </w:p>
        </w:tc>
        <w:tc>
          <w:tcPr>
            <w:tcW w:w="4720" w:type="dxa"/>
            <w:vAlign w:val="bottom"/>
            <w:gridSpan w:val="24"/>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Consent of PricewaterhouseCoopers LLP, Independent</w:t>
              </w:r>
            </w:hyperlink>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126">
              <w:r>
                <w:rPr>
                  <w:rFonts w:ascii="Arial" w:cs="Arial" w:eastAsia="Arial" w:hAnsi="Arial"/>
                  <w:sz w:val="18"/>
                  <w:szCs w:val="18"/>
                  <w:color w:val="0000EE"/>
                  <w:w w:val="92"/>
                </w:rPr>
                <w:t>Registered Public Accounting Firm</w:t>
              </w:r>
            </w:hyperlink>
          </w:p>
        </w:tc>
        <w:tc>
          <w:tcPr>
            <w:tcW w:w="1340" w:type="dxa"/>
            <w:vAlign w:val="bottom"/>
            <w:tcBorders>
              <w:top w:val="single" w:sz="8" w:color="0000EE"/>
            </w:tcBorders>
            <w:gridSpan w:val="10"/>
          </w:tcPr>
          <w:p>
            <w:pPr>
              <w:spacing w:after="0"/>
              <w:rPr>
                <w:sz w:val="17"/>
                <w:szCs w:val="17"/>
                <w:color w:val="auto"/>
              </w:rPr>
            </w:pPr>
          </w:p>
        </w:tc>
        <w:tc>
          <w:tcPr>
            <w:tcW w:w="78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7"/>
                <w:szCs w:val="17"/>
                <w:color w:val="auto"/>
              </w:rPr>
            </w:pPr>
          </w:p>
        </w:tc>
        <w:tc>
          <w:tcPr>
            <w:tcW w:w="4720" w:type="dxa"/>
            <w:vAlign w:val="bottom"/>
            <w:gridSpan w:val="24"/>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Rule 13a-14(a)/15d-14(a) Certification of Chief Executive</w:t>
              </w:r>
            </w:hyperlink>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127">
              <w:r>
                <w:rPr>
                  <w:rFonts w:ascii="Arial" w:cs="Arial" w:eastAsia="Arial" w:hAnsi="Arial"/>
                  <w:sz w:val="18"/>
                  <w:szCs w:val="18"/>
                  <w:color w:val="0000EE"/>
                  <w:w w:val="94"/>
                </w:rPr>
                <w:t>Officer</w:t>
              </w:r>
            </w:hyperlink>
          </w:p>
        </w:tc>
        <w:tc>
          <w:tcPr>
            <w:tcW w:w="3680" w:type="dxa"/>
            <w:vAlign w:val="bottom"/>
            <w:tcBorders>
              <w:top w:val="single" w:sz="8" w:color="0000EE"/>
            </w:tcBorders>
            <w:gridSpan w:val="16"/>
          </w:tcPr>
          <w:p>
            <w:pPr>
              <w:spacing w:after="0"/>
              <w:rPr>
                <w:sz w:val="17"/>
                <w:szCs w:val="17"/>
                <w:color w:val="auto"/>
              </w:rPr>
            </w:pPr>
          </w:p>
        </w:tc>
        <w:tc>
          <w:tcPr>
            <w:tcW w:w="52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31.2</w:t>
            </w:r>
          </w:p>
        </w:tc>
        <w:tc>
          <w:tcPr>
            <w:tcW w:w="240" w:type="dxa"/>
            <w:vAlign w:val="bottom"/>
          </w:tcPr>
          <w:p>
            <w:pPr>
              <w:spacing w:after="0"/>
              <w:rPr>
                <w:sz w:val="17"/>
                <w:szCs w:val="17"/>
                <w:color w:val="auto"/>
              </w:rPr>
            </w:pPr>
          </w:p>
        </w:tc>
        <w:tc>
          <w:tcPr>
            <w:tcW w:w="41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28">
              <w:r>
                <w:rPr>
                  <w:rFonts w:ascii="Arial" w:cs="Arial" w:eastAsia="Arial" w:hAnsi="Arial"/>
                  <w:sz w:val="18"/>
                  <w:szCs w:val="18"/>
                  <w:color w:val="0000EE"/>
                  <w:w w:val="92"/>
                </w:rPr>
                <w:t>Rule 13a-14(a)/15d-14(a) Certification of Chief Financial</w:t>
              </w:r>
            </w:hyperlink>
          </w:p>
        </w:tc>
        <w:tc>
          <w:tcPr>
            <w:tcW w:w="56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128">
              <w:r>
                <w:rPr>
                  <w:rFonts w:ascii="Arial" w:cs="Arial" w:eastAsia="Arial" w:hAnsi="Arial"/>
                  <w:sz w:val="18"/>
                  <w:szCs w:val="18"/>
                  <w:color w:val="0000EE"/>
                  <w:w w:val="94"/>
                </w:rPr>
                <w:t>Officer</w:t>
              </w:r>
            </w:hyperlink>
          </w:p>
        </w:tc>
        <w:tc>
          <w:tcPr>
            <w:tcW w:w="4200" w:type="dxa"/>
            <w:vAlign w:val="bottom"/>
            <w:gridSpan w:val="2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32.1</w:t>
            </w:r>
          </w:p>
        </w:tc>
        <w:tc>
          <w:tcPr>
            <w:tcW w:w="240" w:type="dxa"/>
            <w:vAlign w:val="bottom"/>
          </w:tcPr>
          <w:p>
            <w:pPr>
              <w:spacing w:after="0"/>
              <w:rPr>
                <w:sz w:val="17"/>
                <w:szCs w:val="17"/>
                <w:color w:val="auto"/>
              </w:rPr>
            </w:pPr>
          </w:p>
        </w:tc>
        <w:tc>
          <w:tcPr>
            <w:tcW w:w="4720" w:type="dxa"/>
            <w:vAlign w:val="bottom"/>
            <w:gridSpan w:val="24"/>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Section 1350 Certification of Chief Executive Officer</w:t>
              </w:r>
            </w:hyperlink>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Arial" w:cs="Arial" w:eastAsia="Arial" w:hAnsi="Arial"/>
                <w:sz w:val="18"/>
                <w:szCs w:val="18"/>
                <w:color w:val="auto"/>
              </w:rPr>
              <w:t>32.2</w:t>
            </w:r>
          </w:p>
        </w:tc>
        <w:tc>
          <w:tcPr>
            <w:tcW w:w="24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w:anchor="page130">
              <w:r>
                <w:rPr>
                  <w:rFonts w:ascii="Arial" w:cs="Arial" w:eastAsia="Arial" w:hAnsi="Arial"/>
                  <w:sz w:val="18"/>
                  <w:szCs w:val="18"/>
                  <w:color w:val="0000EE"/>
                  <w:w w:val="93"/>
                </w:rPr>
                <w:t>Section 1350 Certification of Chief Financial Officer</w:t>
              </w:r>
            </w:hyperlink>
          </w:p>
        </w:tc>
        <w:tc>
          <w:tcPr>
            <w:tcW w:w="40" w:type="dxa"/>
            <w:vAlign w:val="bottom"/>
            <w:tcBorders>
              <w:top w:val="single" w:sz="8" w:color="0000EE"/>
            </w:tcBorders>
          </w:tcPr>
          <w:p>
            <w:pPr>
              <w:spacing w:after="0"/>
              <w:rPr>
                <w:sz w:val="17"/>
                <w:szCs w:val="17"/>
                <w:color w:val="auto"/>
              </w:rPr>
            </w:pPr>
          </w:p>
        </w:tc>
        <w:tc>
          <w:tcPr>
            <w:tcW w:w="86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2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720" w:type="dxa"/>
            <w:vAlign w:val="bottom"/>
            <w:gridSpan w:val="24"/>
          </w:tcPr>
          <w:p>
            <w:pPr>
              <w:spacing w:after="0"/>
              <w:rPr>
                <w:sz w:val="20"/>
                <w:szCs w:val="20"/>
                <w:color w:val="auto"/>
              </w:rPr>
            </w:pPr>
            <w:r>
              <w:rPr>
                <w:rFonts w:ascii="Arial" w:cs="Arial" w:eastAsia="Arial" w:hAnsi="Arial"/>
                <w:sz w:val="18"/>
                <w:szCs w:val="18"/>
                <w:color w:val="auto"/>
              </w:rPr>
              <w:t>XBRL Instance Document</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720" w:type="dxa"/>
            <w:vAlign w:val="bottom"/>
            <w:gridSpan w:val="24"/>
          </w:tcPr>
          <w:p>
            <w:pPr>
              <w:spacing w:after="0"/>
              <w:rPr>
                <w:sz w:val="20"/>
                <w:szCs w:val="20"/>
                <w:color w:val="auto"/>
              </w:rPr>
            </w:pPr>
            <w:r>
              <w:rPr>
                <w:rFonts w:ascii="Arial" w:cs="Arial" w:eastAsia="Arial" w:hAnsi="Arial"/>
                <w:sz w:val="18"/>
                <w:szCs w:val="18"/>
                <w:color w:val="auto"/>
              </w:rPr>
              <w:t>XBRL Taxonomy Extension Schema Document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720" w:type="dxa"/>
            <w:vAlign w:val="bottom"/>
            <w:gridSpan w:val="24"/>
          </w:tcPr>
          <w:p>
            <w:pPr>
              <w:spacing w:after="0"/>
              <w:rPr>
                <w:sz w:val="20"/>
                <w:szCs w:val="20"/>
                <w:color w:val="auto"/>
              </w:rPr>
            </w:pPr>
            <w:r>
              <w:rPr>
                <w:rFonts w:ascii="Arial" w:cs="Arial" w:eastAsia="Arial" w:hAnsi="Arial"/>
                <w:sz w:val="18"/>
                <w:szCs w:val="18"/>
                <w:color w:val="auto"/>
                <w:w w:val="98"/>
              </w:rPr>
              <w:t>XBRL Taxonomy Extension Calculation Linkbase Document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72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 Document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720" w:type="dxa"/>
            <w:vAlign w:val="bottom"/>
            <w:gridSpan w:val="24"/>
          </w:tcPr>
          <w:p>
            <w:pPr>
              <w:spacing w:after="0"/>
              <w:rPr>
                <w:sz w:val="20"/>
                <w:szCs w:val="20"/>
                <w:color w:val="auto"/>
              </w:rPr>
            </w:pPr>
            <w:r>
              <w:rPr>
                <w:rFonts w:ascii="Arial" w:cs="Arial" w:eastAsia="Arial" w:hAnsi="Arial"/>
                <w:sz w:val="18"/>
                <w:szCs w:val="18"/>
                <w:color w:val="auto"/>
                <w:w w:val="95"/>
              </w:rPr>
              <w:t>XBRL Taxonomy Extension Presentation Linkbase Document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72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firstLine="8"/>
        <w:spacing w:after="0" w:line="261" w:lineRule="auto"/>
        <w:tabs>
          <w:tab w:leader="none" w:pos="733"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redacted portions of this exhibit. Redacted portions of this exhibit have been filed separately with the SEC.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60" w:type="dxa"/>
            <w:vAlign w:val="bottom"/>
            <w:gridSpan w:val="9"/>
            <w:vMerge w:val="restart"/>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Report of Independent Registered Public Accounting Firm</w:t>
              </w:r>
            </w:hyperlink>
          </w:p>
        </w:tc>
        <w:tc>
          <w:tcPr>
            <w:tcW w:w="880" w:type="dxa"/>
            <w:vAlign w:val="bottom"/>
            <w:gridSpan w:val="2"/>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60" w:type="dxa"/>
            <w:vAlign w:val="bottom"/>
            <w:gridSpan w:val="9"/>
            <w:vMerge w:val="continue"/>
          </w:tcPr>
          <w:p>
            <w:pPr>
              <w:spacing w:after="0"/>
              <w:rPr>
                <w:sz w:val="14"/>
                <w:szCs w:val="14"/>
                <w:color w:val="auto"/>
              </w:rPr>
            </w:pPr>
          </w:p>
        </w:tc>
        <w:tc>
          <w:tcPr>
            <w:tcW w:w="860" w:type="dxa"/>
            <w:vAlign w:val="bottom"/>
            <w:tcBorders>
              <w:top w:val="single" w:sz="8" w:color="auto"/>
            </w:tcBorders>
          </w:tcPr>
          <w:p>
            <w:pPr>
              <w:ind w:left="62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92">
              <w:r>
                <w:rPr>
                  <w:rFonts w:ascii="Arial" w:cs="Arial" w:eastAsia="Arial" w:hAnsi="Arial"/>
                  <w:sz w:val="18"/>
                  <w:szCs w:val="18"/>
                  <w:color w:val="0000EE"/>
                  <w:w w:val="88"/>
                </w:rPr>
                <w:t>Consolidated Balance Sheets as of December 31, 2017 and 2016</w:t>
              </w:r>
            </w:hyperlink>
          </w:p>
        </w:tc>
        <w:tc>
          <w:tcPr>
            <w:tcW w:w="5900" w:type="dxa"/>
            <w:vAlign w:val="bottom"/>
            <w:gridSpan w:val="4"/>
          </w:tcPr>
          <w:p>
            <w:pPr>
              <w:spacing w:after="0"/>
              <w:rPr>
                <w:sz w:val="17"/>
                <w:szCs w:val="17"/>
                <w:color w:val="auto"/>
              </w:rPr>
            </w:pPr>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560" w:type="dxa"/>
            <w:vAlign w:val="bottom"/>
            <w:gridSpan w:val="9"/>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Consolidated Statements of Operations and Comprehensive Loss for the years ended December 31, 2017, 2016 and 2015</w:t>
              </w:r>
            </w:hyperlink>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80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94">
              <w:r>
                <w:rPr>
                  <w:rFonts w:ascii="Arial" w:cs="Arial" w:eastAsia="Arial" w:hAnsi="Arial"/>
                  <w:sz w:val="18"/>
                  <w:szCs w:val="18"/>
                  <w:color w:val="0000EE"/>
                  <w:w w:val="91"/>
                </w:rPr>
                <w:t>Consolidated Statements of Convertible Preferred Stock and Stockholders’ Equity (Deficit) as of December 31,</w:t>
              </w:r>
            </w:hyperlink>
          </w:p>
        </w:tc>
        <w:tc>
          <w:tcPr>
            <w:tcW w:w="640" w:type="dxa"/>
            <w:vAlign w:val="bottom"/>
            <w:tcBorders>
              <w:top w:val="single" w:sz="8" w:color="0000EE"/>
            </w:tcBorders>
          </w:tcPr>
          <w:p>
            <w:pPr>
              <w:spacing w:after="0"/>
              <w:rPr>
                <w:sz w:val="17"/>
                <w:szCs w:val="17"/>
                <w:color w:val="auto"/>
              </w:rPr>
            </w:pPr>
          </w:p>
        </w:tc>
        <w:tc>
          <w:tcPr>
            <w:tcW w:w="1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8"/>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2017, 2016 and 2015</w:t>
              </w:r>
            </w:hyperlink>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Consolidated Statements of Cash Flows for the years ended December 31, 2017, 2016 and 2015</w:t>
              </w:r>
            </w:hyperlink>
          </w:p>
        </w:tc>
        <w:tc>
          <w:tcPr>
            <w:tcW w:w="3640" w:type="dxa"/>
            <w:vAlign w:val="bottom"/>
            <w:gridSpan w:val="3"/>
          </w:tcPr>
          <w:p>
            <w:pPr>
              <w:spacing w:after="0"/>
              <w:rPr>
                <w:sz w:val="17"/>
                <w:szCs w:val="17"/>
                <w:color w:val="auto"/>
              </w:rPr>
            </w:pPr>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Notes to Consolidated Financial Statements</w:t>
              </w:r>
            </w:hyperlink>
          </w:p>
        </w:tc>
        <w:tc>
          <w:tcPr>
            <w:tcW w:w="7400" w:type="dxa"/>
            <w:vAlign w:val="bottom"/>
            <w:gridSpan w:val="6"/>
          </w:tcPr>
          <w:p>
            <w:pPr>
              <w:spacing w:after="0"/>
              <w:rPr>
                <w:sz w:val="17"/>
                <w:szCs w:val="17"/>
                <w:color w:val="auto"/>
              </w:rPr>
            </w:pPr>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Seres Therapeutics, Inc.</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3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audited the accompanying consolidated balance sheets of Seres Therapeutics, Inc. and its subsidiaries as of December 31, 2017 and 2016, and the related consolidated statements of operations and comprehensive loss, of convertible preferred stock and stockholders’ equity (deficit) and of cash flows for each of the three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will require additional financing to fund future operations. Management’s plans in regard to this matter are described in Note 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9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36,088</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54,539</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113,895</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138,704</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5,126</w:t>
            </w:r>
          </w:p>
        </w:tc>
        <w:tc>
          <w:tcPr>
            <w:tcW w:w="120" w:type="dxa"/>
            <w:vAlign w:val="bottom"/>
            <w:shd w:val="clear" w:color="auto" w:fill="CFF0FC"/>
          </w:tcPr>
          <w:p>
            <w:pPr>
              <w:spacing w:after="0"/>
              <w:rPr>
                <w:sz w:val="19"/>
                <w:szCs w:val="19"/>
                <w:color w:val="auto"/>
              </w:rPr>
            </w:pPr>
          </w:p>
        </w:tc>
      </w:tr>
      <w:tr>
        <w:trPr>
          <w:trHeight w:val="223"/>
        </w:trPr>
        <w:tc>
          <w:tcPr>
            <w:tcW w:w="79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155,078</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198,369</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32,931</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36,125</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36,752</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FF0FC"/>
          </w:tcPr>
          <w:p>
            <w:pPr>
              <w:spacing w:after="0"/>
              <w:rPr>
                <w:sz w:val="19"/>
                <w:szCs w:val="19"/>
                <w:color w:val="auto"/>
              </w:rPr>
            </w:pPr>
          </w:p>
        </w:tc>
      </w:tr>
      <w:tr>
        <w:trPr>
          <w:trHeight w:val="263"/>
        </w:trPr>
        <w:tc>
          <w:tcPr>
            <w:tcW w:w="7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189,522</w:t>
            </w:r>
          </w:p>
        </w:tc>
        <w:tc>
          <w:tcPr>
            <w:tcW w:w="30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272,646</w:t>
            </w:r>
          </w:p>
        </w:tc>
        <w:tc>
          <w:tcPr>
            <w:tcW w:w="120" w:type="dxa"/>
            <w:vAlign w:val="bottom"/>
            <w:tcBorders>
              <w:bottom w:val="single" w:sz="8" w:color="CFF0FC"/>
            </w:tcBorders>
          </w:tcPr>
          <w:p>
            <w:pPr>
              <w:spacing w:after="0"/>
              <w:rPr>
                <w:sz w:val="22"/>
                <w:szCs w:val="22"/>
                <w:color w:val="auto"/>
              </w:rPr>
            </w:pPr>
          </w:p>
        </w:tc>
      </w:tr>
      <w:tr>
        <w:trPr>
          <w:trHeight w:val="210"/>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7,033</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7,587</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12,513</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10,812</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related party</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12,079</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12,058</w:t>
            </w:r>
          </w:p>
        </w:tc>
        <w:tc>
          <w:tcPr>
            <w:tcW w:w="120" w:type="dxa"/>
            <w:vAlign w:val="bottom"/>
            <w:shd w:val="clear" w:color="auto" w:fill="CFF0FC"/>
          </w:tcPr>
          <w:p>
            <w:pPr>
              <w:spacing w:after="0"/>
              <w:rPr>
                <w:sz w:val="19"/>
                <w:szCs w:val="19"/>
                <w:color w:val="auto"/>
              </w:rPr>
            </w:pPr>
          </w:p>
        </w:tc>
      </w:tr>
      <w:tr>
        <w:trPr>
          <w:trHeight w:val="223"/>
        </w:trPr>
        <w:tc>
          <w:tcPr>
            <w:tcW w:w="79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31,625</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30,457</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Lease incentive obligation, net of current portion</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8,989</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10,730</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2,233</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portion - related party</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84,847</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96,756</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1,129</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128,823</w:t>
            </w:r>
          </w:p>
        </w:tc>
        <w:tc>
          <w:tcPr>
            <w:tcW w:w="3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980" w:type="dxa"/>
            <w:vAlign w:val="bottom"/>
          </w:tcPr>
          <w:p>
            <w:pPr>
              <w:ind w:left="260"/>
              <w:spacing w:after="0"/>
              <w:rPr>
                <w:sz w:val="20"/>
                <w:szCs w:val="20"/>
                <w:color w:val="auto"/>
              </w:rPr>
            </w:pPr>
            <w:r>
              <w:rPr>
                <w:rFonts w:ascii="Arial" w:cs="Arial" w:eastAsia="Arial" w:hAnsi="Arial"/>
                <w:sz w:val="18"/>
                <w:szCs w:val="18"/>
                <w:color w:val="auto"/>
              </w:rPr>
              <w:t>Preferred stock, $0.001 par value; 10,000,000 shares authorized at December 31, 2017</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980" w:type="dxa"/>
            <w:vAlign w:val="bottom"/>
          </w:tcPr>
          <w:p>
            <w:pPr>
              <w:ind w:left="380"/>
              <w:spacing w:after="0"/>
              <w:rPr>
                <w:sz w:val="20"/>
                <w:szCs w:val="20"/>
                <w:color w:val="auto"/>
              </w:rPr>
            </w:pPr>
            <w:r>
              <w:rPr>
                <w:rFonts w:ascii="Arial" w:cs="Arial" w:eastAsia="Arial" w:hAnsi="Arial"/>
                <w:sz w:val="18"/>
                <w:szCs w:val="18"/>
                <w:color w:val="auto"/>
              </w:rPr>
              <w:t>and 2016; no shares issued and outstanding at December 31, 2017 and 2016</w:t>
            </w:r>
          </w:p>
        </w:tc>
        <w:tc>
          <w:tcPr>
            <w:tcW w:w="34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200,000,000 shares authorized at December 31, 2017</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and 2016; 40,571,015 and 40,355,753 shares issued and outstanding</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at December 31, 2017 and 2016</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20"/>
                <w:szCs w:val="20"/>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324,376</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306,931</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(146)</w:t>
            </w: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w:t>
            </w: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(263,571)</w:t>
            </w:r>
          </w:p>
        </w:tc>
        <w:tc>
          <w:tcPr>
            <w:tcW w:w="4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(174,191)</w:t>
            </w:r>
          </w:p>
        </w:tc>
      </w:tr>
      <w:tr>
        <w:trPr>
          <w:trHeight w:val="223"/>
        </w:trPr>
        <w:tc>
          <w:tcPr>
            <w:tcW w:w="79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60,699</w:t>
            </w:r>
          </w:p>
        </w:tc>
        <w:tc>
          <w:tcPr>
            <w:tcW w:w="3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980" w:type="dxa"/>
            <w:vAlign w:val="bottom"/>
          </w:tcPr>
          <w:p>
            <w:pPr>
              <w:ind w:left="500"/>
              <w:spacing w:after="0"/>
              <w:rPr>
                <w:sz w:val="20"/>
                <w:szCs w:val="20"/>
                <w:color w:val="auto"/>
              </w:rPr>
            </w:pPr>
            <w:r>
              <w:rPr>
                <w:rFonts w:ascii="Arial" w:cs="Arial" w:eastAsia="Arial" w:hAnsi="Arial"/>
                <w:sz w:val="18"/>
                <w:szCs w:val="18"/>
                <w:color w:val="auto"/>
              </w:rPr>
              <w:t>Total liabilities, convertible preferred stock and stockholders’ equity</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189,522</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272,646</w:t>
            </w:r>
          </w:p>
        </w:tc>
        <w:tc>
          <w:tcPr>
            <w:tcW w:w="12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Collaboration revenue - related party</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21,766</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7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expenses</w:t>
            </w:r>
          </w:p>
        </w:tc>
        <w:tc>
          <w:tcPr>
            <w:tcW w:w="10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89,455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123,495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114,605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(91,395)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(92,839)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Interest income (expense), net</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Revaluation of preferred stock warrant liability</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7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(89,380)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(91,579)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(2.21)</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(2.30)</w:t>
            </w: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FF0FC"/>
            </w:tcBorders>
            <w:vMerge w:val="continue"/>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40,449,410</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39,846,928</w:t>
            </w: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23,532,400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Unrealized gain (loss) on investments, net of tax of $0</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comprehensive income (loss)</w:t>
            </w:r>
          </w:p>
        </w:tc>
        <w:tc>
          <w:tcPr>
            <w:tcW w:w="7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Comprehensive loss</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(91,758)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jc w:val="center"/>
        <w:ind w:right="-5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50253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0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8"/>
              </w:rPr>
              <w:t>Series A, A-2, B, C,</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300" w:type="dxa"/>
            <w:vAlign w:val="bottom"/>
            <w:gridSpan w:val="4"/>
          </w:tcPr>
          <w:p>
            <w:pPr>
              <w:jc w:val="center"/>
              <w:ind w:left="538"/>
              <w:spacing w:after="0"/>
              <w:rPr>
                <w:sz w:val="20"/>
                <w:szCs w:val="20"/>
                <w:color w:val="auto"/>
              </w:rPr>
            </w:pPr>
            <w:r>
              <w:rPr>
                <w:rFonts w:ascii="Arial" w:cs="Arial" w:eastAsia="Arial" w:hAnsi="Arial"/>
                <w:sz w:val="14"/>
                <w:szCs w:val="14"/>
                <w:b w:val="1"/>
                <w:bCs w:val="1"/>
                <w:color w:val="auto"/>
                <w:w w:val="91"/>
              </w:rPr>
              <w:t>D and D-1</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460" w:type="dxa"/>
            <w:vAlign w:val="bottom"/>
          </w:tcPr>
          <w:p>
            <w:pPr>
              <w:spacing w:after="0"/>
              <w:rPr>
                <w:sz w:val="15"/>
                <w:szCs w:val="15"/>
                <w:color w:val="auto"/>
              </w:rPr>
            </w:pPr>
          </w:p>
        </w:tc>
        <w:tc>
          <w:tcPr>
            <w:tcW w:w="1300" w:type="dxa"/>
            <w:vAlign w:val="bottom"/>
            <w:gridSpan w:val="4"/>
          </w:tcPr>
          <w:p>
            <w:pPr>
              <w:jc w:val="center"/>
              <w:ind w:left="538"/>
              <w:spacing w:after="0"/>
              <w:rPr>
                <w:sz w:val="20"/>
                <w:szCs w:val="20"/>
                <w:color w:val="auto"/>
              </w:rPr>
            </w:pPr>
            <w:r>
              <w:rPr>
                <w:rFonts w:ascii="Arial" w:cs="Arial" w:eastAsia="Arial" w:hAnsi="Arial"/>
                <w:sz w:val="14"/>
                <w:szCs w:val="14"/>
                <w:b w:val="1"/>
                <w:bCs w:val="1"/>
                <w:color w:val="auto"/>
                <w:w w:val="88"/>
              </w:rPr>
              <w:t>Convertible</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460" w:type="dxa"/>
            <w:vAlign w:val="bottom"/>
          </w:tcPr>
          <w:p>
            <w:pPr>
              <w:spacing w:after="0"/>
              <w:rPr>
                <w:sz w:val="14"/>
                <w:szCs w:val="14"/>
                <w:color w:val="auto"/>
              </w:rPr>
            </w:pPr>
          </w:p>
        </w:tc>
        <w:tc>
          <w:tcPr>
            <w:tcW w:w="19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vMerge w:val="restart"/>
          </w:tcPr>
          <w:p>
            <w:pPr>
              <w:spacing w:after="0"/>
              <w:rPr>
                <w:sz w:val="20"/>
                <w:szCs w:val="20"/>
                <w:color w:val="auto"/>
              </w:rPr>
            </w:pPr>
            <w:r>
              <w:rPr>
                <w:rFonts w:ascii="Arial" w:cs="Arial" w:eastAsia="Arial" w:hAnsi="Arial"/>
                <w:sz w:val="17"/>
                <w:szCs w:val="17"/>
                <w:b w:val="1"/>
                <w:bCs w:val="1"/>
                <w:color w:val="auto"/>
              </w:rPr>
              <w:t>Balance at December 31, 2014</w:t>
            </w:r>
          </w:p>
        </w:tc>
        <w:tc>
          <w:tcPr>
            <w:tcW w:w="1300" w:type="dxa"/>
            <w:vAlign w:val="bottom"/>
            <w:gridSpan w:val="4"/>
          </w:tcPr>
          <w:p>
            <w:pPr>
              <w:jc w:val="right"/>
              <w:ind w:right="545"/>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05"/>
        </w:trPr>
        <w:tc>
          <w:tcPr>
            <w:tcW w:w="3460" w:type="dxa"/>
            <w:vAlign w:val="bottom"/>
            <w:vMerge w:val="continue"/>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22,866,987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136,077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260"/>
              <w:spacing w:after="0"/>
              <w:rPr>
                <w:sz w:val="20"/>
                <w:szCs w:val="20"/>
                <w:color w:val="auto"/>
              </w:rPr>
            </w:pPr>
            <w:r>
              <w:rPr>
                <w:rFonts w:ascii="Arial" w:cs="Arial" w:eastAsia="Arial" w:hAnsi="Arial"/>
                <w:sz w:val="17"/>
                <w:szCs w:val="17"/>
                <w:color w:val="auto"/>
                <w:w w:val="96"/>
              </w:rPr>
              <w:t>Issuance of common stock upon exercise of</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260"/>
              <w:spacing w:after="0"/>
              <w:rPr>
                <w:sz w:val="20"/>
                <w:szCs w:val="20"/>
                <w:color w:val="auto"/>
              </w:rPr>
            </w:pPr>
            <w:r>
              <w:rPr>
                <w:rFonts w:ascii="Arial" w:cs="Arial" w:eastAsia="Arial" w:hAnsi="Arial"/>
                <w:sz w:val="17"/>
                <w:szCs w:val="17"/>
                <w:color w:val="auto"/>
              </w:rPr>
              <w:t>stock</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80"/>
              <w:spacing w:after="0"/>
              <w:rPr>
                <w:sz w:val="20"/>
                <w:szCs w:val="20"/>
                <w:color w:val="auto"/>
              </w:rPr>
            </w:pPr>
            <w:r>
              <w:rPr>
                <w:rFonts w:ascii="Arial" w:cs="Arial" w:eastAsia="Arial" w:hAnsi="Arial"/>
                <w:sz w:val="17"/>
                <w:szCs w:val="17"/>
                <w:color w:val="auto"/>
              </w:rPr>
              <w:t>options</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460" w:type="dxa"/>
            <w:vAlign w:val="bottom"/>
          </w:tcPr>
          <w:p>
            <w:pPr>
              <w:ind w:left="260"/>
              <w:spacing w:after="0"/>
              <w:rPr>
                <w:sz w:val="20"/>
                <w:szCs w:val="20"/>
                <w:color w:val="auto"/>
              </w:rPr>
            </w:pPr>
            <w:r>
              <w:rPr>
                <w:rFonts w:ascii="Arial" w:cs="Arial" w:eastAsia="Arial" w:hAnsi="Arial"/>
                <w:sz w:val="17"/>
                <w:szCs w:val="17"/>
                <w:color w:val="auto"/>
                <w:w w:val="96"/>
              </w:rPr>
              <w:t>Issuance of common stock upon exercise of</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80"/>
              <w:spacing w:after="0"/>
              <w:rPr>
                <w:sz w:val="20"/>
                <w:szCs w:val="20"/>
                <w:color w:val="auto"/>
              </w:rPr>
            </w:pPr>
            <w:r>
              <w:rPr>
                <w:rFonts w:ascii="Arial" w:cs="Arial" w:eastAsia="Arial" w:hAnsi="Arial"/>
                <w:sz w:val="17"/>
                <w:szCs w:val="17"/>
                <w:color w:val="auto"/>
              </w:rPr>
              <w:t>common stock warrant</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460" w:type="dxa"/>
            <w:vAlign w:val="bottom"/>
          </w:tcPr>
          <w:p>
            <w:pPr>
              <w:ind w:left="260"/>
              <w:spacing w:after="0"/>
              <w:rPr>
                <w:sz w:val="20"/>
                <w:szCs w:val="20"/>
                <w:color w:val="auto"/>
              </w:rPr>
            </w:pPr>
            <w:r>
              <w:rPr>
                <w:rFonts w:ascii="Arial" w:cs="Arial" w:eastAsia="Arial" w:hAnsi="Arial"/>
                <w:sz w:val="17"/>
                <w:szCs w:val="17"/>
                <w:color w:val="auto"/>
                <w:w w:val="96"/>
              </w:rPr>
              <w:t>Issuance of common stock upon completion</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260"/>
              <w:spacing w:after="0"/>
              <w:rPr>
                <w:sz w:val="20"/>
                <w:szCs w:val="20"/>
                <w:color w:val="auto"/>
              </w:rPr>
            </w:pPr>
            <w:r>
              <w:rPr>
                <w:rFonts w:ascii="Arial" w:cs="Arial" w:eastAsia="Arial" w:hAnsi="Arial"/>
                <w:sz w:val="17"/>
                <w:szCs w:val="17"/>
                <w:color w:val="auto"/>
              </w:rPr>
              <w:t>of</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80"/>
              <w:spacing w:after="0"/>
              <w:rPr>
                <w:sz w:val="20"/>
                <w:szCs w:val="20"/>
                <w:color w:val="auto"/>
              </w:rPr>
            </w:pPr>
            <w:r>
              <w:rPr>
                <w:rFonts w:ascii="Arial" w:cs="Arial" w:eastAsia="Arial" w:hAnsi="Arial"/>
                <w:sz w:val="17"/>
                <w:szCs w:val="17"/>
                <w:color w:val="auto"/>
                <w:w w:val="99"/>
              </w:rPr>
              <w:t>initial public offering, net of offering costs</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7"/>
                <w:szCs w:val="17"/>
                <w:color w:val="auto"/>
              </w:rPr>
              <w:t>Stock-based compensation expense</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460" w:type="dxa"/>
            <w:vAlign w:val="bottom"/>
          </w:tcPr>
          <w:p>
            <w:pPr>
              <w:ind w:left="260"/>
              <w:spacing w:after="0"/>
              <w:rPr>
                <w:sz w:val="20"/>
                <w:szCs w:val="20"/>
                <w:color w:val="auto"/>
              </w:rPr>
            </w:pPr>
            <w:r>
              <w:rPr>
                <w:rFonts w:ascii="Arial" w:cs="Arial" w:eastAsia="Arial" w:hAnsi="Arial"/>
                <w:sz w:val="17"/>
                <w:szCs w:val="17"/>
                <w:color w:val="auto"/>
                <w:w w:val="92"/>
              </w:rPr>
              <w:t>Series D convertible preferred stock issuance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7"/>
                <w:szCs w:val="17"/>
                <w:color w:val="auto"/>
              </w:rPr>
              <w:t>costs</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3"/>
        </w:trPr>
        <w:tc>
          <w:tcPr>
            <w:tcW w:w="3460" w:type="dxa"/>
            <w:vAlign w:val="bottom"/>
          </w:tcPr>
          <w:p>
            <w:pPr>
              <w:ind w:left="260"/>
              <w:spacing w:after="0"/>
              <w:rPr>
                <w:sz w:val="20"/>
                <w:szCs w:val="20"/>
                <w:color w:val="auto"/>
              </w:rPr>
            </w:pPr>
            <w:r>
              <w:rPr>
                <w:rFonts w:ascii="Arial" w:cs="Arial" w:eastAsia="Arial" w:hAnsi="Arial"/>
                <w:sz w:val="17"/>
                <w:szCs w:val="17"/>
                <w:color w:val="auto"/>
              </w:rPr>
              <w:t>Reclassification of preferred stock warrant</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7"/>
                <w:szCs w:val="17"/>
                <w:color w:val="auto"/>
              </w:rPr>
              <w:t>liability</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460" w:type="dxa"/>
            <w:vAlign w:val="bottom"/>
          </w:tcPr>
          <w:p>
            <w:pPr>
              <w:ind w:left="260"/>
              <w:spacing w:after="0"/>
              <w:rPr>
                <w:sz w:val="20"/>
                <w:szCs w:val="20"/>
                <w:color w:val="auto"/>
              </w:rPr>
            </w:pPr>
            <w:r>
              <w:rPr>
                <w:rFonts w:ascii="Arial" w:cs="Arial" w:eastAsia="Arial" w:hAnsi="Arial"/>
                <w:sz w:val="17"/>
                <w:szCs w:val="17"/>
                <w:color w:val="auto"/>
              </w:rPr>
              <w:t>Conversion of convertible preferred stock</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80"/>
              <w:spacing w:after="0"/>
              <w:rPr>
                <w:sz w:val="20"/>
                <w:szCs w:val="20"/>
                <w:color w:val="auto"/>
              </w:rPr>
            </w:pPr>
            <w:r>
              <w:rPr>
                <w:rFonts w:ascii="Arial" w:cs="Arial" w:eastAsia="Arial" w:hAnsi="Arial"/>
                <w:sz w:val="17"/>
                <w:szCs w:val="17"/>
                <w:color w:val="auto"/>
              </w:rPr>
              <w:t>upon listing</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(22,866,987)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93"/>
              </w:rPr>
              <w:t>(136,053)</w:t>
            </w: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7"/>
                <w:szCs w:val="17"/>
                <w:color w:val="auto"/>
              </w:rPr>
              <w:t>Unrealized gain on investments</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7"/>
                <w:szCs w:val="17"/>
                <w:b w:val="1"/>
                <w:bCs w:val="1"/>
                <w:color w:val="auto"/>
              </w:rPr>
              <w:t>Balance at December 31, 2015</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260"/>
              <w:spacing w:after="0"/>
              <w:rPr>
                <w:sz w:val="20"/>
                <w:szCs w:val="20"/>
                <w:color w:val="auto"/>
              </w:rPr>
            </w:pPr>
            <w:r>
              <w:rPr>
                <w:rFonts w:ascii="Arial" w:cs="Arial" w:eastAsia="Arial" w:hAnsi="Arial"/>
                <w:sz w:val="17"/>
                <w:szCs w:val="17"/>
                <w:color w:val="auto"/>
                <w:w w:val="96"/>
              </w:rPr>
              <w:t>Issuance of common stock upon exercise of</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80"/>
              <w:spacing w:after="0"/>
              <w:rPr>
                <w:sz w:val="20"/>
                <w:szCs w:val="20"/>
                <w:color w:val="auto"/>
              </w:rPr>
            </w:pPr>
            <w:r>
              <w:rPr>
                <w:rFonts w:ascii="Arial" w:cs="Arial" w:eastAsia="Arial" w:hAnsi="Arial"/>
                <w:sz w:val="17"/>
                <w:szCs w:val="17"/>
                <w:color w:val="auto"/>
              </w:rPr>
              <w:t>stock options</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7"/>
                <w:szCs w:val="17"/>
                <w:color w:val="auto"/>
              </w:rPr>
              <w:t>Stock-based compensation expense</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7"/>
                <w:szCs w:val="17"/>
                <w:color w:val="auto"/>
              </w:rPr>
              <w:t>Unrealized loss on investments</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7"/>
                <w:szCs w:val="17"/>
                <w:b w:val="1"/>
                <w:bCs w:val="1"/>
                <w:color w:val="auto"/>
              </w:rPr>
              <w:t>Balance at December 31, 2016</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260"/>
              <w:spacing w:after="0"/>
              <w:rPr>
                <w:sz w:val="20"/>
                <w:szCs w:val="20"/>
                <w:color w:val="auto"/>
              </w:rPr>
            </w:pPr>
            <w:r>
              <w:rPr>
                <w:rFonts w:ascii="Arial" w:cs="Arial" w:eastAsia="Arial" w:hAnsi="Arial"/>
                <w:sz w:val="17"/>
                <w:szCs w:val="17"/>
                <w:color w:val="auto"/>
                <w:w w:val="96"/>
              </w:rPr>
              <w:t>Issuance of common stock upon exercise of</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80"/>
              <w:spacing w:after="0"/>
              <w:rPr>
                <w:sz w:val="20"/>
                <w:szCs w:val="20"/>
                <w:color w:val="auto"/>
              </w:rPr>
            </w:pPr>
            <w:r>
              <w:rPr>
                <w:rFonts w:ascii="Arial" w:cs="Arial" w:eastAsia="Arial" w:hAnsi="Arial"/>
                <w:sz w:val="17"/>
                <w:szCs w:val="17"/>
                <w:color w:val="auto"/>
              </w:rPr>
              <w:t>stock options</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460" w:type="dxa"/>
            <w:vAlign w:val="bottom"/>
          </w:tcPr>
          <w:p>
            <w:pPr>
              <w:ind w:left="260"/>
              <w:spacing w:after="0"/>
              <w:rPr>
                <w:sz w:val="20"/>
                <w:szCs w:val="20"/>
                <w:color w:val="auto"/>
              </w:rPr>
            </w:pPr>
            <w:r>
              <w:rPr>
                <w:rFonts w:ascii="Arial" w:cs="Arial" w:eastAsia="Arial" w:hAnsi="Arial"/>
                <w:sz w:val="17"/>
                <w:szCs w:val="17"/>
                <w:color w:val="auto"/>
                <w:w w:val="98"/>
              </w:rPr>
              <w:t>Issuance of common stock upon vesting of</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7"/>
                <w:szCs w:val="17"/>
                <w:color w:val="auto"/>
              </w:rPr>
              <w:t>RSUs</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7"/>
                <w:szCs w:val="17"/>
                <w:color w:val="auto"/>
              </w:rPr>
              <w:t>Stock-based compensation expense</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7"/>
                <w:szCs w:val="17"/>
                <w:color w:val="auto"/>
              </w:rPr>
              <w:t>Unrealized gain on investments</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300" w:type="dxa"/>
            <w:vAlign w:val="bottom"/>
            <w:gridSpan w:val="4"/>
          </w:tcPr>
          <w:p>
            <w:pPr>
              <w:jc w:val="right"/>
              <w:ind w:right="265"/>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7"/>
                <w:szCs w:val="17"/>
                <w:b w:val="1"/>
                <w:bCs w:val="1"/>
                <w:color w:val="auto"/>
              </w:rPr>
              <w:t>Balance at December 31, 2017</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158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Other</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Stockholders</w:t>
            </w:r>
          </w:p>
        </w:tc>
      </w:tr>
      <w:tr>
        <w:trPr>
          <w:trHeight w:val="169"/>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Par</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Comprehensive</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Accumulated</w:t>
            </w:r>
          </w:p>
        </w:tc>
        <w:tc>
          <w:tcPr>
            <w:tcW w:w="2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Equity</w:t>
            </w:r>
          </w:p>
        </w:tc>
      </w:tr>
      <w:tr>
        <w:trPr>
          <w:trHeight w:val="163"/>
        </w:trPr>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Income (Loss)</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(Deficit)</w:t>
            </w:r>
          </w:p>
        </w:tc>
      </w:tr>
      <w:tr>
        <w:trPr>
          <w:trHeight w:val="210"/>
        </w:trPr>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6,890,250</w:t>
            </w: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1,104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(27,832)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(26,721)</w:t>
            </w:r>
          </w:p>
        </w:tc>
        <w:tc>
          <w:tcPr>
            <w:tcW w:w="40" w:type="dxa"/>
            <w:vAlign w:val="bottom"/>
          </w:tcPr>
          <w:p>
            <w:pPr>
              <w:spacing w:after="0"/>
              <w:rPr>
                <w:sz w:val="18"/>
                <w:szCs w:val="18"/>
                <w:color w:val="auto"/>
              </w:rPr>
            </w:pPr>
          </w:p>
        </w:tc>
      </w:tr>
      <w:tr>
        <w:trPr>
          <w:trHeight w:val="617"/>
        </w:trPr>
        <w:tc>
          <w:tcPr>
            <w:tcW w:w="880" w:type="dxa"/>
            <w:vAlign w:val="bottom"/>
          </w:tcPr>
          <w:p>
            <w:pPr>
              <w:jc w:val="right"/>
              <w:spacing w:after="0"/>
              <w:rPr>
                <w:sz w:val="20"/>
                <w:szCs w:val="20"/>
                <w:color w:val="auto"/>
              </w:rPr>
            </w:pPr>
            <w:r>
              <w:rPr>
                <w:rFonts w:ascii="Arial" w:cs="Arial" w:eastAsia="Arial" w:hAnsi="Arial"/>
                <w:sz w:val="17"/>
                <w:szCs w:val="17"/>
                <w:color w:val="auto"/>
              </w:rPr>
              <w:t>232,970</w:t>
            </w:r>
          </w:p>
        </w:tc>
        <w:tc>
          <w:tcPr>
            <w:tcW w:w="2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93</w:t>
            </w:r>
          </w:p>
        </w:tc>
        <w:tc>
          <w:tcPr>
            <w:tcW w:w="40" w:type="dxa"/>
            <w:vAlign w:val="bottom"/>
          </w:tcPr>
          <w:p>
            <w:pPr>
              <w:spacing w:after="0"/>
              <w:rPr>
                <w:sz w:val="24"/>
                <w:szCs w:val="24"/>
                <w:color w:val="auto"/>
              </w:rPr>
            </w:pPr>
          </w:p>
        </w:tc>
      </w:tr>
      <w:tr>
        <w:trPr>
          <w:trHeight w:val="419"/>
        </w:trPr>
        <w:tc>
          <w:tcPr>
            <w:tcW w:w="880" w:type="dxa"/>
            <w:vAlign w:val="bottom"/>
          </w:tcPr>
          <w:p>
            <w:pPr>
              <w:jc w:val="right"/>
              <w:spacing w:after="0"/>
              <w:rPr>
                <w:sz w:val="20"/>
                <w:szCs w:val="20"/>
                <w:color w:val="auto"/>
              </w:rPr>
            </w:pPr>
            <w:r>
              <w:rPr>
                <w:rFonts w:ascii="Arial" w:cs="Arial" w:eastAsia="Arial" w:hAnsi="Arial"/>
                <w:sz w:val="17"/>
                <w:szCs w:val="17"/>
                <w:color w:val="auto"/>
              </w:rPr>
              <w:t>546,672</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169</w:t>
            </w:r>
          </w:p>
        </w:tc>
        <w:tc>
          <w:tcPr>
            <w:tcW w:w="40" w:type="dxa"/>
            <w:vAlign w:val="bottom"/>
          </w:tcPr>
          <w:p>
            <w:pPr>
              <w:spacing w:after="0"/>
              <w:rPr>
                <w:sz w:val="24"/>
                <w:szCs w:val="24"/>
                <w:color w:val="auto"/>
              </w:rPr>
            </w:pPr>
          </w:p>
        </w:tc>
      </w:tr>
      <w:tr>
        <w:trPr>
          <w:trHeight w:val="621"/>
        </w:trPr>
        <w:tc>
          <w:tcPr>
            <w:tcW w:w="880" w:type="dxa"/>
            <w:vAlign w:val="bottom"/>
          </w:tcPr>
          <w:p>
            <w:pPr>
              <w:jc w:val="right"/>
              <w:spacing w:after="0"/>
              <w:rPr>
                <w:sz w:val="20"/>
                <w:szCs w:val="20"/>
                <w:color w:val="auto"/>
              </w:rPr>
            </w:pPr>
            <w:r>
              <w:rPr>
                <w:rFonts w:ascii="Arial" w:cs="Arial" w:eastAsia="Arial" w:hAnsi="Arial"/>
                <w:sz w:val="17"/>
                <w:szCs w:val="17"/>
                <w:color w:val="auto"/>
              </w:rPr>
              <w:t>8,545,138</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139,259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139,267</w:t>
            </w:r>
          </w:p>
        </w:tc>
        <w:tc>
          <w:tcPr>
            <w:tcW w:w="40" w:type="dxa"/>
            <w:vAlign w:val="bottom"/>
          </w:tcPr>
          <w:p>
            <w:pPr>
              <w:spacing w:after="0"/>
              <w:rPr>
                <w:sz w:val="24"/>
                <w:szCs w:val="24"/>
                <w:color w:val="auto"/>
              </w:rPr>
            </w:pPr>
          </w:p>
        </w:tc>
      </w:tr>
      <w:tr>
        <w:trPr>
          <w:trHeight w:val="216"/>
        </w:trPr>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9,694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9,694</w:t>
            </w:r>
          </w:p>
        </w:tc>
        <w:tc>
          <w:tcPr>
            <w:tcW w:w="40" w:type="dxa"/>
            <w:vAlign w:val="bottom"/>
          </w:tcPr>
          <w:p>
            <w:pPr>
              <w:spacing w:after="0"/>
              <w:rPr>
                <w:sz w:val="18"/>
                <w:szCs w:val="18"/>
                <w:color w:val="auto"/>
              </w:rPr>
            </w:pPr>
          </w:p>
        </w:tc>
      </w:tr>
      <w:tr>
        <w:trPr>
          <w:trHeight w:val="419"/>
        </w:trPr>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419"/>
        </w:trPr>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1,589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1,589</w:t>
            </w:r>
          </w:p>
        </w:tc>
        <w:tc>
          <w:tcPr>
            <w:tcW w:w="40" w:type="dxa"/>
            <w:vAlign w:val="bottom"/>
          </w:tcPr>
          <w:p>
            <w:pPr>
              <w:spacing w:after="0"/>
              <w:rPr>
                <w:sz w:val="24"/>
                <w:szCs w:val="24"/>
                <w:color w:val="auto"/>
              </w:rPr>
            </w:pPr>
          </w:p>
        </w:tc>
      </w:tr>
      <w:tr>
        <w:trPr>
          <w:trHeight w:val="418"/>
        </w:trPr>
        <w:tc>
          <w:tcPr>
            <w:tcW w:w="880" w:type="dxa"/>
            <w:vAlign w:val="bottom"/>
          </w:tcPr>
          <w:p>
            <w:pPr>
              <w:jc w:val="right"/>
              <w:spacing w:after="0"/>
              <w:rPr>
                <w:sz w:val="20"/>
                <w:szCs w:val="20"/>
                <w:color w:val="auto"/>
              </w:rPr>
            </w:pPr>
            <w:r>
              <w:rPr>
                <w:rFonts w:ascii="Arial" w:cs="Arial" w:eastAsia="Arial" w:hAnsi="Arial"/>
                <w:sz w:val="17"/>
                <w:szCs w:val="17"/>
                <w:color w:val="auto"/>
              </w:rPr>
              <w:t>22,866,987</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23</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136,030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136,053</w:t>
            </w:r>
          </w:p>
        </w:tc>
        <w:tc>
          <w:tcPr>
            <w:tcW w:w="40" w:type="dxa"/>
            <w:vAlign w:val="bottom"/>
          </w:tcPr>
          <w:p>
            <w:pPr>
              <w:spacing w:after="0"/>
              <w:rPr>
                <w:sz w:val="24"/>
                <w:szCs w:val="24"/>
                <w:color w:val="auto"/>
              </w:rPr>
            </w:pPr>
          </w:p>
        </w:tc>
      </w:tr>
      <w:tr>
        <w:trPr>
          <w:trHeight w:val="216"/>
        </w:trPr>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30</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8"/>
                <w:szCs w:val="18"/>
                <w:color w:val="auto"/>
              </w:rPr>
            </w:pPr>
          </w:p>
        </w:tc>
      </w:tr>
      <w:tr>
        <w:trPr>
          <w:trHeight w:val="218"/>
        </w:trPr>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(54,780)</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(54,780)</w:t>
            </w:r>
          </w:p>
        </w:tc>
      </w:tr>
      <w:tr>
        <w:trPr>
          <w:trHeight w:val="212"/>
        </w:trPr>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39,082,017</w:t>
            </w: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287,937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(82,612)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205,394</w:t>
            </w:r>
          </w:p>
        </w:tc>
        <w:tc>
          <w:tcPr>
            <w:tcW w:w="40" w:type="dxa"/>
            <w:vAlign w:val="bottom"/>
          </w:tcPr>
          <w:p>
            <w:pPr>
              <w:spacing w:after="0"/>
              <w:rPr>
                <w:sz w:val="18"/>
                <w:szCs w:val="18"/>
                <w:color w:val="auto"/>
              </w:rPr>
            </w:pPr>
          </w:p>
        </w:tc>
      </w:tr>
      <w:tr>
        <w:trPr>
          <w:trHeight w:val="414"/>
        </w:trPr>
        <w:tc>
          <w:tcPr>
            <w:tcW w:w="880" w:type="dxa"/>
            <w:vAlign w:val="bottom"/>
          </w:tcPr>
          <w:p>
            <w:pPr>
              <w:jc w:val="right"/>
              <w:spacing w:after="0"/>
              <w:rPr>
                <w:sz w:val="20"/>
                <w:szCs w:val="20"/>
                <w:color w:val="auto"/>
              </w:rPr>
            </w:pPr>
            <w:r>
              <w:rPr>
                <w:rFonts w:ascii="Arial" w:cs="Arial" w:eastAsia="Arial" w:hAnsi="Arial"/>
                <w:sz w:val="17"/>
                <w:szCs w:val="17"/>
                <w:color w:val="auto"/>
              </w:rPr>
              <w:t>1,273,736</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2,137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2,138</w:t>
            </w:r>
          </w:p>
        </w:tc>
        <w:tc>
          <w:tcPr>
            <w:tcW w:w="40" w:type="dxa"/>
            <w:vAlign w:val="bottom"/>
          </w:tcPr>
          <w:p>
            <w:pPr>
              <w:spacing w:after="0"/>
              <w:rPr>
                <w:sz w:val="24"/>
                <w:szCs w:val="24"/>
                <w:color w:val="auto"/>
              </w:rPr>
            </w:pPr>
          </w:p>
        </w:tc>
      </w:tr>
      <w:tr>
        <w:trPr>
          <w:trHeight w:val="216"/>
        </w:trPr>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16,857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16,857</w:t>
            </w:r>
          </w:p>
        </w:tc>
        <w:tc>
          <w:tcPr>
            <w:tcW w:w="40" w:type="dxa"/>
            <w:vAlign w:val="bottom"/>
          </w:tcPr>
          <w:p>
            <w:pPr>
              <w:spacing w:after="0"/>
              <w:rPr>
                <w:sz w:val="18"/>
                <w:szCs w:val="18"/>
                <w:color w:val="auto"/>
              </w:rPr>
            </w:pPr>
          </w:p>
        </w:tc>
      </w:tr>
      <w:tr>
        <w:trPr>
          <w:trHeight w:val="216"/>
        </w:trPr>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(179)</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(179)</w:t>
            </w:r>
          </w:p>
        </w:tc>
      </w:tr>
      <w:tr>
        <w:trPr>
          <w:trHeight w:val="218"/>
        </w:trPr>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(91,579)</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(91,579)</w:t>
            </w:r>
          </w:p>
        </w:tc>
      </w:tr>
      <w:tr>
        <w:trPr>
          <w:trHeight w:val="212"/>
        </w:trPr>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40,355,753</w:t>
            </w: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306,931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(174,191)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132,631</w:t>
            </w:r>
          </w:p>
        </w:tc>
        <w:tc>
          <w:tcPr>
            <w:tcW w:w="40" w:type="dxa"/>
            <w:vAlign w:val="bottom"/>
          </w:tcPr>
          <w:p>
            <w:pPr>
              <w:spacing w:after="0"/>
              <w:rPr>
                <w:sz w:val="18"/>
                <w:szCs w:val="18"/>
                <w:color w:val="auto"/>
              </w:rPr>
            </w:pPr>
          </w:p>
        </w:tc>
      </w:tr>
      <w:tr>
        <w:trPr>
          <w:trHeight w:val="414"/>
        </w:trPr>
        <w:tc>
          <w:tcPr>
            <w:tcW w:w="880" w:type="dxa"/>
            <w:vAlign w:val="bottom"/>
          </w:tcPr>
          <w:p>
            <w:pPr>
              <w:jc w:val="right"/>
              <w:spacing w:after="0"/>
              <w:rPr>
                <w:sz w:val="20"/>
                <w:szCs w:val="20"/>
                <w:color w:val="auto"/>
              </w:rPr>
            </w:pPr>
            <w:r>
              <w:rPr>
                <w:rFonts w:ascii="Arial" w:cs="Arial" w:eastAsia="Arial" w:hAnsi="Arial"/>
                <w:sz w:val="17"/>
                <w:szCs w:val="17"/>
                <w:color w:val="auto"/>
              </w:rPr>
              <w:t>174,386</w:t>
            </w:r>
          </w:p>
        </w:tc>
        <w:tc>
          <w:tcPr>
            <w:tcW w:w="2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116</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116</w:t>
            </w:r>
          </w:p>
        </w:tc>
        <w:tc>
          <w:tcPr>
            <w:tcW w:w="40" w:type="dxa"/>
            <w:vAlign w:val="bottom"/>
          </w:tcPr>
          <w:p>
            <w:pPr>
              <w:spacing w:after="0"/>
              <w:rPr>
                <w:sz w:val="24"/>
                <w:szCs w:val="24"/>
                <w:color w:val="auto"/>
              </w:rPr>
            </w:pPr>
          </w:p>
        </w:tc>
      </w:tr>
      <w:tr>
        <w:trPr>
          <w:trHeight w:val="418"/>
        </w:trPr>
        <w:tc>
          <w:tcPr>
            <w:tcW w:w="880" w:type="dxa"/>
            <w:vAlign w:val="bottom"/>
          </w:tcPr>
          <w:p>
            <w:pPr>
              <w:jc w:val="right"/>
              <w:spacing w:after="0"/>
              <w:rPr>
                <w:sz w:val="20"/>
                <w:szCs w:val="20"/>
                <w:color w:val="auto"/>
              </w:rPr>
            </w:pPr>
            <w:r>
              <w:rPr>
                <w:rFonts w:ascii="Arial" w:cs="Arial" w:eastAsia="Arial" w:hAnsi="Arial"/>
                <w:sz w:val="17"/>
                <w:szCs w:val="17"/>
                <w:color w:val="auto"/>
              </w:rPr>
              <w:t>40,876</w:t>
            </w:r>
          </w:p>
        </w:tc>
        <w:tc>
          <w:tcPr>
            <w:tcW w:w="2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(33)</w:t>
            </w:r>
          </w:p>
        </w:tc>
        <w:tc>
          <w:tcPr>
            <w:tcW w:w="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(33)</w:t>
            </w:r>
          </w:p>
        </w:tc>
      </w:tr>
      <w:tr>
        <w:trPr>
          <w:trHeight w:val="216"/>
        </w:trPr>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17,362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17,362</w:t>
            </w:r>
          </w:p>
        </w:tc>
        <w:tc>
          <w:tcPr>
            <w:tcW w:w="40" w:type="dxa"/>
            <w:vAlign w:val="bottom"/>
          </w:tcPr>
          <w:p>
            <w:pPr>
              <w:spacing w:after="0"/>
              <w:rPr>
                <w:sz w:val="18"/>
                <w:szCs w:val="18"/>
                <w:color w:val="auto"/>
              </w:rPr>
            </w:pPr>
          </w:p>
        </w:tc>
      </w:tr>
      <w:tr>
        <w:trPr>
          <w:trHeight w:val="216"/>
        </w:trPr>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8"/>
                <w:szCs w:val="18"/>
                <w:color w:val="auto"/>
              </w:rPr>
            </w:pPr>
          </w:p>
        </w:tc>
      </w:tr>
      <w:tr>
        <w:trPr>
          <w:trHeight w:val="218"/>
        </w:trPr>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(89,380)</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(89,380)</w:t>
            </w:r>
          </w:p>
        </w:tc>
      </w:tr>
      <w:tr>
        <w:trPr>
          <w:trHeight w:val="212"/>
        </w:trPr>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40,571,015</w:t>
            </w:r>
          </w:p>
        </w:tc>
        <w:tc>
          <w:tcPr>
            <w:tcW w:w="2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40</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  324,376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5"/>
              </w:rPr>
              <w:t>$(146)</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 (263,571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60,699</w:t>
            </w:r>
          </w:p>
        </w:tc>
        <w:tc>
          <w:tcPr>
            <w:tcW w:w="40" w:type="dxa"/>
            <w:vAlign w:val="bottom"/>
          </w:tcPr>
          <w:p>
            <w:pPr>
              <w:spacing w:after="0"/>
              <w:rPr>
                <w:sz w:val="18"/>
                <w:szCs w:val="18"/>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60" w:space="200"/>
            <w:col w:w="5700"/>
          </w:cols>
          <w:pgMar w:left="240" w:top="121" w:right="29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94" w:name="page95"/>
    <w:bookmarkEnd w:id="94"/>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(89,380)</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(91,579)</w:t>
            </w:r>
          </w:p>
        </w:tc>
        <w:tc>
          <w:tcPr>
            <w:tcW w:w="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(54,780)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Adjustments to reconcile net loss to net cash provided by (used in)</w:t>
            </w: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activities:</w:t>
            </w:r>
          </w:p>
        </w:tc>
        <w:tc>
          <w:tcPr>
            <w:tcW w:w="13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16,857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 expense</w:t>
            </w: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Loss from revaluation of preferred stock warrant liability</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w:t>
            </w: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Accretion of discount on investments</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(2,598)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(11,888)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108,814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13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13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43,921</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(4,676)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(21,492)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investments</w:t>
            </w: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(96,534)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(290,594)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(267,761)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Sales and maturities of investments</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246,494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136,390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restricted cash</w:t>
            </w: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56,989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(65,453)</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(137,133)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260"/>
              <w:spacing w:after="0"/>
              <w:rPr>
                <w:sz w:val="20"/>
                <w:szCs w:val="20"/>
                <w:color w:val="auto"/>
              </w:rPr>
            </w:pPr>
            <w:r>
              <w:rPr>
                <w:rFonts w:ascii="Arial" w:cs="Arial" w:eastAsia="Arial" w:hAnsi="Arial"/>
                <w:sz w:val="18"/>
                <w:szCs w:val="18"/>
                <w:color w:val="auto"/>
              </w:rPr>
              <w:t>Proceeds from issuance of convertible preferred stock, net of</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issuance costs</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Proceeds from exercise of stock options and common stock warrants</w:t>
            </w: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260"/>
              <w:spacing w:after="0"/>
              <w:rPr>
                <w:sz w:val="20"/>
                <w:szCs w:val="20"/>
                <w:color w:val="auto"/>
              </w:rPr>
            </w:pPr>
            <w:r>
              <w:rPr>
                <w:rFonts w:ascii="Arial" w:cs="Arial" w:eastAsia="Arial" w:hAnsi="Arial"/>
                <w:sz w:val="18"/>
                <w:szCs w:val="18"/>
                <w:color w:val="auto"/>
                <w:w w:val="95"/>
              </w:rPr>
              <w:t>Proceeds from issuance of common stock upon completion of initial</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public offering</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for repurchase of common stock</w:t>
            </w: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Repayment of notes payable</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initial public offering costs</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3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137,725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13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73,933</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114,185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year</w:t>
            </w:r>
          </w:p>
        </w:tc>
        <w:tc>
          <w:tcPr>
            <w:tcW w:w="13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36,088</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54,539</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73,933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17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40"/>
              <w:spacing w:after="0"/>
              <w:rPr>
                <w:sz w:val="20"/>
                <w:szCs w:val="20"/>
                <w:color w:val="auto"/>
              </w:rPr>
            </w:pPr>
            <w:r>
              <w:rPr>
                <w:rFonts w:ascii="Arial" w:cs="Arial" w:eastAsia="Arial" w:hAnsi="Arial"/>
                <w:sz w:val="18"/>
                <w:szCs w:val="18"/>
                <w:b w:val="1"/>
                <w:bCs w:val="1"/>
                <w:color w:val="auto"/>
              </w:rPr>
              <w:t>activities:</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Property and equipment purchases included in accounts payable and</w:t>
            </w: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17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5400" w:type="dxa"/>
            <w:vAlign w:val="bottom"/>
          </w:tcPr>
          <w:p>
            <w:pPr>
              <w:spacing w:after="0"/>
              <w:rPr>
                <w:sz w:val="24"/>
                <w:szCs w:val="24"/>
                <w:color w:val="auto"/>
              </w:rPr>
            </w:pPr>
          </w:p>
        </w:tc>
        <w:tc>
          <w:tcPr>
            <w:tcW w:w="1700" w:type="dxa"/>
            <w:vAlign w:val="bottom"/>
            <w:gridSpan w:val="2"/>
          </w:tcPr>
          <w:p>
            <w:pPr>
              <w:jc w:val="right"/>
              <w:ind w:right="1170"/>
              <w:spacing w:after="0"/>
              <w:rPr>
                <w:sz w:val="20"/>
                <w:szCs w:val="20"/>
                <w:color w:val="auto"/>
              </w:rPr>
            </w:pPr>
            <w:r>
              <w:rPr>
                <w:rFonts w:ascii="Arial" w:cs="Arial" w:eastAsia="Arial" w:hAnsi="Arial"/>
                <w:sz w:val="18"/>
                <w:szCs w:val="18"/>
                <w:color w:val="auto"/>
              </w:rPr>
              <w:t>F-6</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95" w:name="page96"/>
    <w:bookmarkEnd w:id="95"/>
    <w:p>
      <w:pPr>
        <w:jc w:val="center"/>
        <w:ind w:right="-5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23"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Seres Therapeutics, Inc. (the “Company”) was incorporated under the laws of the State of Delaware in October 2010 under the name Newco LS21, Inc. In October 2011, the Company changed its name to Seres Health, Inc., and in May 2015, the Company changed its name to Seres Therapeutics, Inc. The Company is a microbiome therapeutics platform company developing a novel class of biological drugs, which are designed to restore health by repairing the function of a dysbiotic microbiome. The Company’s lead product candidate, SER-109, is designed to prevent further recurrences of Clostridium difficile infection (“CDI”), a debilitating infection of the colon, and, if approved by the U.S. Food and Drug Administration (“FDA”), could be a first-in-field oral microbiome drug. The Company’s second product candidate, SER-287, is being developed to treat inflammatory bowel disease (“IBD”) including ulcerative colitis (“UC”). The Company is also developing SER-401, a microbiome therapeutic candidate for use with checkpoint inhibitors (CPI’s) in patients with solid tumors. In addition, using its microbiome therapeutics platform, the Company is developing product candidates to treat diseases where the microbiome is implicated, including SER-262, a rationally designed product candidate, to prevent an initial recurrence of primary CDI, SER-301, a rationally designed IBD product candidate, and SER-155, a rationally designed product candidate to prevent infections and improve gastrointestinal barrier function (including the consequences of graft versus host disease) in patients following allogeneic hematopoietic stem cell transplants or solid organ transplants. The Company is also using its microbiome therapeutics platform to conduct research on various indications, including: infectious diseases, metabolic diseases, and inflammatory and immune diseases, including immuno-oncology.</w:t>
      </w:r>
    </w:p>
    <w:p>
      <w:pPr>
        <w:spacing w:after="0" w:line="188"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93"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222222"/>
        </w:rPr>
        <w:t xml:space="preserve">The Company has evaluated whether there are conditions and events, considered in the aggregate, that raise substantial doubt about the Company’s ability to continue as a going concern within one year after the date that the consolidated financial statements are issued. </w:t>
      </w:r>
      <w:r>
        <w:rPr>
          <w:rFonts w:ascii="Arial" w:cs="Arial" w:eastAsia="Arial" w:hAnsi="Arial"/>
          <w:sz w:val="16"/>
          <w:szCs w:val="16"/>
          <w:color w:val="000000"/>
        </w:rPr>
        <w:t>The Company has experienced</w:t>
      </w:r>
      <w:r>
        <w:rPr>
          <w:rFonts w:ascii="Arial" w:cs="Arial" w:eastAsia="Arial" w:hAnsi="Arial"/>
          <w:sz w:val="16"/>
          <w:szCs w:val="16"/>
          <w:color w:val="222222"/>
        </w:rPr>
        <w:t xml:space="preserve"> </w:t>
      </w:r>
      <w:r>
        <w:rPr>
          <w:rFonts w:ascii="Arial" w:cs="Arial" w:eastAsia="Arial" w:hAnsi="Arial"/>
          <w:sz w:val="16"/>
          <w:szCs w:val="16"/>
          <w:color w:val="000000"/>
        </w:rPr>
        <w:t xml:space="preserve">negative cash flows and had an accumulated deficit of $263,571 as of December 31, 2017. For </w:t>
      </w:r>
      <w:r>
        <w:rPr>
          <w:rFonts w:ascii="Arial" w:cs="Arial" w:eastAsia="Arial" w:hAnsi="Arial"/>
          <w:sz w:val="16"/>
          <w:szCs w:val="16"/>
          <w:color w:val="222222"/>
        </w:rPr>
        <w:t>the year ended December 31, 2017, the Company incurred a</w:t>
      </w:r>
      <w:r>
        <w:rPr>
          <w:rFonts w:ascii="Arial" w:cs="Arial" w:eastAsia="Arial" w:hAnsi="Arial"/>
          <w:sz w:val="16"/>
          <w:szCs w:val="16"/>
          <w:color w:val="000000"/>
        </w:rPr>
        <w:t xml:space="preserve"> </w:t>
      </w:r>
      <w:r>
        <w:rPr>
          <w:rFonts w:ascii="Arial" w:cs="Arial" w:eastAsia="Arial" w:hAnsi="Arial"/>
          <w:sz w:val="16"/>
          <w:szCs w:val="16"/>
          <w:color w:val="222222"/>
        </w:rPr>
        <w:t xml:space="preserve">loss of $89,380 and used $75,523 of cash in operations. The Company expects that its operating losses and negative cash flows will continue for the foreseeable future. </w:t>
      </w:r>
      <w:r>
        <w:rPr>
          <w:rFonts w:ascii="Arial" w:cs="Arial" w:eastAsia="Arial" w:hAnsi="Arial"/>
          <w:sz w:val="16"/>
          <w:szCs w:val="16"/>
          <w:color w:val="000000"/>
        </w:rPr>
        <w:t>The Company expects that its cash, cash equivalents and investments at December 31, 2017 of $149,983</w:t>
      </w:r>
      <w:r>
        <w:rPr>
          <w:rFonts w:ascii="Arial" w:cs="Arial" w:eastAsia="Arial" w:hAnsi="Arial"/>
          <w:sz w:val="16"/>
          <w:szCs w:val="16"/>
          <w:color w:val="222222"/>
        </w:rPr>
        <w:t xml:space="preserve"> will be sufficient to fund its operating expenses and capital expenditure requirements for at least the next 12 months from issuance of the financial statements. The future viability of the Company beyond that point is dependent on its ability to raise additional capital to finance its operations</w:t>
      </w:r>
      <w:r>
        <w:rPr>
          <w:rFonts w:ascii="Arial" w:cs="Arial" w:eastAsia="Arial" w:hAnsi="Arial"/>
          <w:sz w:val="16"/>
          <w:szCs w:val="16"/>
          <w:color w:val="000000"/>
        </w:rPr>
        <w:t>.</w:t>
      </w:r>
    </w:p>
    <w:p>
      <w:pPr>
        <w:spacing w:after="0" w:line="16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is eligible to receive contingent milestone payments under its agreement with Nestlé Health Science if certain development milestones are achieved. However, these milestones are uncertain and there is no assurance that the Company will receive any of them. Until such time, if ever, as the Company can generate substantial product revenue, the Company will finance its cash needs through a combination of public or private equity offerings, debt financings, governmental funding, collaborations, strategic partnerships or marketing, distribution or licensing arrangements with third parties. The Company may not be able to obtain funding on acceptable terms, or at all. If the Company is unable to raise additional funds as and when needed, it would have a negative impact on the Company’s financial condition, which could constrain the Company’s ability to pursue its business strategies.</w:t>
      </w:r>
    </w:p>
    <w:p>
      <w:pPr>
        <w:spacing w:after="0" w:line="165" w:lineRule="exact"/>
        <w:rPr>
          <w:sz w:val="20"/>
          <w:szCs w:val="20"/>
          <w:color w:val="auto"/>
        </w:rPr>
      </w:pPr>
    </w:p>
    <w:p>
      <w:pPr>
        <w:ind w:right="500" w:firstLine="518"/>
        <w:spacing w:after="0" w:line="264"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(“GAAP”) and include the accounts of the Company and its wholly owned subsidiaries after elimination of all intercompany accounts and transactions.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23" w:lineRule="exact"/>
        <w:rPr>
          <w:sz w:val="20"/>
          <w:szCs w:val="20"/>
          <w:color w:val="auto"/>
        </w:rPr>
      </w:pPr>
    </w:p>
    <w:p>
      <w:pPr>
        <w:ind w:right="7520" w:firstLine="8"/>
        <w:spacing w:after="0" w:line="378" w:lineRule="auto"/>
        <w:tabs>
          <w:tab w:leader="none" w:pos="513"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firstLine="518"/>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revenue recognition, the accrual of research and development expenses and the valuation of stock-based awards. Estimates are periodically reviewed in light of changes in circumstances, facts and experience. Actual results could differ from the Company’s estimates.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considers all short-term, highly liquid investments with original maturities of 90 days or less at acquisition date to be cash equivalents. Cash equivalents, which consist of money market accounts, corporate bonds, and certificates of deposit purchased with original maturities of less than 90 days from the date of purchase, are stated at fair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The Company held cash of $1,513 as of December 31, 2017 and $1,400 as of December 31, 2016 in a separate restricted bank account as a security deposit for the lease of the Company’s facilities. The Company has classified these deposits as long-term restricted cash on its balance sheet.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 classifies its available-for-sale investments as current assets on the consolidated balance sheet if they mature within one year from the balance sheet date.</w:t>
      </w:r>
    </w:p>
    <w:p>
      <w:pPr>
        <w:spacing w:after="0" w:line="17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The Company classifies all of its investments as available-for-sale securities. The Company’s investments are measured and reported at fair value using quoted prices in active markets for similar securities. Unrealized gains and losses on available-for-sale securities are reported as a separate component of stockholders’ equity (deficit). The cost of securities sold is determined on a specific identification basis, and realized gains and losses are included in other income (expense) within the consolidated statement of operations and comprehensive loss. If any adjustment to fair value reflects a decline in the value of the investment that the Company considers to be “other than temporary”, the Company reduces the investment to fair value through a charge to the consolidated statement of operations and comprehensive loss. No such adjustments were necessary during the periods presented.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21"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cash equivalents and investments. The Company has all cash, cash equivalents and investments balances at accredited financial institutions, in amounts that exceed federally insured limits. The Company does not believe that it is subject to unusual credit risk beyond the normal credit risk associated with commercial banking relationships.</w:t>
      </w:r>
    </w:p>
    <w:p>
      <w:pPr>
        <w:spacing w:after="0" w:line="147"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The Company is dependent on third-party manufacturers to supply products for research and development activities of its programs, including pre-clinical and clinical testing. These programs could be adversely affected by a significant interruption in the supply of such drug substance products.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4" w:lineRule="exact"/>
        <w:rPr>
          <w:sz w:val="20"/>
          <w:szCs w:val="20"/>
          <w:color w:val="auto"/>
        </w:rPr>
      </w:pPr>
    </w:p>
    <w:p>
      <w:pPr>
        <w:ind w:left="1040" w:hanging="519"/>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17" w:lineRule="exact"/>
        <w:rPr>
          <w:rFonts w:ascii="Arial" w:cs="Arial" w:eastAsia="Arial" w:hAnsi="Arial"/>
          <w:sz w:val="18"/>
          <w:szCs w:val="18"/>
          <w:color w:val="auto"/>
        </w:rPr>
      </w:pPr>
    </w:p>
    <w:p>
      <w:pPr>
        <w:ind w:left="1040" w:right="220" w:hanging="519"/>
        <w:spacing w:after="0" w:line="264"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3"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Company’s cash equivalents and investments are carried at fair value, determined according to the fair value hierarchy described above. The Company’s investments in certificates of deposit are carried at amortized cost, which approximates fair value. Certain cash equivalents or investments that are measured at fair value using the net asset value per share (or its equivalent) practical expedient have not been classified in the fair value hierarchy. The carrying values of the Company’s accounts payable and accrued expenses approximate their fair value due to the short-term nature of these liabilities.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Company capitalizes certain legal, accounting and other third-party fees that are directly associated with in-process equity financings as deferred offering costs (non-current) until such financings are consummated. After consummation of the equity financing, these costs are recorded in stockholders’ equity (deficit) as a reduction of additional paid-in capital generated as a result of the financing.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Property and equipment are stated at cost less accumulated depreciation. Depreciation expense is recognized using the straight-line method over the useful life of the asset. Laboratory equipment is depreciated over five years. Computer equipment and furniture and office equipment are depreciated over three years. Leasehold improvements are amortized over the shorter of the lease term or the estimated useful life of the related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Research and development costs are expensed as incurred. Research and development expenses include salaries, stock-based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Contract Costs and Accruals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21"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The Company measures all stock options and other stock-based awards granted to employees and directors based on the fair value on the date of the grant and recognizes compensation expense of those awards over the requisite service period, which is generally the vesting period of the respective award. Generally, the Company issues stock options, restricted stock units and restricted stock awards with only service-based vesting conditions and records the expense for these awards using the straight-line method. For stock options or restricted stock units issued with performance-based vesting conditions, the stock compensation expense related to these awards is recognized based on the grant date fair value when achievement of the performance condition is deemed probable.</w:t>
      </w:r>
    </w:p>
    <w:p>
      <w:pPr>
        <w:spacing w:after="0" w:line="193" w:lineRule="exact"/>
        <w:rPr>
          <w:sz w:val="20"/>
          <w:szCs w:val="20"/>
          <w:color w:val="auto"/>
        </w:rPr>
      </w:pPr>
    </w:p>
    <w:p>
      <w:pPr>
        <w:jc w:val="both"/>
        <w:ind w:right="120" w:firstLine="518"/>
        <w:spacing w:after="0" w:line="302" w:lineRule="auto"/>
        <w:rPr>
          <w:sz w:val="20"/>
          <w:szCs w:val="20"/>
          <w:color w:val="auto"/>
        </w:rPr>
      </w:pPr>
      <w:r>
        <w:rPr>
          <w:rFonts w:ascii="Arial" w:cs="Arial" w:eastAsia="Arial" w:hAnsi="Arial"/>
          <w:sz w:val="16"/>
          <w:szCs w:val="16"/>
          <w:color w:val="auto"/>
        </w:rPr>
        <w:t>The Company measures stock-based awards granted to consultants and non-employees based on the fair value of the award on the date on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the Company’s common stock and updated assumption inputs in the Black-Scholes option-pricing model.</w:t>
      </w:r>
    </w:p>
    <w:p>
      <w:pPr>
        <w:spacing w:after="0" w:line="154" w:lineRule="exact"/>
        <w:rPr>
          <w:sz w:val="20"/>
          <w:szCs w:val="20"/>
          <w:color w:val="auto"/>
        </w:rPr>
      </w:pPr>
    </w:p>
    <w:p>
      <w:pPr>
        <w:jc w:val="both"/>
        <w:ind w:right="100" w:firstLine="518"/>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recognizes adjustments to stock compensation expense for forfeitures as they occur.</w:t>
      </w:r>
    </w:p>
    <w:p>
      <w:pPr>
        <w:spacing w:after="0" w:line="22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fair value of each stock option grant is estimated on the date of grant using the Black- 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9" w:name="page100"/>
    <w:bookmarkEnd w:id="99"/>
    <w:p>
      <w:pPr>
        <w:jc w:val="center"/>
        <w:ind w:right="-7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 Company currently generates its revenue through collaboration and license arrangements with strategic partners for the development and commercialization of product candidates.</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Company recognizes revenue in accordance with FASB ASC Topic 605, Revenue Recognition (“ASC 605”). Accordingly, revenue is recognized for each unit of accounting when all of the following criteria are met:</w:t>
      </w:r>
    </w:p>
    <w:p>
      <w:pPr>
        <w:spacing w:after="0" w:line="62" w:lineRule="exact"/>
        <w:rPr>
          <w:sz w:val="20"/>
          <w:szCs w:val="20"/>
          <w:color w:val="auto"/>
        </w:rPr>
      </w:pPr>
    </w:p>
    <w:p>
      <w:pPr>
        <w:ind w:left="1040" w:hanging="519"/>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Amounts received prior to satisfying the revenue recognition criteria are recorded as deferred revenue in the Company’s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Amounts expected to be recognized as revenue within the 12 months following the balance sheet date are classified as deferred revenue, current portion.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not expected to be recognized as revenue within the 12 months following the balance sheet date are classified as long-term deferred revenue.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121"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In January 2016 the Company entered into a Collaboration and License Agreement (the “License Agreement”) with Nestec Ltd. (“NHS”), an affiliate of Nestlé Health Science US Holdings, Inc. In connection with the License Agreement, the Company received an upfront, non-refundable payment of $120,000. Other non-refundable payments to the Company under this arrangement may include: (i) payments for research and development services,</w:t>
      </w:r>
    </w:p>
    <w:p>
      <w:pPr>
        <w:ind w:right="440" w:firstLine="8"/>
        <w:spacing w:after="0" w:line="261" w:lineRule="auto"/>
        <w:tabs>
          <w:tab w:leader="none" w:pos="2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payments for the supply of clinical product, (iii) payments for the supply of commercial product, (iv) payments based on the achievement of certain development, regulatory, commercial, and sales-based milestones and (v) royalties on product sales.</w:t>
      </w:r>
    </w:p>
    <w:p>
      <w:pPr>
        <w:spacing w:after="0" w:line="184"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Company evaluates multiple-element arrangements based on the guidance in FASB ASC Topic 605-25, Revenue Recognition-Multiple-Element Arrangements (“ASC 605-25”). Pursuant to this guidance, the Company identifies the deliverables included in the arrangement and determines: (1) whether the individual deliverables have value to the customer on a standalone basis and represent separate units of accounting or whether they must be accounted for as a combined unit of accounting; and (2) if the arrangement includes a general right of return relative to the delivered item. This evaluation requires management to make judgments about the individual deliverables and whether such deliverables are separable from the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the control of the Company. In assessing whether an item has standalone value, the Company considers factors such as the research, manufacturing and commercialization capabilities of the collaboration partner, the retention of any key rights by the Company, and the availability of the associated expertise in the general marketplace. In addition, the Company considers whether the collaboration partner can use the other deliverable(s) for their intended purpose without the receipt of the remaining element(s), whether the value of the deliverable is dependent on the undelivered item(s) and whether there are other vendors that can provide the undelivered element(s).</w:t>
      </w:r>
    </w:p>
    <w:p>
      <w:pPr>
        <w:spacing w:after="0" w:line="169" w:lineRule="exact"/>
        <w:rPr>
          <w:sz w:val="20"/>
          <w:szCs w:val="20"/>
          <w:color w:val="auto"/>
        </w:rPr>
      </w:pPr>
    </w:p>
    <w:p>
      <w:pPr>
        <w:jc w:val="both"/>
        <w:ind w:right="140" w:firstLine="518"/>
        <w:spacing w:after="0" w:line="276" w:lineRule="auto"/>
        <w:rPr>
          <w:sz w:val="20"/>
          <w:szCs w:val="20"/>
          <w:color w:val="auto"/>
        </w:rPr>
      </w:pPr>
      <w:r>
        <w:rPr>
          <w:rFonts w:ascii="Arial" w:cs="Arial" w:eastAsia="Arial" w:hAnsi="Arial"/>
          <w:sz w:val="17"/>
          <w:szCs w:val="17"/>
          <w:color w:val="auto"/>
        </w:rPr>
        <w:t>In situations where the Company has identified multiple units of accounting, the arrangement consideration that is fixed or determinable is allocated among the separate units of accounting using the relative selling price method. The Company determines the selling price of a unit of accounting following the hierarchy of evidence prescribed by ASC 605-25. Accordingly, the Company determines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w:t>
      </w:r>
    </w:p>
    <w:p>
      <w:pPr>
        <w:spacing w:after="0" w:line="173"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Then, the applicable revenue recognition criteria in ASC 605-25 are applied to each of the separate units of accounting to determine the appropriate period and pattern of recognition. The Company recognizes arrangement consideration allocated to each unit of accounting when all of the revenue recognition criteria in ASC 605-25 are satisfied for that particular unit of accounting. The Company will recognize as revenue, upon delivery, arrangement consideration attributed to licenses that have standalone value from the other deliverables to be provided in an arrangement. For licenses that do not have standalone value from the other deliverables to</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be provided in an arrangement over the Company’s estimated performance period as the arrangement would be accounted for as a single unit of accounting.</w:t>
      </w:r>
    </w:p>
    <w:p>
      <w:pPr>
        <w:spacing w:after="0" w:line="248"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The Company recognizes arrangement consideration allocated to each unit of accounting when all of the revenue recognition criteria in ASC 605-25 are satisfied for that particular unit of accounting. The Company will recognize as revenue arrangement consideration attributed to licenses that have standalone value from the other deliverables to be provided in an arrangement upon delivery. The Company will recognize as revenue arrangement consideration attributed to licenses that do not have standalone value from the other deliverables to be provided in an arrangement over the Company’s estimated performance period as the arrangement would be accounted for as a single unit of accounting.</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If there is no discernible pattern of performance and/or objectively measurable performance measures do not exist, then the Company recognizes revenue under the arrangement for the single unit of accounting on a straight-line basis over the period the Company is expected to complete its performance obligations. Alternatively, if the pattern of performance in which the service is provided to the customer can be determined and objectively measurable performance measures exist, then the Company recognizes revenue under the arrangement using the proportional performance method. Revenue recognized is limited to the lesser of the cumulative amount of payments received or the cumulative amount of revenue earned, as determined using the straight-line method or proportional performance method, as applicable.</w:t>
      </w:r>
    </w:p>
    <w:p>
      <w:pPr>
        <w:spacing w:after="0" w:line="19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(i) the consideration is commensurate with either the Company’s performance to achieve the milestone or the enhancement of the value of the delivered item(s) as a result of a specific outcome resulting from the Company’s performance to achieve the milestone, (ii) the consideration relates solely to past performance and (iii) the consideration is reasonable relative to all of the deliverables and payment terms within the arrangement. The Company evaluates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The Company recognizes revenue associated with substantive milestones in accordance with FASB ASC Topic 605-28, Revenue Recognition-Milestone Method upon successful accomplishment of each milestone, assuming all other revenue recognition criteria are met. Milestones that are not considered substantive would be recognized as revenue over the remaining period of performance, assuming all other revenue recognition criteria are met.</w:t>
      </w:r>
    </w:p>
    <w:p>
      <w:pPr>
        <w:spacing w:after="0" w:line="183" w:lineRule="exact"/>
        <w:rPr>
          <w:sz w:val="20"/>
          <w:szCs w:val="20"/>
          <w:color w:val="auto"/>
        </w:rPr>
      </w:pPr>
    </w:p>
    <w:p>
      <w:pPr>
        <w:jc w:val="both"/>
        <w:ind w:right="180" w:firstLine="518"/>
        <w:spacing w:after="0" w:line="342" w:lineRule="auto"/>
        <w:rPr>
          <w:sz w:val="20"/>
          <w:szCs w:val="20"/>
          <w:color w:val="auto"/>
        </w:rPr>
      </w:pPr>
      <w:r>
        <w:rPr>
          <w:rFonts w:ascii="Arial" w:cs="Arial" w:eastAsia="Arial" w:hAnsi="Arial"/>
          <w:sz w:val="16"/>
          <w:szCs w:val="16"/>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footnote 9 for further information related to the Company’s collaboration and license agreement with Nestec, Ltd.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7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to Purchase Convertible Preferred Stock</w:t>
      </w:r>
    </w:p>
    <w:p>
      <w:pPr>
        <w:spacing w:after="0" w:line="12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Company classified a warrant to purchase shares of its Series A-2 convertible preferred stock as a liability on its consolidated balance sheets as this warrant was a free-standing financial instrument that could have required the Company to transfer assets upon exercise. The warrant was initially recorded at fair value on date of grant, and it was subsequently remeasured to fair value at each balance sheet date. Changes in fair value of the warrant were recognized as a component of other income (expense), net in the consolidated statement of operations and comprehensive loss. The Company continued to adjust the liability for changes in fair value until the warrant became a warrant to purchase common stock in connection with the IPO.</w:t>
      </w:r>
    </w:p>
    <w:p>
      <w:pPr>
        <w:spacing w:after="0" w:line="158"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The Company used the Black-Scholes option-pricing model, which incorporates assumptions and estimates, to value the preferred stock warrant. The Company assessed these assumptions and estimates on a quarterly basis as additional information impacting the assumptions was obtained. Estimates and assumptions impacting the fair value measurement included the fair value per share of the underlying Series A-2 convertible preferred stock, the remaining contractual term of the warrant, the risk-free interest rate, the expected dividend yield and the expected volatility of the price of the underlying preferred stock. The Company determined the fair value per share of the underlying preferred stock by taking into consideration the most recent sales of its convertible preferred stock, results obtained from third-party valuations and additional factors that were deemed relevant. The Company historically has been a private company and lacks company-specific historical and implied volatility information of its stock. Therefore, it estimated its expected stock volatility based on the historical volatility of publicly traded peer companies for a term equal to the remaining contractual term of the warrant. The risk-free interest rate was determined by reference to the U.S. Treasury yield curve for time periods approximately equal to the remaining contractual term of the warrant. Expected dividend yield was based on the fact that the Company has never paid cash dividends and does not expect to pay any cash dividends in the foreseeable future.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Company’s singular focus is on developing Ecobiotic microbiome therapeutics to treat dysbiosis in the colonic microbiome. Revenue to date has been generated solely through the Company's collaboration with Nestle Health Science, all of which has been earned in the United States. All tangible assets are held in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For the years ended December 31, 2017, 2016 and 2015, other comprehensive income (loss) consisted of changes in unrealized gains (losses) from available-for-sale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Basic net loss per share is computed using the weighted average number of common shares outstanding during the period. Diluted net loss per share is computed using the sum of the weighted average number of common shares outstanding during the period and, if dilutive, the weighted average number of potential shares of common stock, including the assumed exercise of stock options and warrants and unvested restricted stock. The Company applies the two-class method to calculate its basic and diluted net loss per share attributable to common stockholders, as its convertible preferred stock, which converted to Common Stock upon completion of the listing of the Company’s common stock on NASDAQ on June 26, 2015, and common stock are participating securities. The two-class method is an earnings allocation formula that treats a participating security as having rights to earnings that otherwise would have been available to common stockholders. However, the two-class method does not impact the net loss per share of common stock as the Company was in a net loss position for each of the periods presented and preferred stockholders do not participate in losses.</w:t>
      </w:r>
    </w:p>
    <w:p>
      <w:pPr>
        <w:spacing w:after="0" w:line="179"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Company’s convertible preferred stock contractually entitles the holders of such shares to participate in dividends but does not contractually require the holders of such shares to participate in losses of the Company. Similarly, restricted stock awards granted by the Company entitle the holder of such awards to dividends declared or paid by the board of directors, regardless of whether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In August 2015, the FASB issued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which delayed the effective date of the new standard from January 1, 2017 to January 1, 2018. The FASB also agreed to allow entities to choose to adopt the standard as of the original effective date. In March 2016, the FASB issued ASU 2016-08, </w:t>
      </w:r>
      <w:r>
        <w:rPr>
          <w:rFonts w:ascii="Arial" w:cs="Arial" w:eastAsia="Arial" w:hAnsi="Arial"/>
          <w:sz w:val="16"/>
          <w:szCs w:val="16"/>
          <w:i w:val="1"/>
          <w:iCs w:val="1"/>
          <w:color w:val="auto"/>
        </w:rPr>
        <w:t>Revenue from Contracts with Customers (Topic 606): Principal versus Agent Considerations</w:t>
      </w:r>
      <w:r>
        <w:rPr>
          <w:rFonts w:ascii="Arial" w:cs="Arial" w:eastAsia="Arial" w:hAnsi="Arial"/>
          <w:sz w:val="16"/>
          <w:szCs w:val="16"/>
          <w:color w:val="auto"/>
        </w:rPr>
        <w:t xml:space="preserve">, which clarifies the implementation guidance on principal versus agent considerations. In April 2016, the FASB issued ASU 2016-10,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 Identifying Performance Obligations and Licensing</w:t>
      </w:r>
      <w:r>
        <w:rPr>
          <w:rFonts w:ascii="Arial" w:cs="Arial" w:eastAsia="Arial" w:hAnsi="Arial"/>
          <w:sz w:val="16"/>
          <w:szCs w:val="16"/>
          <w:color w:val="auto"/>
        </w:rPr>
        <w:t>, which clarifies how a company identifies promised goods or services and clarifies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 entity’s promise to grant a license provides a customer with either a right to use the entity’s intellectual property (which is satisfied at a point in time) or a right to access the entity’s intellectual property (which is satisfied over time). In May 2016, the FASB issued ASU No. 2016-12,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Narrow-Scope Improvements and Practical Expedients </w:t>
      </w:r>
      <w:r>
        <w:rPr>
          <w:rFonts w:ascii="Arial" w:cs="Arial" w:eastAsia="Arial" w:hAnsi="Arial"/>
          <w:sz w:val="16"/>
          <w:szCs w:val="16"/>
          <w:color w:val="auto"/>
        </w:rPr>
        <w:t>related to disclosures of remaining performance obligations, as well as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amendments to guidance on collectability, non-cash consideration and the presentation of sales and other similar taxes collected from customers. In December 2016 the FASB issued ASU No. 2016-20, </w:t>
      </w:r>
      <w:r>
        <w:rPr>
          <w:rFonts w:ascii="Arial" w:cs="Arial" w:eastAsia="Arial" w:hAnsi="Arial"/>
          <w:sz w:val="16"/>
          <w:szCs w:val="16"/>
          <w:i w:val="1"/>
          <w:iCs w:val="1"/>
          <w:color w:val="auto"/>
        </w:rPr>
        <w:t>Technical Corrections and Improvements to Topic 606, Revenue from Contracts with Customers</w:t>
      </w:r>
      <w:r>
        <w:rPr>
          <w:rFonts w:ascii="Arial" w:cs="Arial" w:eastAsia="Arial" w:hAnsi="Arial"/>
          <w:sz w:val="16"/>
          <w:szCs w:val="16"/>
          <w:color w:val="auto"/>
        </w:rPr>
        <w:t>, which amends certain narrow aspects of the guidance issued in ASU 2014-09 including guidance related to the disclosure of remaining performance obligations and prior-period performance obligations, as well as other amendments to the guidance on loan guarantee fees, contract costs, refund liabilities, advertising costs and the clarification of certain examples. ASU 2016-08, ASU 2016-10 and ASU 2016-12 have the same effective dates and transition requirements as ASU 2014-09, all of which collectively are herein referred to as “ASC 606.”</w:t>
      </w:r>
    </w:p>
    <w:p>
      <w:pPr>
        <w:spacing w:after="0" w:line="216"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The Company adopted ASC 606 using the modified retrospective transition method. The adoption of ASC 606 changed the pattern and timing of revenue recognition of amounts from the Company’s collaboration agreement with NHS. Under ASC 606, the Company will recognize revenue using the cost-to-cost method which best depicts the transfer of control to the customer. Under the cost-to-cost method, the extent of progress towards completion is measured based on the ratio of actual costs incurred to the total estimated costs expected upon satisfying the identified performance obligation. Under this method, revenue will be recorded as a percentage of the estimated transaction price based on the extent of progress towards completion. The estimate of the Company’s measure of progress and estimate of transaction price will be updated at each reporting date, as a change in estimate, and will require judgement. The amount of consideration allocated to satisfied performance obligations, based on the Company’s measure of progress will be recognized immediately on a cumulative catch-up basis, resulting in an adjustment to revenue in the period of change. The amount related to the unsatisfied portion will be recognized as that portion is satisfied over time. In addition, substantive development milestones, which were previously recognized in the period when the milestone was achieved, will be recognized over the remaining performance period under ASC 606. As the adoption method does not result in a recast of the prior year consolidated financial statements, ASC 606 requires the Company to provide additional disclosures during the year of adoption of the amount by which each financial statement line item is affected by adoption of the new standard and explanations of the reasons for significant changes.</w:t>
      </w:r>
    </w:p>
    <w:p>
      <w:pPr>
        <w:spacing w:after="0" w:line="16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During the fourth quarter of 2017, the Company substantially completed its impact assessment, and expects that the adoption of ASC 606 will require a cumulative-effect adjustment of approximately $25,000 as an increase to deferred revenue related party with a corresponding impact to accumulated deficit on January 1, 2018. The finalization of the Company’s assessment may result in significant changes to estimates that may materially impact the Company’s preliminary estimate of the cumulative effect.</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or ASU 2016-02, which establishes principles that lessees and lessors shall apply to report useful information to users of financial statements about the amount, timing and uncertainty of cash flows arising from a lease. In January 2018, the FASB issued ASU 2018-01, </w:t>
      </w:r>
      <w:r>
        <w:rPr>
          <w:rFonts w:ascii="Arial" w:cs="Arial" w:eastAsia="Arial" w:hAnsi="Arial"/>
          <w:sz w:val="18"/>
          <w:szCs w:val="18"/>
          <w:i w:val="1"/>
          <w:iCs w:val="1"/>
          <w:color w:val="auto"/>
        </w:rPr>
        <w:t>Leases (Topic 842)</w:t>
      </w:r>
      <w:r>
        <w:rPr>
          <w:rFonts w:ascii="Arial" w:cs="Arial" w:eastAsia="Arial" w:hAnsi="Arial"/>
          <w:sz w:val="18"/>
          <w:szCs w:val="18"/>
          <w:color w:val="auto"/>
        </w:rPr>
        <w:t>, or ASU 2018-01, which adds two practical expedients to the new lease guidance. Topic 842 is effective for the Company for annual periods beginning after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3" w:name="page104"/>
    <w:bookmarkEnd w:id="103"/>
    <w:p>
      <w:pPr>
        <w:jc w:val="center"/>
        <w:ind w:right="-5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December 15, 2018 and interim periods therein, with early adoption permitted. The Company is currently in the process of evaluating the impact of the guidance on its consolidated financial statements.</w:t>
      </w:r>
    </w:p>
    <w:p>
      <w:pPr>
        <w:spacing w:after="0" w:line="170"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This standard addresses specific cash flow issues with the objective of reducing existing diversity in practice in how certain cash receipts and cash payments are presented in the statement of cash flows. The standard is effective for the Company on January 1, 2018. The Company will adopt this standard as of the required effective date of January 1, 2018. The adoption of this standard is not expected to have any impact on its financial statements.</w:t>
      </w:r>
    </w:p>
    <w:p>
      <w:pPr>
        <w:spacing w:after="0" w:line="154"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Restricted Cash</w:t>
      </w:r>
      <w:r>
        <w:rPr>
          <w:rFonts w:ascii="Arial" w:cs="Arial" w:eastAsia="Arial" w:hAnsi="Arial"/>
          <w:sz w:val="16"/>
          <w:szCs w:val="16"/>
          <w:color w:val="auto"/>
        </w:rPr>
        <w:t>. The new standard requires restricted cash and restricted cash equivalents be included with cash and cash equivalents when reconciling the total beginning and ending amounts for the periods shown on the statement of cash flows. The new standard is effective for the Company on January 1, 2018. The Company will adopt the new standard as of the required effective date of January 1, 2018 and will reflect the adoption retrospectively to all periods presented. Upon adoption, the Company’s consolidated statements of cash flows will include restricted cash with cash and cash equivalents when reconciling the beginning-of-period and end-of-period total amounts shown on such statements.</w:t>
      </w:r>
    </w:p>
    <w:p>
      <w:pPr>
        <w:spacing w:after="0" w:line="15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The new standard provides guidance about which changes to the terms or conditions of a share-based payment award require an entity to apply modification accounting in Topic 718. The new standard will be effective for the Company on January 1, 2018. The Company will adopt the new standard as of the required effective date of January 1, 2018. The adoption of the new standard will have an impact on the accounting for modification of stock-based awards, if any, after the date of adoption.</w:t>
      </w:r>
    </w:p>
    <w:p>
      <w:pPr>
        <w:spacing w:after="0" w:line="373"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as of December 31, 2017 and 2016 that are measured at fair value on a recurring basis and indicate the level of the fair value hierarchy utilized to determine such fair values: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10"/>
          </w:tcPr>
          <w:p>
            <w:pPr>
              <w:ind w:left="140"/>
              <w:spacing w:after="0"/>
              <w:rPr>
                <w:sz w:val="20"/>
                <w:szCs w:val="20"/>
                <w:color w:val="auto"/>
              </w:rPr>
            </w:pPr>
            <w:r>
              <w:rPr>
                <w:rFonts w:ascii="Arial" w:cs="Arial" w:eastAsia="Arial" w:hAnsi="Arial"/>
                <w:sz w:val="14"/>
                <w:szCs w:val="14"/>
                <w:b w:val="1"/>
                <w:bCs w:val="1"/>
                <w:color w:val="auto"/>
                <w:w w:val="93"/>
              </w:rPr>
              <w:t>Fair Value Measurements as of December 31, 2017 Using:</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1"/>
                <w:szCs w:val="11"/>
                <w:color w:val="auto"/>
              </w:rPr>
            </w:pPr>
          </w:p>
        </w:tc>
        <w:tc>
          <w:tcPr>
            <w:tcW w:w="114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2"/>
              </w:rPr>
              <w:t>Not Subject to</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 xml:space="preserve">Leveling </w:t>
            </w:r>
            <w:r>
              <w:rPr>
                <w:rFonts w:ascii="Arial" w:cs="Arial" w:eastAsia="Arial" w:hAnsi="Arial"/>
                <w:sz w:val="12"/>
                <w:szCs w:val="12"/>
                <w:b w:val="1"/>
                <w:bCs w:val="1"/>
                <w:color w:val="auto"/>
                <w:w w:val="95"/>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1860" w:type="dxa"/>
            <w:vAlign w:val="bottom"/>
            <w:gridSpan w:val="2"/>
          </w:tcPr>
          <w:p>
            <w:pPr>
              <w:jc w:val="right"/>
              <w:ind w:right="607"/>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25,964</w:t>
            </w:r>
          </w:p>
        </w:tc>
        <w:tc>
          <w:tcPr>
            <w:tcW w:w="1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25,964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Investments:</w:t>
            </w: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6,198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Certificates of Deposit</w:t>
            </w: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58,865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Government Securities</w:t>
            </w: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500"/>
              <w:spacing w:after="0"/>
              <w:rPr>
                <w:sz w:val="20"/>
                <w:szCs w:val="20"/>
                <w:color w:val="auto"/>
              </w:rPr>
            </w:pPr>
            <w:r>
              <w:rPr>
                <w:rFonts w:ascii="Arial" w:cs="Arial" w:eastAsia="Arial" w:hAnsi="Arial"/>
                <w:sz w:val="18"/>
                <w:szCs w:val="18"/>
                <w:color w:val="auto"/>
              </w:rPr>
              <w:t>Treasury Bonds</w:t>
            </w: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16,962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113,895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500" w:hanging="512"/>
        <w:spacing w:after="0" w:line="277" w:lineRule="auto"/>
        <w:tabs>
          <w:tab w:leader="none" w:pos="52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Certain cash equivalents and investments that are valued using the net asset value per share (or its equivalent) practical expedient have not been classified in the fair value hierarchy.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w w:val="96"/>
              </w:rPr>
              <w:t>Fair Value Measurements as of December 31, 2016 Using:</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3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2"/>
              </w:rPr>
              <w:t>Not Subject to</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25"/>
        </w:trPr>
        <w:tc>
          <w:tcPr>
            <w:tcW w:w="3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xml:space="preserve">Leveling </w:t>
            </w:r>
            <w:r>
              <w:rPr>
                <w:rFonts w:ascii="Arial" w:cs="Arial" w:eastAsia="Arial" w:hAnsi="Arial"/>
                <w:sz w:val="16"/>
                <w:szCs w:val="16"/>
                <w:color w:val="auto"/>
                <w:w w:val="94"/>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3"/>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2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188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4,740</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1,567</w:t>
            </w:r>
          </w:p>
        </w:tc>
        <w:tc>
          <w:tcPr>
            <w:tcW w:w="1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r>
      <w:tr>
        <w:trPr>
          <w:trHeight w:val="230"/>
        </w:trPr>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 Agreements</w:t>
            </w: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19,689</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Pr>
          <w:p>
            <w:pPr>
              <w:ind w:left="500"/>
              <w:spacing w:after="0"/>
              <w:rPr>
                <w:sz w:val="20"/>
                <w:szCs w:val="20"/>
                <w:color w:val="auto"/>
              </w:rPr>
            </w:pPr>
            <w:r>
              <w:rPr>
                <w:rFonts w:ascii="Arial" w:cs="Arial" w:eastAsia="Arial" w:hAnsi="Arial"/>
                <w:sz w:val="18"/>
                <w:szCs w:val="18"/>
                <w:color w:val="auto"/>
              </w:rPr>
              <w:t>Certificates of Deposit</w:t>
            </w: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10,629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10,629</w:t>
            </w:r>
          </w:p>
        </w:tc>
        <w:tc>
          <w:tcPr>
            <w:tcW w:w="100" w:type="dxa"/>
            <w:vAlign w:val="bottom"/>
          </w:tcPr>
          <w:p>
            <w:pPr>
              <w:spacing w:after="0"/>
              <w:rPr>
                <w:sz w:val="19"/>
                <w:szCs w:val="19"/>
                <w:color w:val="auto"/>
              </w:rPr>
            </w:pPr>
          </w:p>
        </w:tc>
      </w:tr>
      <w:tr>
        <w:trPr>
          <w:trHeight w:val="230"/>
        </w:trPr>
        <w:tc>
          <w:tcPr>
            <w:tcW w:w="3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Bonds</w:t>
            </w: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94,609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94,609</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Pr>
          <w:p>
            <w:pPr>
              <w:ind w:left="500"/>
              <w:spacing w:after="0"/>
              <w:rPr>
                <w:sz w:val="20"/>
                <w:szCs w:val="20"/>
                <w:color w:val="auto"/>
              </w:rPr>
            </w:pPr>
            <w:r>
              <w:rPr>
                <w:rFonts w:ascii="Arial" w:cs="Arial" w:eastAsia="Arial" w:hAnsi="Arial"/>
                <w:sz w:val="18"/>
                <w:szCs w:val="18"/>
                <w:color w:val="auto"/>
              </w:rPr>
              <w:t>Government Securities</w:t>
            </w: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33,466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33,466</w:t>
            </w:r>
          </w:p>
        </w:tc>
        <w:tc>
          <w:tcPr>
            <w:tcW w:w="100" w:type="dxa"/>
            <w:vAlign w:val="bottom"/>
          </w:tcPr>
          <w:p>
            <w:pPr>
              <w:spacing w:after="0"/>
              <w:rPr>
                <w:sz w:val="19"/>
                <w:szCs w:val="19"/>
                <w:color w:val="auto"/>
              </w:rPr>
            </w:pPr>
          </w:p>
        </w:tc>
      </w:tr>
      <w:tr>
        <w:trPr>
          <w:trHeight w:val="230"/>
        </w:trPr>
        <w:tc>
          <w:tcPr>
            <w:tcW w:w="3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Treasury Bonds</w:t>
            </w: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17,063</w:t>
            </w:r>
          </w:p>
        </w:tc>
        <w:tc>
          <w:tcPr>
            <w:tcW w:w="100" w:type="dxa"/>
            <w:vAlign w:val="bottom"/>
            <w:shd w:val="clear" w:color="auto" w:fill="CFF0FC"/>
          </w:tcPr>
          <w:p>
            <w:pPr>
              <w:spacing w:after="0"/>
              <w:rPr>
                <w:sz w:val="19"/>
                <w:szCs w:val="19"/>
                <w:color w:val="auto"/>
              </w:rPr>
            </w:pPr>
          </w:p>
        </w:tc>
      </w:tr>
      <w:tr>
        <w:trPr>
          <w:trHeight w:val="223"/>
        </w:trPr>
        <w:tc>
          <w:tcPr>
            <w:tcW w:w="3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187,196</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188,763</w:t>
            </w:r>
          </w:p>
        </w:tc>
        <w:tc>
          <w:tcPr>
            <w:tcW w:w="10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580" w:hanging="512"/>
        <w:spacing w:after="0" w:line="277" w:lineRule="auto"/>
        <w:tabs>
          <w:tab w:leader="none" w:pos="520" w:val="left"/>
        </w:tabs>
        <w:numPr>
          <w:ilvl w:val="0"/>
          <w:numId w:val="76"/>
        </w:numPr>
        <w:rPr>
          <w:rFonts w:ascii="Arial" w:cs="Arial" w:eastAsia="Arial" w:hAnsi="Arial"/>
          <w:sz w:val="15"/>
          <w:szCs w:val="15"/>
          <w:color w:val="auto"/>
        </w:rPr>
      </w:pPr>
      <w:r>
        <w:rPr>
          <w:rFonts w:ascii="Arial" w:cs="Arial" w:eastAsia="Arial" w:hAnsi="Arial"/>
          <w:sz w:val="18"/>
          <w:szCs w:val="18"/>
          <w:color w:val="auto"/>
        </w:rPr>
        <w:t>Certain cash equivalents and investments that are valued using the net asset value per share (or its equivalent) practical expedient have not been classified in the fair value hierarchy.</w:t>
      </w:r>
    </w:p>
    <w:p>
      <w:pPr>
        <w:spacing w:after="0" w:line="170"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As of December 31, 2017, the Company’s cash equivalents consisted of money market funds with original maturities of less than 90 days from the date of purchase.</w:t>
      </w:r>
    </w:p>
    <w:p>
      <w:pPr>
        <w:spacing w:after="0" w:line="170"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As of December 31, 2016, the Company’s cash equivalents consisted of money market funds, corporate bonds, certificates of deposits, and repurchase agreements with original maturities of less than 90 days from the date of purchase and were valued based on Level 2 inputs. Repurchase agreements are agreements with banks to repurchase notes that are collateralized by U.S. government securities. All repurchase agreements have overnight maturities.</w:t>
      </w:r>
    </w:p>
    <w:p>
      <w:pPr>
        <w:spacing w:after="0" w:line="147"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The fair value of the Company’s investments, which consisted of corporate bonds, commercial paper, certificates of deposit, government securities, and treasury bonds as of December 31, 2017 and 2016, were determined using Level 2 inputs. During the years ended December 31, 2017 and 2016, there were no transfers between Level 1, Level 2 and Level 3.</w:t>
      </w:r>
    </w:p>
    <w:p>
      <w:pPr>
        <w:spacing w:after="0" w:line="366"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2017 and 2016, the fair value of available-for-sale investments by type of security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December 31, 2017</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33"/>
        </w:trPr>
        <w:tc>
          <w:tcPr>
            <w:tcW w:w="58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ind w:right="174"/>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7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1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6"/>
              </w:rPr>
              <w:t>Unrealized Gain</w:t>
            </w:r>
          </w:p>
        </w:tc>
        <w:tc>
          <w:tcPr>
            <w:tcW w:w="22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Unrealized Loss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9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6,198</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Securities</w:t>
            </w:r>
          </w:p>
        </w:tc>
        <w:tc>
          <w:tcPr>
            <w:tcW w:w="1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Treasury Bonds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16,992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shd w:val="clear" w:color="auto" w:fill="CFF0FC"/>
          </w:tcPr>
          <w:p>
            <w:pPr>
              <w:spacing w:after="0" w:line="20" w:lineRule="exact"/>
              <w:rPr>
                <w:sz w:val="1"/>
                <w:szCs w:val="1"/>
                <w:color w:val="auto"/>
              </w:rPr>
            </w:pPr>
          </w:p>
        </w:tc>
        <w:tc>
          <w:tcPr>
            <w:tcW w:w="19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440" w:type="dxa"/>
            <w:vAlign w:val="bottom"/>
            <w:shd w:val="clear" w:color="auto" w:fill="CFF0FC"/>
          </w:tcPr>
          <w:p>
            <w:pPr>
              <w:spacing w:after="0"/>
              <w:rPr>
                <w:sz w:val="20"/>
                <w:szCs w:val="20"/>
                <w:color w:val="auto"/>
              </w:rPr>
            </w:pPr>
          </w:p>
        </w:tc>
        <w:tc>
          <w:tcPr>
            <w:tcW w:w="2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114,040</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0"/>
              </w:rPr>
              <w:t>(145)</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113,895</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F-16</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December 31, 2016</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36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ind w:right="174"/>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71"/>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1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6"/>
              </w:rPr>
              <w:t>Unrealized Gain</w:t>
            </w:r>
          </w:p>
        </w:tc>
        <w:tc>
          <w:tcPr>
            <w:tcW w:w="22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Unrealized Loss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7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19,631</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92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19,689</w:t>
            </w: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10,629</w:t>
            </w:r>
          </w:p>
        </w:tc>
        <w:tc>
          <w:tcPr>
            <w:tcW w:w="100" w:type="dxa"/>
            <w:vAlign w:val="bottom"/>
            <w:shd w:val="clear" w:color="auto" w:fill="CFF0FC"/>
          </w:tcPr>
          <w:p>
            <w:pPr>
              <w:spacing w:after="0"/>
              <w:rPr>
                <w:sz w:val="19"/>
                <w:szCs w:val="19"/>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94,764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94,609</w:t>
            </w: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Securities</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33,466</w:t>
            </w:r>
          </w:p>
        </w:tc>
        <w:tc>
          <w:tcPr>
            <w:tcW w:w="100" w:type="dxa"/>
            <w:vAlign w:val="bottom"/>
            <w:shd w:val="clear" w:color="auto" w:fill="CFF0FC"/>
          </w:tcPr>
          <w:p>
            <w:pPr>
              <w:spacing w:after="0"/>
              <w:rPr>
                <w:sz w:val="19"/>
                <w:szCs w:val="19"/>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Treasury Bonds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17,066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17,063</w:t>
            </w:r>
          </w:p>
        </w:tc>
        <w:tc>
          <w:tcPr>
            <w:tcW w:w="100" w:type="dxa"/>
            <w:vAlign w:val="bottom"/>
          </w:tcPr>
          <w:p>
            <w:pPr>
              <w:spacing w:after="0"/>
              <w:rPr>
                <w:sz w:val="19"/>
                <w:szCs w:val="19"/>
                <w:color w:val="auto"/>
              </w:rPr>
            </w:pPr>
          </w:p>
        </w:tc>
      </w:tr>
      <w:tr>
        <w:trPr>
          <w:trHeight w:val="20"/>
        </w:trPr>
        <w:tc>
          <w:tcPr>
            <w:tcW w:w="362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62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175,603</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92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0"/>
              </w:rPr>
              <w:t>(206)</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175,456</w:t>
            </w:r>
          </w:p>
        </w:tc>
        <w:tc>
          <w:tcPr>
            <w:tcW w:w="100" w:type="dxa"/>
            <w:vAlign w:val="bottom"/>
            <w:shd w:val="clear" w:color="auto" w:fill="CFF0FC"/>
          </w:tcPr>
          <w:p>
            <w:pPr>
              <w:spacing w:after="0"/>
              <w:rPr>
                <w:sz w:val="20"/>
                <w:szCs w:val="20"/>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Investments with original maturities of less than 90 days are included in cash and cash equivalents on the consolidated balance sheets and are not included in the table above. Investments with maturities of less than 12 months are considered current and those investments with maturities greater than 12 months are considered non-current.</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As of December 31, 2017, the Company’s commercial paper, certificates of deposit, corporate bonds, government securities and treasury bonds had remaining maturities of less than 12 months.</w:t>
      </w:r>
    </w:p>
    <w:p>
      <w:pPr>
        <w:spacing w:after="0" w:line="170"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All investments with unrealized losses at December 31, 2017 have been in a loss position for less than twelve months or the loss is not material and temporary in nature. The Company does not intend to sell the investments that are in an unrealized loss position before recovery of their amortized cost basis.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5.</w:t>
            </w:r>
          </w:p>
        </w:tc>
        <w:tc>
          <w:tcPr>
            <w:tcW w:w="682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 consisted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5"/>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10,711</w:t>
            </w:r>
          </w:p>
        </w:tc>
        <w:tc>
          <w:tcPr>
            <w:tcW w:w="8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1,335</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27,807</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FF0FC"/>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45,370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41,305</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(12,439)</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(5,180)</w:t>
            </w: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32,931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36,125</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and amortization expense was $7,259, $4,205 and $728 for the years ended December 31, 2017, 2016 and 2015, respectively.</w:t>
      </w:r>
    </w:p>
    <w:p>
      <w:pPr>
        <w:spacing w:after="0" w:line="200" w:lineRule="exact"/>
        <w:rPr>
          <w:sz w:val="20"/>
          <w:szCs w:val="20"/>
          <w:color w:val="auto"/>
        </w:rPr>
      </w:pPr>
    </w:p>
    <w:p>
      <w:pPr>
        <w:spacing w:after="0" w:line="222" w:lineRule="exact"/>
        <w:rPr>
          <w:sz w:val="20"/>
          <w:szCs w:val="20"/>
          <w:color w:val="auto"/>
        </w:rPr>
      </w:pPr>
    </w:p>
    <w:p>
      <w:pPr>
        <w:ind w:left="520" w:hanging="512"/>
        <w:spacing w:after="0"/>
        <w:tabs>
          <w:tab w:leader="none" w:pos="5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5"/>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58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w w:val="97"/>
              </w:rPr>
              <w:t>Development and clinical manufacturing costs</w:t>
            </w: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Payroll and payroll-related costs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3,698</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Facility and other</w:t>
            </w:r>
          </w:p>
        </w:tc>
        <w:tc>
          <w:tcPr>
            <w:tcW w:w="18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58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10,812</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0" w:type="dxa"/>
            <w:vAlign w:val="bottom"/>
            <w:gridSpan w:val="2"/>
          </w:tcPr>
          <w:p>
            <w:pPr>
              <w:jc w:val="right"/>
              <w:ind w:right="1345"/>
              <w:spacing w:after="0"/>
              <w:rPr>
                <w:sz w:val="20"/>
                <w:szCs w:val="20"/>
                <w:color w:val="auto"/>
              </w:rPr>
            </w:pPr>
            <w:r>
              <w:rPr>
                <w:rFonts w:ascii="Arial" w:cs="Arial" w:eastAsia="Arial" w:hAnsi="Arial"/>
                <w:sz w:val="18"/>
                <w:szCs w:val="18"/>
                <w:color w:val="auto"/>
              </w:rPr>
              <w:t>F-17</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hanging="512"/>
        <w:spacing w:after="0"/>
        <w:tabs>
          <w:tab w:leader="none" w:pos="52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On July 1, 2015, in connection with the closing of the IPO, the Company effected its Restated Certificate of Incorporation, which authorizes the Company to issue 10,000,000 shares of preferred stock, $0.001 par value per share.</w:t>
      </w:r>
    </w:p>
    <w:p>
      <w:pPr>
        <w:spacing w:after="0" w:line="356"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July 1, 2015, the Company completed an IPO, and issued and sold 8,545,138 shares of common stock at a public offering price of $18.00 per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 resulting in net proceeds of approximately $139,267 after deducting underwriting discounts and commissions and other offering expenses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$3,748. The shares issued upon closing of the IPO included 1,114,583 shares of the Company’s common stock, which were sold to the underwriters pursuant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full exercise of their option to purchase additional shares of common stock. Upon the listing of the Company’s common stock on NASDAQ on June 26,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all outstanding shares of the Company’s convertible preferred stock automatically converted into 22,866,987 shares of the Company’s common stock.</w:t>
      </w:r>
    </w:p>
    <w:p>
      <w:pPr>
        <w:spacing w:after="0" w:line="234"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As of December 31, 2014, the Company’s Amended and Restated Certificate of Incorporation, as further amended, authorized the Company to issue 38,000,000 shares of common stock, $0.001 par value per share. On July 1, 2015, in connection with the closing of the IPO, the Company effected its Restated Certificate of Incorporation, which authorizes the Company to issue 200,000,000 shares of common stock, $0.001 par value per share.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Stock Incentive Plan</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Company’s 2012 Stock Incentive Plan, as amended, (the “2012 Plan”) provides for the Company to sell or issue common stock or restricted common stock, or to grant incentive stock options or nonqualified stock options for the purchase of common stock, to employees, members of the board of directors and consultants of the Company. The 2012 Plan is administered by the board of directors, or at the discretion of the board of directors, by a committee of the board of directors.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 may not be greater than ten years. The Company generally grants stock-based awards with service conditions only (“service-based” awards).</w:t>
      </w:r>
    </w:p>
    <w:p>
      <w:pPr>
        <w:spacing w:after="0" w:line="189"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Stock options granted under the 2012 Plan generally vest over four years and expire after ten years, although options have been granted with vesting terms less than four years. As of December 31, 2017, there were no shares available for future grant under the 2012 Plan.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Incentive Award Plan</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On June 16, 2015, the Company’s stockholders approved the 2015 Incentive Award Plan (the “2015 Plan”), which became effective on June 25, 2015. The 2015 Plan provides for the grant of incentive stock options, nonqualified stock options, stock appreciation rights, restricted stock awards, restricted stock units and other stock-based awards. The number of shares initially reserved for issuance under the 2015 Plan is the sum of (i) 2,200,000 shares of common stock and (ii) the number of shares subject to awards outstanding under the 2012 Plan that expire, terminate or are otherwise surrendered, cancelled, forfeited or repurchased by the Company on or after the effective date of the 2015 Plan. In addition, the number of shares of common stock that may be issued under the 2015 Plan is subject to increase on the first day of each calendar year, beginning in 2016 and ending in 2025, equal to the lesser of (i) 4% of the number of shares of the Company’s common stock outstanding on the last day of the preceding applicable calendar year and (ii) an amount determined by the Company’s board of directors. As of December 31, 2017, there were 1,450,792 shares available for future grant under the 2015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Employee Stock Purchase Plan</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On June 16, 2015, the Company’s stockholders approved the 2015 Employee Stock Purchase Plan (the “ESPP”), which became effective on June 25, 2015. A total of 365,000 shares of common stock were reserved for issuance under the ESPP. In addition, the number of shares of common stock that may be issued under the ESPP will automatically increase on the first day of each calendar year, beginning in 2016 and ending in 2025, by an amount equal to the least of (i) 400,000 shares, (ii) 1% of the number of shares of the Company’s common stock outstanding on the last day of the applicable preceding calendar year and (iii) an amount determined by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board of directors. Offering periods under the ESPP will commence when determined by the plan administrator. As of December 31, 2017, there were no shares issued under the ESPP.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Valuation</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pacing w:after="0" w:line="243"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2.20%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1.54%</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80.9%</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84.2%</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81.4%</w:t>
            </w:r>
          </w:p>
        </w:tc>
      </w:tr>
      <w:tr>
        <w:trPr>
          <w:trHeight w:val="230"/>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0 %</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twelve months ended December 31, 2017:</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55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2016</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5,069,133</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4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1,749,000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(174,386)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(518,055)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21.07</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2017</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6,125,692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34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15,808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as of December 31, 2017</w:t>
            </w: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7.70</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15,808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6,125,692</w:t>
            </w:r>
          </w:p>
        </w:tc>
        <w:tc>
          <w:tcPr>
            <w:tcW w:w="1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gridSpan w:val="2"/>
            <w:vMerge w:val="continue"/>
          </w:tcPr>
          <w:p>
            <w:pPr>
              <w:spacing w:after="0"/>
              <w:rPr>
                <w:sz w:val="21"/>
                <w:szCs w:val="21"/>
                <w:color w:val="auto"/>
              </w:rPr>
            </w:pPr>
          </w:p>
        </w:tc>
        <w:tc>
          <w:tcPr>
            <w:tcW w:w="86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98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CFF0FC"/>
            </w:tcBorders>
            <w:gridSpan w:val="2"/>
            <w:vMerge w:val="continue"/>
          </w:tcPr>
          <w:p>
            <w:pPr>
              <w:spacing w:after="0"/>
              <w:rPr>
                <w:sz w:val="21"/>
                <w:szCs w:val="21"/>
                <w:color w:val="auto"/>
              </w:rPr>
            </w:pPr>
          </w:p>
        </w:tc>
        <w:tc>
          <w:tcPr>
            <w:tcW w:w="8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as of December 31, 2017</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3,235,166</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3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14,074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2017, 2016 and 2015 was $7.07, $18.45, and $14.56 per share, respectively. The total intrinsic value of stock options exercised during the years ended December 31, 2017, 2016, and 2015 was $1,912, $34,871, and $4,125.</w:t>
      </w:r>
    </w:p>
    <w:p>
      <w:pPr>
        <w:spacing w:after="0" w:line="181"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47" w:lineRule="exact"/>
        <w:rPr>
          <w:sz w:val="20"/>
          <w:szCs w:val="20"/>
          <w:color w:val="auto"/>
        </w:rPr>
      </w:pPr>
    </w:p>
    <w:p>
      <w:pPr>
        <w:ind w:right="300" w:firstLine="518"/>
        <w:spacing w:after="0" w:line="302" w:lineRule="auto"/>
        <w:rPr>
          <w:sz w:val="20"/>
          <w:szCs w:val="20"/>
          <w:color w:val="auto"/>
        </w:rPr>
      </w:pPr>
      <w:r>
        <w:rPr>
          <w:rFonts w:ascii="Arial" w:cs="Arial" w:eastAsia="Arial" w:hAnsi="Arial"/>
          <w:sz w:val="16"/>
          <w:szCs w:val="16"/>
          <w:color w:val="auto"/>
        </w:rPr>
        <w:t>The Company granted performance-based stock options to certain employees. These stock options were exercisable only upon achievement of specified performance targets. During the year ended December 31, 2016, the Company determined that the achievement of specified performance targets occurred. Upon achievement of the performance targets, 60,000 options became immediately vested. The Company recorded stock based compensation expense of $235 during the year ended December 31, 2016 related to these awards. The grant date fair value of these awards was $3.92 per share.</w:t>
      </w:r>
    </w:p>
    <w:p>
      <w:pPr>
        <w:spacing w:after="0" w:line="154"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As of December 31, 2017and 2016, there were outstanding unvested service-based stock options held by non-employees for the purchase of 45,000 and 63,375 shares, respectively, of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Company has granted restricted stock units with time-based vesting conditions. The table below summarizes the Company’s restricted stock activity for the twelve months ended December 31, 2017:</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units as of December 31, 2016</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115,500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332,500</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(47,100)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Vested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(44,122)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units as of December 31, 2017</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356,778</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aggregate intrinsic value of restricted stock units that vested during the years ended December 31, 2017, 2016 and 2015 was $445, $0, and $1,508,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options and restricted stock units in the following expense categories of its consolidated statements of operations and comprehensive loss: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As of December 31, 2017, the Company had an aggregate of $28,102 of unrecognized stock- based compensation cost, which is expected to be recognized over a weighted average period of 2.14 years.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Collaboration Revenue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Nestec Ltd.</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January 2016, the Company entered into the Collaboration and License Agreement (“License Agreement”) with Nestec Ltd. (“NHS”), an affiliate of Nestlé Health Science US Holdings, Inc., a significant stockholder of the Company, for the development and commercialization of certain product candidates in development for the treatment and management of CDI and IBD, including UC and Crohn’s disease. The License Agreement will support the development of the Company’s portfolio of products for CDI and IBD in markets outside of the United States and Canada (the “Licensed Territory”). The Company has retained full commercial rights to its entire portfolio of product candidates with respect to the United States and Canada.</w:t>
      </w:r>
    </w:p>
    <w:p>
      <w:pPr>
        <w:spacing w:after="0" w:line="17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Under the License Agreement, the Company granted to NHS an exclusive, royalty-bearing license to develop and commercialize, in the Licensed Territory, certain products based on its microbiome technology that are being developed for the treatment of CDI and IBD, including SER-109, SER-262, SER-287 and SER-301 (collectively, the “NHS Collaboration Products”). The License Agreement sets forth the Company’s and NHS’ respective obligations for development, commercialization, regulatory and manufacturing and supply activities for the NHS Collaboration Products with respect to the licensed fields and the Licensed Territory.</w:t>
      </w:r>
    </w:p>
    <w:p>
      <w:pPr>
        <w:spacing w:after="0" w:line="188"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In exchange for the license, NHS agreed to pay the Company an upfront cash payment of $120,000, which the Company received in February 2016. NHS also agreed to pay the Company tiered royalties, at percentages ranging from the high single digits to high teens, of net sales of NHS Collaboration Products in the Licensed Territory. The Company is eligible to receive up to $285,000 in development milestone payments, $375,000 in regulatory payments and up to an aggregate of $1,125,000 for the achievement of certain commercial milestones related to the sales of NHS Collaboration Products.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9" w:name="page110"/>
    <w:bookmarkEnd w:id="109"/>
    <w:p>
      <w:pPr>
        <w:jc w:val="center"/>
        <w:ind w:right="-5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At the inception of the License Agreement, the Company identified the following deliverables: (i) a license to develop and commercialize the NHS Collaboration Products in the Licensed Territory, (ii) obligation to perform research and development services, (iii) participation on a joint steering committee, and (iv) manufacturing services to provide clinical supply to complete future clinical trials. The Company also identified a contingent deliverable, the obligation to perform manufacturing services to provide commercial supply if commercialization occurs, which is contingent upon regulatory approval. This contingent deliverable has been excluded from the initial allocation and will be treated as a separate unit of accounting when and if delivered.</w:t>
      </w:r>
    </w:p>
    <w:p>
      <w:pPr>
        <w:spacing w:after="0" w:line="15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Company concluded that none of the four deliverables identified at the inception of the License Agreement has standalone value from the other undelivered elements. Accordingly, all deliverables represent a single unit of accounting.</w:t>
      </w:r>
    </w:p>
    <w:p>
      <w:pPr>
        <w:spacing w:after="0" w:line="170"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All consideration received relating to the four identified deliverables that comprise the single unit of accounting will be recognized over the period of performance. The period of performance will be through the completion of development services for the NHS Collaboration Products which has been estimated to be ten years. The Company will periodically review and, if necessary, revise the estimated development period.</w:t>
      </w:r>
    </w:p>
    <w:p>
      <w:pPr>
        <w:spacing w:after="0" w:line="166"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Company will recognize revenue utilizing a time-based proportional performance model where revenue related to each payment is recognized over the ten-year performance period. As of December 31, 2017, the only consideration that is fixed and determinable is the non-refundable upfront payment of $120,000 and $793 for the reimbursement of development services since the inception of the arrangement. For additional consideration that could be received for research and development services and/or manufacturing services for clinical supply, the Company will recognize a cumulative catch-up for the amount of time that has elapsed and spread the unrecognized portion over the remaining performance period.</w:t>
      </w:r>
    </w:p>
    <w:p>
      <w:pPr>
        <w:spacing w:after="0" w:line="158"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Development and regulatory milestones that involve substantial effort on the Company’s part and the achievement of which are not considered probable at the inception of the License Agreement are considered substantive milestones, and will be recognized in their entirety in the period in which the milestone is achieved, assuming all other revenue recognition criteria are met. All commercial milestones will be recorded as revenue upon achievement of the milestone, assuming all other revenue recognition criteria are met.</w:t>
      </w:r>
    </w:p>
    <w:p>
      <w:pPr>
        <w:spacing w:after="0" w:line="18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 xml:space="preserve">During the year ended December 31, 2016, the Company received $10,000 from NHS in connection with the initiation of the Phase 1b study for SER-262 in CDI. The Company recognizes revenue associated with substantive milestones in accordance with FASB ASC Topic 605-28, </w:t>
      </w:r>
      <w:r>
        <w:rPr>
          <w:rFonts w:ascii="Arial" w:cs="Arial" w:eastAsia="Arial" w:hAnsi="Arial"/>
          <w:sz w:val="17"/>
          <w:szCs w:val="17"/>
          <w:i w:val="1"/>
          <w:iCs w:val="1"/>
          <w:color w:val="auto"/>
        </w:rPr>
        <w:t>Revenue Recognition-Milestone Method</w:t>
      </w:r>
      <w:r>
        <w:rPr>
          <w:rFonts w:ascii="Arial" w:cs="Arial" w:eastAsia="Arial" w:hAnsi="Arial"/>
          <w:sz w:val="17"/>
          <w:szCs w:val="17"/>
          <w:color w:val="auto"/>
        </w:rPr>
        <w:t>. The $10,000 was recognized in full as related party collaboration revenue during the year ended December 31, 2016.</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year ended December 31, 2017, the Company received $20,000 from NHS in connection with the initiation of the Phase 3 study for SER-</w:t>
      </w:r>
    </w:p>
    <w:p>
      <w:pPr>
        <w:spacing w:after="0" w:line="46" w:lineRule="exact"/>
        <w:rPr>
          <w:sz w:val="20"/>
          <w:szCs w:val="20"/>
          <w:color w:val="auto"/>
        </w:rPr>
      </w:pPr>
    </w:p>
    <w:p>
      <w:pPr>
        <w:ind w:firstLine="8"/>
        <w:spacing w:after="0" w:line="290" w:lineRule="auto"/>
        <w:tabs>
          <w:tab w:leader="none" w:pos="3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Company recognizes revenue associated with substantive milestones in accordance with FASB ASC Topic 605-28, Revenue Recognition-Milestone Method. The $20,000 was recognized in full as related party collaboration revenue during the year ended December 31, 2017.</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Royalties will be recorded as revenue in the period they are earned assuming all other revenue recognition criteria are met.</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During the years ended December 31, 2017 and 2016, the Company recognized $32,100 and $21,766, respectively, of related party revenue associated with the License Agreement. As of December 31, 2017, there was $96,926 of deferred revenue related to the License Agreement, which is classified as current or non-current in the consolidated balance sheets based on the Company’s estimate of revenue that will be recognized within the next twelve months. All costs associated with the License Agreement are recorded in research and development expense in the consolidated statements of operations and comprehensive loss.</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23"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attributable to common stockholders was calculated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(89,380)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(91,579)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(54,780)</w:t>
            </w:r>
          </w:p>
        </w:tc>
      </w:tr>
      <w:tr>
        <w:trPr>
          <w:trHeight w:val="210"/>
        </w:trPr>
        <w:tc>
          <w:tcPr>
            <w:tcW w:w="20" w:type="dxa"/>
            <w:vAlign w:val="bottom"/>
          </w:tcPr>
          <w:p>
            <w:pPr>
              <w:spacing w:after="0"/>
              <w:rPr>
                <w:sz w:val="18"/>
                <w:szCs w:val="18"/>
                <w:color w:val="auto"/>
              </w:rPr>
            </w:pPr>
          </w:p>
        </w:tc>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8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Weighted average common shares outstanding,</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5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basic and diluted</w:t>
            </w:r>
          </w:p>
        </w:tc>
        <w:tc>
          <w:tcPr>
            <w:tcW w:w="8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40,449,410</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39,846,928</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23,532,400</w:t>
            </w:r>
          </w:p>
        </w:tc>
        <w:tc>
          <w:tcPr>
            <w:tcW w:w="80" w:type="dxa"/>
            <w:vAlign w:val="bottom"/>
            <w:tcBorders>
              <w:bottom w:val="single" w:sz="8" w:color="CFF0FC"/>
            </w:tcBorders>
          </w:tcPr>
          <w:p>
            <w:pPr>
              <w:spacing w:after="0"/>
              <w:rPr>
                <w:sz w:val="23"/>
                <w:szCs w:val="23"/>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 attributable to common</w:t>
            </w: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basic and diluted</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(2.21)</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(2.30)</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w:t>
            </w: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auto"/>
        </w:rPr>
        <w:t>The Company’s potential dilutive securities, which include stock options and unvested restricted common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following potential common shares, presented based on amounts outstanding at each period end, were excluded from the calculation of diluted net loss per share attributable to common stockholders for the periods indicated because including them would have had an anti-dilutive effect:</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72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9"/>
              </w:rPr>
              <w:t>Year Ended 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6,125,692</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5,069,133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5,026,246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356,778</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115,500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6,482,470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5,184,633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5,026,246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ind w:left="520" w:hanging="512"/>
        <w:spacing w:after="0"/>
        <w:tabs>
          <w:tab w:leader="none" w:pos="5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Company previously leased office and laboratory space with a lease term expiring in January 2018 and no extension periods. In May 2016, upon mutual agreement with the landlord, the Company accelerated the termination of the operating lease to June 30, 2016. Upon termination of the lease, the Company recorded a benefit to rent expense of $136 to write off amounts previously recorded as deferred rent. The outstanding security deposit of $119, which was secured by a cash collateralized letter of credit, was released in September 2016.</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April 1, 2015, the Company entered into a lease for additional office and laboratory space with a term expiring in April 2020.</w:t>
      </w:r>
    </w:p>
    <w:p>
      <w:pPr>
        <w:spacing w:after="0" w:line="225"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November 11, 2015, the Company entered into a non-cancelable property lease with BMR-Sidney Research Campus LLC (“BMR”) for 83,396 square feet of office, laboratory and pilot manufacturing space at 200 Sidney Street, Cambridge, Massachusetts. The lease term commenced in March 2016 and ends in November 2023. The Company has the option to extend the lease twice, each for a five-year period. The Company moved its corporate headquarters to this location in April 2016. BMR has contributed a total of $12,509 toward the cost of tenant improvements. BMR’s contributions toward the cost of tenant improvements is recorded as a lease incentive obligation on the Company’s consolidated balance sheet. The lease incentive obligation is amortized to the Company’s consolidated statement of operations as reductions to rent expense over the lease term. As of December 31, 2017, the Company recorded a lease incentive obligation of $10,312. During the year ended December 31, 2017, the Company amortized $1,768 of this lease incentive obligation as a reduction to rent expense.</w:t>
      </w:r>
    </w:p>
    <w:p>
      <w:pPr>
        <w:spacing w:after="0" w:line="192"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During the years ended December 31, 2017, 2016 and 2015, the Company recognized $4,458, $3,826, and $1,246, respectively, of rental expense related to office and laboratory space.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for these operating leases as of December 31, 2017 are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6,157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6,342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6,221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2023 and thereafter</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36,370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2017 or 2016.</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35"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On September 28, 2016, a purported stockholder of the Company filed a putative class action lawsuit in the U.S. District Court for the District of Massachusetts against the Company entitled Mariusz Mazurek v. Seres Therapeutics, Inc., et.al. On February 12, 2017, the Company received an amended complaint and on March 30, 2017, the Company filed a motion to dismiss. A hearing on the motion to dismiss was held on August 9, 2017 and we are awaiting a decision from the court. The lawsuit alleges violations of Sections 10(b), 20(a) and Rule 10b-5 of the Securities Exchange Act of 1934, as amended, by making allegedly false and misleading statements and omissions about the Company’s clinical trials for its product candidate SER-109 in the Company’s public disclosures between June 25, 2015 and July 29, 2016. The lawsuit seeks, among other things, damages in connection with the Company’s allegedly inflated stock price between June 25, 2015 and July 29, 2016 as a result of those allegedly false and misleading statements, as well as interest, attorneys’ fees and costs. The Company can make no assurances as to the time or resources that will need to be devoted to this lawsuit or its final outcome, or the impact, if any, of this lawsuit or any proceedings on its business, financial condition, results of operations and cash flows. While the Company is vigorously defending against all claims asserted, this litigation could result in substantial costs to the Company and a diversion of the Company’s management’s attention and resources, which could harm its business. In addition, the uncertainty of the pending lawsuit or potential filing of additional lawsuits could lead to more volatility and a reduction in the Company’s stock price. Given the early stage of the litigation, at this time the Company is unable to reasonably estimate possible losses or form a judgment that an unfavorable outcome is either probable or remote. It is not currently possible to assess whether or not the outcome of these proceedings may have a material adverse effect on the Company.</w:t>
      </w:r>
    </w:p>
    <w:p>
      <w:pPr>
        <w:spacing w:after="0" w:line="357"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During the years ended December 31, 2017, 2016 and 2015, the Company recorded no income tax benefits for the net operating losses incurred in each year or interim period, due to its uncertainty of realizing a benefit from those items.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12"/>
          </w:tcPr>
          <w:p>
            <w:pPr>
              <w:jc w:val="right"/>
              <w:ind w:right="1320"/>
              <w:spacing w:after="0"/>
              <w:rPr>
                <w:sz w:val="20"/>
                <w:szCs w:val="20"/>
                <w:color w:val="auto"/>
              </w:rPr>
            </w:pPr>
            <w:r>
              <w:rPr>
                <w:rFonts w:ascii="Arial" w:cs="Arial" w:eastAsia="Arial" w:hAnsi="Arial"/>
                <w:sz w:val="14"/>
                <w:szCs w:val="14"/>
                <w:b w:val="1"/>
                <w:bCs w:val="1"/>
                <w:color w:val="auto"/>
                <w:w w:val="95"/>
              </w:rPr>
              <w:t>Year Ended December 31,</w:t>
            </w:r>
          </w:p>
        </w:tc>
      </w:tr>
      <w:tr>
        <w:trPr>
          <w:trHeight w:val="156"/>
        </w:trPr>
        <w:tc>
          <w:tcPr>
            <w:tcW w:w="64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456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r>
      <w:tr>
        <w:trPr>
          <w:trHeight w:val="223"/>
        </w:trPr>
        <w:tc>
          <w:tcPr>
            <w:tcW w:w="64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FF0FC"/>
          </w:tcPr>
          <w:p>
            <w:pPr>
              <w:spacing w:after="0"/>
              <w:rPr>
                <w:sz w:val="19"/>
                <w:szCs w:val="19"/>
                <w:color w:val="auto"/>
              </w:rPr>
            </w:pPr>
          </w:p>
        </w:tc>
        <w:tc>
          <w:tcPr>
            <w:tcW w:w="12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FF0FC"/>
          </w:tcPr>
          <w:p>
            <w:pPr>
              <w:spacing w:after="0"/>
              <w:rPr>
                <w:sz w:val="19"/>
                <w:szCs w:val="19"/>
                <w:color w:val="auto"/>
              </w:rPr>
            </w:pPr>
          </w:p>
        </w:tc>
        <w:tc>
          <w:tcPr>
            <w:tcW w:w="12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r>
      <w:tr>
        <w:trPr>
          <w:trHeight w:val="230"/>
        </w:trPr>
        <w:tc>
          <w:tcPr>
            <w:tcW w:w="640" w:type="dxa"/>
            <w:vAlign w:val="bottom"/>
          </w:tcPr>
          <w:p>
            <w:pPr>
              <w:spacing w:after="0"/>
              <w:rPr>
                <w:sz w:val="19"/>
                <w:szCs w:val="19"/>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 tax credits</w:t>
            </w:r>
          </w:p>
        </w:tc>
        <w:tc>
          <w:tcPr>
            <w:tcW w:w="1260" w:type="dxa"/>
            <w:vAlign w:val="bottom"/>
            <w:gridSpan w:val="3"/>
          </w:tcPr>
          <w:p>
            <w:pPr>
              <w:jc w:val="right"/>
              <w:ind w:right="108"/>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(8.8)</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(5.7)</w:t>
            </w:r>
          </w:p>
        </w:tc>
      </w:tr>
      <w:tr>
        <w:trPr>
          <w:trHeight w:val="230"/>
        </w:trPr>
        <w:tc>
          <w:tcPr>
            <w:tcW w:w="640" w:type="dxa"/>
            <w:vAlign w:val="bottom"/>
          </w:tcPr>
          <w:p>
            <w:pPr>
              <w:spacing w:after="0"/>
              <w:rPr>
                <w:sz w:val="19"/>
                <w:szCs w:val="19"/>
                <w:color w:val="auto"/>
              </w:rPr>
            </w:pPr>
          </w:p>
        </w:tc>
        <w:tc>
          <w:tcPr>
            <w:tcW w:w="5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State taxes, net of federal benefit</w:t>
            </w:r>
          </w:p>
        </w:tc>
        <w:tc>
          <w:tcPr>
            <w:tcW w:w="1260" w:type="dxa"/>
            <w:vAlign w:val="bottom"/>
            <w:gridSpan w:val="3"/>
            <w:shd w:val="clear" w:color="auto" w:fill="CFF0FC"/>
          </w:tcPr>
          <w:p>
            <w:pPr>
              <w:jc w:val="right"/>
              <w:ind w:right="108"/>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w w:val="97"/>
              </w:rPr>
              <w:t>(5.8)</w:t>
            </w:r>
          </w:p>
        </w:tc>
        <w:tc>
          <w:tcPr>
            <w:tcW w:w="1380" w:type="dxa"/>
            <w:vAlign w:val="bottom"/>
            <w:gridSpan w:val="5"/>
            <w:shd w:val="clear" w:color="auto" w:fill="CFF0FC"/>
          </w:tcPr>
          <w:p>
            <w:pPr>
              <w:jc w:val="right"/>
              <w:ind w:right="180"/>
              <w:spacing w:after="0"/>
              <w:rPr>
                <w:sz w:val="20"/>
                <w:szCs w:val="20"/>
                <w:color w:val="auto"/>
              </w:rPr>
            </w:pPr>
            <w:r>
              <w:rPr>
                <w:rFonts w:ascii="Arial" w:cs="Arial" w:eastAsia="Arial" w:hAnsi="Arial"/>
                <w:sz w:val="18"/>
                <w:szCs w:val="18"/>
                <w:color w:val="auto"/>
              </w:rPr>
              <w:t>(5.3)</w:t>
            </w:r>
          </w:p>
        </w:tc>
      </w:tr>
      <w:tr>
        <w:trPr>
          <w:trHeight w:val="230"/>
        </w:trPr>
        <w:tc>
          <w:tcPr>
            <w:tcW w:w="640" w:type="dxa"/>
            <w:vAlign w:val="bottom"/>
          </w:tcPr>
          <w:p>
            <w:pPr>
              <w:spacing w:after="0"/>
              <w:rPr>
                <w:sz w:val="19"/>
                <w:szCs w:val="19"/>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(6.3)</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Revaluation of preferred stock warrant liability</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640" w:type="dxa"/>
            <w:vAlign w:val="bottom"/>
          </w:tcPr>
          <w:p>
            <w:pPr>
              <w:spacing w:after="0"/>
              <w:rPr>
                <w:sz w:val="19"/>
                <w:szCs w:val="19"/>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1260" w:type="dxa"/>
            <w:vAlign w:val="bottom"/>
            <w:gridSpan w:val="3"/>
          </w:tcPr>
          <w:p>
            <w:pPr>
              <w:jc w:val="right"/>
              <w:ind w:right="108"/>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Change in deferred tax asset valuation allowance</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FF0FC"/>
          </w:tcPr>
          <w:p>
            <w:pPr>
              <w:spacing w:after="0"/>
              <w:rPr>
                <w:sz w:val="19"/>
                <w:szCs w:val="19"/>
                <w:color w:val="auto"/>
              </w:rPr>
            </w:pPr>
          </w:p>
        </w:tc>
      </w:tr>
      <w:tr>
        <w:trPr>
          <w:trHeight w:val="223"/>
        </w:trPr>
        <w:tc>
          <w:tcPr>
            <w:tcW w:w="5760" w:type="dxa"/>
            <w:vAlign w:val="bottom"/>
            <w:gridSpan w:val="3"/>
          </w:tcPr>
          <w:p>
            <w:pPr>
              <w:ind w:left="620"/>
              <w:spacing w:after="0"/>
              <w:rPr>
                <w:sz w:val="20"/>
                <w:szCs w:val="20"/>
                <w:color w:val="auto"/>
              </w:rPr>
            </w:pPr>
            <w:r>
              <w:rPr>
                <w:rFonts w:ascii="Arial" w:cs="Arial" w:eastAsia="Arial" w:hAnsi="Arial"/>
                <w:sz w:val="18"/>
                <w:szCs w:val="18"/>
                <w:color w:val="auto"/>
              </w:rPr>
              <w:t>Effective income tax rate</w:t>
            </w:r>
          </w:p>
        </w:tc>
        <w:tc>
          <w:tcPr>
            <w:tcW w:w="12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120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7020" w:type="dxa"/>
            <w:vAlign w:val="bottom"/>
            <w:gridSpan w:val="6"/>
          </w:tcPr>
          <w:p>
            <w:pPr>
              <w:jc w:val="right"/>
              <w:ind w:right="788"/>
              <w:spacing w:after="0"/>
              <w:rPr>
                <w:sz w:val="20"/>
                <w:szCs w:val="20"/>
                <w:color w:val="auto"/>
              </w:rPr>
            </w:pPr>
            <w:r>
              <w:rPr>
                <w:rFonts w:ascii="Arial" w:cs="Arial" w:eastAsia="Arial" w:hAnsi="Arial"/>
                <w:sz w:val="18"/>
                <w:szCs w:val="18"/>
                <w:color w:val="auto"/>
                <w:w w:val="89"/>
              </w:rPr>
              <w:t>Net deferred tax assets as of December 31, 2017 and 2016 consisted of the following:</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78"/>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56"/>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56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337"/>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FF0FC"/>
            </w:tcBorders>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23"/>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32,997</w:t>
            </w:r>
          </w:p>
        </w:tc>
        <w:tc>
          <w:tcPr>
            <w:tcW w:w="80" w:type="dxa"/>
            <w:vAlign w:val="bottom"/>
          </w:tcPr>
          <w:p>
            <w:pPr>
              <w:spacing w:after="0"/>
              <w:rPr>
                <w:sz w:val="19"/>
                <w:szCs w:val="19"/>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18,481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 carryforwards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25,405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14,991</w:t>
            </w: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Capitalized organization costs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7,714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5,624</w:t>
            </w: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Charitable Contributions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26,480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42,742</w:t>
            </w: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Capitalized research and development expenses</w:t>
            </w:r>
          </w:p>
        </w:tc>
        <w:tc>
          <w:tcPr>
            <w:tcW w:w="8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assets</w:t>
            </w:r>
          </w:p>
        </w:tc>
        <w:tc>
          <w:tcPr>
            <w:tcW w:w="8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97,596</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88,002</w:t>
            </w:r>
          </w:p>
        </w:tc>
        <w:tc>
          <w:tcPr>
            <w:tcW w:w="80" w:type="dxa"/>
            <w:vAlign w:val="bottom"/>
            <w:tcBorders>
              <w:bottom w:val="single" w:sz="8" w:color="CFF0FC"/>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(3,470)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(5,008)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8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(3,470)</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(5,008)</w:t>
            </w: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5120" w:type="dxa"/>
            <w:vAlign w:val="bottom"/>
            <w:gridSpan w:val="2"/>
          </w:tcPr>
          <w:p>
            <w:pPr>
              <w:ind w:left="560"/>
              <w:spacing w:after="0"/>
              <w:rPr>
                <w:sz w:val="20"/>
                <w:szCs w:val="20"/>
                <w:color w:val="auto"/>
              </w:rPr>
            </w:pPr>
            <w:r>
              <w:rPr>
                <w:rFonts w:ascii="Arial" w:cs="Arial" w:eastAsia="Arial" w:hAnsi="Arial"/>
                <w:sz w:val="18"/>
                <w:szCs w:val="18"/>
                <w:color w:val="auto"/>
              </w:rPr>
              <w:t>Valuation allowance</w:t>
            </w:r>
          </w:p>
        </w:tc>
        <w:tc>
          <w:tcPr>
            <w:tcW w:w="8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(94,126)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(82,994)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deferred tax assets</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On December 22, 2017, the Tax Cuts and Jobs Act (the “TCJA”) was signed into United States law. The TCJA includes a number of changes to existing tax law, including, among other things, a permanent reduction in the federal corporate income tax rate from 35% to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 The tax rate change resulted in (i) a reduction in the gross amount of the Company’s deferred tax assets recorded as of December 31, 2017, without an impact on the net amount of its deferred tax assets, which are recorded with a full valuation allowance, and (ii) no income tax expense or benefit being recognized as of the enactment date of the TCJA.</w:t>
      </w:r>
    </w:p>
    <w:p>
      <w:pPr>
        <w:spacing w:after="0" w:line="18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staff of the Securities and Exchange Commission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TCJA. In connection with the initial analysis of the impact of the TCJA, the Company remeasured its deferred tax assets and liabilities based on the rates at which they are expected to reverse in the future, which is generally 21% for federal tax purposes. The remeasurement of the Company’s deferred tax assets and liabilities was offset by a change in the valuation allowance.</w:t>
      </w:r>
    </w:p>
    <w:p>
      <w:pPr>
        <w:spacing w:after="0" w:line="17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Company is still in the process of analyzing the impact to the Company of the TCJA and its analysis is not yet complete. Where the Company has been able to make reasonable estimates of the effects related to the TCJA, the Company has recorded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provisional amounts. The ultimate impact to the Company’s consolidated financial statements of the TCJA may differ from the provisional amounts.</w:t>
      </w:r>
    </w:p>
    <w:p>
      <w:pPr>
        <w:spacing w:after="0" w:line="23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provisional amount recorded related to the remeasurement of our deferred tax balance was a $29,546 expense that was offset by a valuation allowance.</w:t>
      </w:r>
    </w:p>
    <w:p>
      <w:pPr>
        <w:spacing w:after="0" w:line="170"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As of December 31, 2017, the Company had net operating loss carryforwards for federal and state income tax purposes of $120,707 and $121,016, respectively, which both begin to expire in 2035. As of December 31, 2017, the Company also had available research and development tax credit carryforwards for federal and state income tax purposes of $22,557 and $ 3,606, respectively, which begin to expire in 2031 and 2028, respectively. The federal research and development tax credits include an orphan drug credit carryforward of $14,475. Utilization of the net operating loss carryforwards and research and development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Since our formation, we have raised capital through the issuance of capital stock on several occasions. These financings, combined with the purchasing shareholders' subsequent disposition of those shares, may have resulted in a change of control as defined by Section 382 or could result in a change of control in the future upon subsequent disposition. We conducted an analysis under Section 382 to determine if historical changes in ownership through August 31, 2015 would limit or otherwise restrict our ability to utilize these NOL and R&amp;D credit carryforwards. As a result of this analysis, we do not believe there are any significant limitations on our ability to utilize these carryforwards. However, future changes in ownership after August 31, 2015 could affect the limitation in future years. Any limitation may result in expiration of a portion of the NOL or R&amp;D credit carryforwards before utilization.</w:t>
      </w:r>
    </w:p>
    <w:p>
      <w:pPr>
        <w:spacing w:after="0" w:line="172" w:lineRule="exact"/>
        <w:rPr>
          <w:sz w:val="20"/>
          <w:szCs w:val="20"/>
          <w:color w:val="auto"/>
        </w:rPr>
      </w:pPr>
    </w:p>
    <w:p>
      <w:pPr>
        <w:jc w:val="both"/>
        <w:ind w:right="120" w:firstLine="518"/>
        <w:spacing w:after="0" w:line="288" w:lineRule="auto"/>
        <w:rPr>
          <w:sz w:val="20"/>
          <w:szCs w:val="20"/>
          <w:color w:val="auto"/>
        </w:rPr>
      </w:pPr>
      <w:r>
        <w:rPr>
          <w:rFonts w:ascii="Arial" w:cs="Arial" w:eastAsia="Arial" w:hAnsi="Arial"/>
          <w:sz w:val="16"/>
          <w:szCs w:val="16"/>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w:t>
      </w:r>
    </w:p>
    <w:p>
      <w:pPr>
        <w:ind w:right="160"/>
        <w:spacing w:after="0" w:line="261" w:lineRule="auto"/>
        <w:rPr>
          <w:sz w:val="20"/>
          <w:szCs w:val="20"/>
          <w:color w:val="auto"/>
        </w:rPr>
      </w:pPr>
      <w:r>
        <w:rPr>
          <w:rFonts w:ascii="Arial" w:cs="Arial" w:eastAsia="Arial" w:hAnsi="Arial"/>
          <w:sz w:val="18"/>
          <w:szCs w:val="18"/>
          <w:color w:val="auto"/>
        </w:rPr>
        <w:t>Accordingly, a full valuation allowance has been established against the deferred tax assets as of December 31, 2017 and 2016. Management reevaluates the positive and negative evidence at each reporting period.</w:t>
      </w:r>
    </w:p>
    <w:p>
      <w:pPr>
        <w:spacing w:after="0" w:line="18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Changes in the valuation allowance for deferred tax assets during the years ended December 31, 2017, 2016 and 2015 related primarily to the increases in net operating loss carryforwards, research and development tax credit carryforwards, stock-based compensation and decrease of deferred rate due to tax reform were as follows: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at beginning of year</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(82,994)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Decreases recorded as benefit to income tax provision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29,546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Increases recorded to income tax provision</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(40,678)</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(50,217)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(22,255)</w:t>
            </w: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Valuation allowance as of end of year</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(94,126)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(82,994)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(32,777)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December 31, 2017, 2016, and 2015, the Company had no unrecognized tax benefits. Interest and penalty charges, if any, related to unrecognized tax benefits would be classified as income tax expense. The Company does not expect any significant change in its uncertain tax positions in the next 12 months.</w:t>
      </w:r>
    </w:p>
    <w:p>
      <w:pPr>
        <w:spacing w:after="0" w:line="18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During the year ended December 31, 2016, the Company was awarded a tax incentive for job creation from the Massachusetts Life Sciences Center. The program was established in 2008 in order to incentivize life sciences companies to create new sustained jobs in Massachusetts. Jobs must be maintained for at least five years, during which time the grant proceeds can be recovered by the Massachusetts Department of Revenue ("DOR") if the Company does not meet and maintain its job creation commitments. The award was received in 2016 and recorded in other current liabilities as of December 31, 2016 as the Company did not meet the job creation commitments. During the year ended December 31, 2017, the Company met the job creation commitments and recorded $0.3 million as other income in the consolidated statement of operations for the portion of the award earned through the year ended December 31,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2017. The balance of the incentive award has been recorded in our consolidated balance sheet as a liability until such time that the award is fully earned.</w:t>
      </w:r>
    </w:p>
    <w:p>
      <w:pPr>
        <w:spacing w:after="0" w:line="200" w:lineRule="exact"/>
        <w:rPr>
          <w:sz w:val="20"/>
          <w:szCs w:val="20"/>
          <w:color w:val="auto"/>
        </w:rPr>
      </w:pPr>
    </w:p>
    <w:p>
      <w:pPr>
        <w:spacing w:after="0" w:line="233" w:lineRule="exact"/>
        <w:rPr>
          <w:sz w:val="20"/>
          <w:szCs w:val="20"/>
          <w:color w:val="auto"/>
        </w:rPr>
      </w:pPr>
    </w:p>
    <w:p>
      <w:pPr>
        <w:ind w:left="520" w:hanging="512"/>
        <w:spacing w:after="0"/>
        <w:tabs>
          <w:tab w:leader="none" w:pos="5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21"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The following table contains quarterly financial information for 2017 and 2016.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First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Second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right"/>
              <w:ind w:right="540"/>
              <w:spacing w:after="0" w:line="133" w:lineRule="exact"/>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Collaboration revenue - related party </w:t>
            </w:r>
            <w:r>
              <w:rPr>
                <w:rFonts w:ascii="Arial" w:cs="Arial" w:eastAsia="Arial" w:hAnsi="Arial"/>
                <w:sz w:val="15"/>
                <w:szCs w:val="15"/>
                <w:color w:val="auto"/>
              </w:rPr>
              <w:t>(1)</w:t>
            </w:r>
          </w:p>
        </w:tc>
        <w:tc>
          <w:tcPr>
            <w:tcW w:w="1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3,014</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23,015</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3,056</w:t>
            </w: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28,905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31,430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123,495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(25,890)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(28,416)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(7,314)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(29,775)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(91,395)</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(25,474)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(28,018)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(28,953)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(89,380)</w:t>
            </w:r>
          </w:p>
        </w:tc>
        <w:tc>
          <w:tcPr>
            <w:tcW w:w="0" w:type="dxa"/>
            <w:vAlign w:val="bottom"/>
          </w:tcPr>
          <w:p>
            <w:pPr>
              <w:spacing w:after="0"/>
              <w:rPr>
                <w:sz w:val="1"/>
                <w:szCs w:val="1"/>
                <w:color w:val="auto"/>
              </w:rPr>
            </w:pPr>
          </w:p>
        </w:tc>
      </w:tr>
      <w:tr>
        <w:trPr>
          <w:trHeight w:val="215"/>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applicable to common</w:t>
            </w: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 basic and diluted</w:t>
            </w:r>
          </w:p>
        </w:tc>
        <w:tc>
          <w:tcPr>
            <w:tcW w:w="1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(0.63)</w:t>
            </w:r>
          </w:p>
        </w:tc>
        <w:tc>
          <w:tcPr>
            <w:tcW w:w="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(0.69)</w:t>
            </w:r>
          </w:p>
        </w:tc>
        <w:tc>
          <w:tcPr>
            <w:tcW w:w="20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(0.72)</w:t>
            </w:r>
          </w:p>
        </w:tc>
        <w:tc>
          <w:tcPr>
            <w:tcW w:w="34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446"/>
        </w:trPr>
        <w:tc>
          <w:tcPr>
            <w:tcW w:w="4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8"/>
              </w:rPr>
              <w:t>First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right"/>
              <w:ind w:right="480"/>
              <w:spacing w:after="0" w:line="133" w:lineRule="exact"/>
              <w:rPr>
                <w:sz w:val="20"/>
                <w:szCs w:val="20"/>
                <w:color w:val="auto"/>
              </w:rPr>
            </w:pPr>
            <w:r>
              <w:rPr>
                <w:rFonts w:ascii="Arial" w:cs="Arial" w:eastAsia="Arial" w:hAnsi="Arial"/>
                <w:sz w:val="14"/>
                <w:szCs w:val="14"/>
                <w:b w:val="1"/>
                <w:bCs w:val="1"/>
                <w:color w:val="auto"/>
              </w:rPr>
              <w:t>Second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Collaboration revenue - related party </w:t>
            </w:r>
            <w:r>
              <w:rPr>
                <w:rFonts w:ascii="Arial" w:cs="Arial" w:eastAsia="Arial" w:hAnsi="Arial"/>
                <w:sz w:val="15"/>
                <w:szCs w:val="15"/>
                <w:color w:val="auto"/>
              </w:rPr>
              <w:t>(1)</w:t>
            </w:r>
          </w:p>
        </w:tc>
        <w:tc>
          <w:tcPr>
            <w:tcW w:w="1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13,015</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21,766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22,626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31,144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32,110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114,605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(19,916)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(28,140)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(19,095)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(25,688)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(92,839)</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(19,704)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(27,913)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(18,688)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(25,274)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(91,579)</w:t>
            </w:r>
          </w:p>
        </w:tc>
        <w:tc>
          <w:tcPr>
            <w:tcW w:w="0" w:type="dxa"/>
            <w:vAlign w:val="bottom"/>
          </w:tcPr>
          <w:p>
            <w:pPr>
              <w:spacing w:after="0"/>
              <w:rPr>
                <w:sz w:val="1"/>
                <w:szCs w:val="1"/>
                <w:color w:val="auto"/>
              </w:rPr>
            </w:pPr>
          </w:p>
        </w:tc>
      </w:tr>
      <w:tr>
        <w:trPr>
          <w:trHeight w:val="215"/>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applicable to common</w:t>
            </w: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 basic and diluted</w:t>
            </w:r>
          </w:p>
        </w:tc>
        <w:tc>
          <w:tcPr>
            <w:tcW w:w="1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(0.50)</w:t>
            </w:r>
          </w:p>
        </w:tc>
        <w:tc>
          <w:tcPr>
            <w:tcW w:w="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(0.70)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(0.46)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(0.63)</w:t>
            </w:r>
          </w:p>
        </w:tc>
        <w:tc>
          <w:tcPr>
            <w:tcW w:w="34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right="140" w:hanging="512"/>
        <w:spacing w:after="0" w:line="293" w:lineRule="auto"/>
        <w:tabs>
          <w:tab w:leader="none" w:pos="5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January 2016, the Company entered into a Collaboration and License Agreement with NHS for the development and commercialization of certain of its product candidates. In exchange for the license, NHS paid the Company an upfront cash payment of $120,000, which the Company received in February 2016 and is being recognized as revenue over the ten year performance period. During the quarter ended September 30, 2016, the Company received $10,000 from NHS related to achievement of a milestone within this agreement, which was recognized in full as related party collaboration revenue during 2016. During the quarter ended September 30, 2017, the Company received $20,000 from NHS related to achievement of a milestone within this agreement, which was recognized in full as related party collaboration revenue during 2017.</w:t>
      </w:r>
    </w:p>
    <w:p>
      <w:pPr>
        <w:spacing w:after="0" w:line="363"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In October 2010, the Company entered into a services agreement with Flagship Ventures Management, Inc., an affiliate of one of its stockholders (and now known as Flagship Pioneering), Flagship Venture Funds, to provide general and administrative services to the Company, including the employer portions of employee health and dental benefit plans for Seres Therapeutics employees and consulting services. The Company made payments under the agreement of $17 and $502 during the years ended December 31, 2016 and 2015, respectively. There were no payments made during the year ended December 31, 2017. There were no amounts due to Flagship Pioneering related to the services agreement as of December 31, 2017 and 2016.</w:t>
      </w:r>
    </w:p>
    <w:p>
      <w:pPr>
        <w:spacing w:after="0" w:line="158"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As described in Note 9, in January 2016 the Company entered into a License Agreement with NHS for the development and commercialization of certain product candidates in development for the treatment and management of CDI and IBD, including UC and Crohn’s disease. NHS is a related party since NHS is an affiliate of Nestlé Health Science, one of the Company’s significant stockholders. During the year ended December 31, 2017, the Company recognized $32,100 of related party revenue associated with the License Agreement. As of December 31, 2017, there was $96,926 of deferred revenue related to the License Agreement, which is classified as current or non-current in the consolidated balance sheets. The Company has made no payments to NHS during the year ended December 31, 2017. There is $510 due from NHS as of December 31, 2017 for the reimbursement of development costs, which is classified as other current assets in the Company’s consolidated balance sheet.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 w:hanging="512"/>
        <w:spacing w:after="0"/>
        <w:tabs>
          <w:tab w:leader="none" w:pos="5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401(k) Savings Plan</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This plan covers substantially all employees who meet minimum age and service requirements and allows participants to defer a portion of their annual compensation on a pre-tax basis. Effective January 1, 2016, the Company has elected to match 50% of the first 6% of an employee’s deferral. Company contributions are expensed in the year for which they are declared. During the year ended December 31, 2017, the Company recorded expense of $484 for 401(k) match contributions.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SERES THERAPEUTICS, INC.</w:t>
      </w:r>
    </w:p>
    <w:p>
      <w:pPr>
        <w:spacing w:after="0" w:line="256"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March 8, 2018</w:t>
      </w:r>
      <w:r>
        <w:rPr>
          <w:sz w:val="20"/>
          <w:szCs w:val="20"/>
          <w:color w:val="auto"/>
        </w:rPr>
        <w:tab/>
      </w:r>
      <w:r>
        <w:rPr>
          <w:rFonts w:ascii="Arial" w:cs="Arial" w:eastAsia="Arial" w:hAnsi="Arial"/>
          <w:sz w:val="16"/>
          <w:szCs w:val="16"/>
          <w:color w:val="auto"/>
        </w:rPr>
        <w:t>By:  /s/ Roger J. Pomerantz</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Roger J. Pomerantz</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President, Chief Executive Officer and Chairman of the Board</w:t>
      </w:r>
    </w:p>
    <w:p>
      <w:pPr>
        <w:spacing w:after="0" w:line="238"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553" w:right="239" w:bottom="1440" w:gutter="0" w:footer="0" w:header="0"/>
        </w:sectPr>
      </w:pPr>
    </w:p>
    <w:p>
      <w:pPr>
        <w:spacing w:after="0" w:line="16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231F2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387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 Roger J. Pomerantz</w:t>
      </w:r>
    </w:p>
    <w:p>
      <w:pPr>
        <w:spacing w:after="0" w:line="2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231F20"/>
        </w:rPr>
        <w:t>Roger J. Pomerantz,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Eric D. Shaff</w:t>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231F20"/>
        </w:rPr>
        <w:t>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Noubar B. Afeyan</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6"/>
          <w:szCs w:val="16"/>
          <w:color w:val="231F20"/>
        </w:rPr>
        <w:t>Noubar B. Afeyan,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5387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Dennis Ausiello</w:t>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231F20"/>
        </w:rPr>
        <w:t>Dennis Ausiello,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Willard Dere</w:t>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231F20"/>
        </w:rPr>
        <w:t>Willard Dere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Grégory Behar</w:t>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231F20"/>
        </w:rPr>
        <w:t>Grégory Behar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231F20"/>
        </w:rPr>
        <w:t>/s/ Kurt C. Graves</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231F20"/>
        </w:rPr>
        <w:t>Kurt C.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Richard N. Kender</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231F20"/>
        </w:rPr>
        <w:t>Richard N. Kender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Lorence H. Kim</w:t>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231F20"/>
        </w:rPr>
        <w:t>Lorence H. Kim,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231F20"/>
              </w:rPr>
              <w:t>Title</w:t>
            </w:r>
          </w:p>
        </w:tc>
        <w:tc>
          <w:tcPr>
            <w:tcW w:w="120" w:type="dxa"/>
            <w:vAlign w:val="bottom"/>
          </w:tcPr>
          <w:p>
            <w:pPr>
              <w:spacing w:after="0"/>
              <w:rPr>
                <w:sz w:val="14"/>
                <w:szCs w:val="14"/>
                <w:color w:val="auto"/>
              </w:rPr>
            </w:pPr>
          </w:p>
        </w:tc>
        <w:tc>
          <w:tcPr>
            <w:tcW w:w="318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231F20"/>
              </w:rPr>
              <w:t>Date</w:t>
            </w:r>
          </w:p>
        </w:tc>
      </w:tr>
      <w:tr>
        <w:trPr>
          <w:trHeight w:val="344"/>
        </w:trPr>
        <w:tc>
          <w:tcPr>
            <w:tcW w:w="4120" w:type="dxa"/>
            <w:vAlign w:val="bottom"/>
            <w:gridSpan w:val="2"/>
          </w:tcPr>
          <w:p>
            <w:pPr>
              <w:spacing w:after="0"/>
              <w:rPr>
                <w:sz w:val="20"/>
                <w:szCs w:val="20"/>
                <w:color w:val="auto"/>
              </w:rPr>
            </w:pPr>
            <w:r>
              <w:rPr>
                <w:rFonts w:ascii="Arial" w:cs="Arial" w:eastAsia="Arial" w:hAnsi="Arial"/>
                <w:sz w:val="18"/>
                <w:szCs w:val="18"/>
                <w:color w:val="231F20"/>
              </w:rPr>
              <w:t>President, Chief Executive Officer</w:t>
            </w:r>
          </w:p>
        </w:tc>
        <w:tc>
          <w:tcPr>
            <w:tcW w:w="3180" w:type="dxa"/>
            <w:vAlign w:val="bottom"/>
          </w:tcPr>
          <w:p>
            <w:pPr>
              <w:ind w:left="2120"/>
              <w:spacing w:after="0"/>
              <w:rPr>
                <w:sz w:val="20"/>
                <w:szCs w:val="20"/>
                <w:color w:val="auto"/>
              </w:rPr>
            </w:pPr>
            <w:r>
              <w:rPr>
                <w:rFonts w:ascii="Arial" w:cs="Arial" w:eastAsia="Arial" w:hAnsi="Arial"/>
                <w:sz w:val="18"/>
                <w:szCs w:val="18"/>
                <w:color w:val="231F20"/>
                <w:w w:val="90"/>
              </w:rPr>
              <w:t>March 8, 2018</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231F20"/>
              </w:rPr>
              <w:t>and Chairman of the Board</w:t>
            </w:r>
          </w:p>
        </w:tc>
        <w:tc>
          <w:tcPr>
            <w:tcW w:w="3180" w:type="dxa"/>
            <w:vAlign w:val="bottom"/>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231F20"/>
              </w:rPr>
              <w:t>(principal executive officer)</w:t>
            </w:r>
          </w:p>
        </w:tc>
        <w:tc>
          <w:tcPr>
            <w:tcW w:w="3180" w:type="dxa"/>
            <w:vAlign w:val="bottom"/>
          </w:tcPr>
          <w:p>
            <w:pPr>
              <w:spacing w:after="0"/>
              <w:rPr>
                <w:sz w:val="20"/>
                <w:szCs w:val="20"/>
                <w:color w:val="auto"/>
              </w:rPr>
            </w:pPr>
          </w:p>
        </w:tc>
      </w:tr>
      <w:tr>
        <w:trPr>
          <w:trHeight w:val="391"/>
        </w:trPr>
        <w:tc>
          <w:tcPr>
            <w:tcW w:w="4120" w:type="dxa"/>
            <w:vAlign w:val="bottom"/>
            <w:gridSpan w:val="2"/>
          </w:tcPr>
          <w:p>
            <w:pPr>
              <w:spacing w:after="0"/>
              <w:rPr>
                <w:sz w:val="20"/>
                <w:szCs w:val="20"/>
                <w:color w:val="auto"/>
              </w:rPr>
            </w:pPr>
            <w:r>
              <w:rPr>
                <w:rFonts w:ascii="Arial" w:cs="Arial" w:eastAsia="Arial" w:hAnsi="Arial"/>
                <w:sz w:val="18"/>
                <w:szCs w:val="18"/>
                <w:color w:val="231F20"/>
              </w:rPr>
              <w:t>Chief Operating and Financial Officer and</w:t>
            </w:r>
          </w:p>
        </w:tc>
        <w:tc>
          <w:tcPr>
            <w:tcW w:w="3180" w:type="dxa"/>
            <w:vAlign w:val="bottom"/>
          </w:tcPr>
          <w:p>
            <w:pPr>
              <w:ind w:left="2120"/>
              <w:spacing w:after="0"/>
              <w:rPr>
                <w:sz w:val="20"/>
                <w:szCs w:val="20"/>
                <w:color w:val="auto"/>
              </w:rPr>
            </w:pPr>
            <w:r>
              <w:rPr>
                <w:rFonts w:ascii="Arial" w:cs="Arial" w:eastAsia="Arial" w:hAnsi="Arial"/>
                <w:sz w:val="18"/>
                <w:szCs w:val="18"/>
                <w:color w:val="231F20"/>
                <w:w w:val="90"/>
              </w:rPr>
              <w:t>March 8, 2018</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231F20"/>
              </w:rPr>
              <w:t>Executive Vice President (principal</w:t>
            </w:r>
          </w:p>
        </w:tc>
        <w:tc>
          <w:tcPr>
            <w:tcW w:w="3180" w:type="dxa"/>
            <w:vAlign w:val="bottom"/>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231F20"/>
              </w:rPr>
              <w:t>financial and accounting officer)</w:t>
            </w:r>
          </w:p>
        </w:tc>
        <w:tc>
          <w:tcPr>
            <w:tcW w:w="3180" w:type="dxa"/>
            <w:vAlign w:val="bottom"/>
          </w:tcPr>
          <w:p>
            <w:pPr>
              <w:spacing w:after="0"/>
              <w:rPr>
                <w:sz w:val="20"/>
                <w:szCs w:val="20"/>
                <w:color w:val="auto"/>
              </w:rPr>
            </w:pPr>
          </w:p>
        </w:tc>
      </w:tr>
      <w:tr>
        <w:trPr>
          <w:trHeight w:val="338"/>
        </w:trPr>
        <w:tc>
          <w:tcPr>
            <w:tcW w:w="41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3180" w:type="dxa"/>
            <w:vAlign w:val="bottom"/>
          </w:tcPr>
          <w:p>
            <w:pPr>
              <w:ind w:left="2120"/>
              <w:spacing w:after="0"/>
              <w:rPr>
                <w:sz w:val="20"/>
                <w:szCs w:val="20"/>
                <w:color w:val="auto"/>
              </w:rPr>
            </w:pPr>
            <w:r>
              <w:rPr>
                <w:rFonts w:ascii="Arial" w:cs="Arial" w:eastAsia="Arial" w:hAnsi="Arial"/>
                <w:sz w:val="18"/>
                <w:szCs w:val="18"/>
                <w:color w:val="231F20"/>
                <w:w w:val="90"/>
              </w:rPr>
              <w:t>March 8, 2018</w:t>
            </w:r>
          </w:p>
        </w:tc>
      </w:tr>
      <w:tr>
        <w:trPr>
          <w:trHeight w:val="567"/>
        </w:trPr>
        <w:tc>
          <w:tcPr>
            <w:tcW w:w="41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3180" w:type="dxa"/>
            <w:vAlign w:val="bottom"/>
          </w:tcPr>
          <w:p>
            <w:pPr>
              <w:ind w:left="2120"/>
              <w:spacing w:after="0"/>
              <w:rPr>
                <w:sz w:val="20"/>
                <w:szCs w:val="20"/>
                <w:color w:val="auto"/>
              </w:rPr>
            </w:pPr>
            <w:r>
              <w:rPr>
                <w:rFonts w:ascii="Arial" w:cs="Arial" w:eastAsia="Arial" w:hAnsi="Arial"/>
                <w:sz w:val="18"/>
                <w:szCs w:val="18"/>
                <w:color w:val="231F20"/>
                <w:w w:val="90"/>
              </w:rPr>
              <w:t>March 8, 2018</w:t>
            </w:r>
          </w:p>
        </w:tc>
      </w:tr>
      <w:tr>
        <w:trPr>
          <w:trHeight w:val="567"/>
        </w:trPr>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80" w:type="dxa"/>
            <w:vAlign w:val="bottom"/>
          </w:tcPr>
          <w:p>
            <w:pPr>
              <w:ind w:left="2120"/>
              <w:spacing w:after="0"/>
              <w:rPr>
                <w:sz w:val="20"/>
                <w:szCs w:val="20"/>
                <w:color w:val="auto"/>
              </w:rPr>
            </w:pPr>
            <w:r>
              <w:rPr>
                <w:rFonts w:ascii="Arial" w:cs="Arial" w:eastAsia="Arial" w:hAnsi="Arial"/>
                <w:sz w:val="18"/>
                <w:szCs w:val="18"/>
                <w:color w:val="231F20"/>
                <w:w w:val="90"/>
              </w:rPr>
              <w:t>March 8, 2018</w:t>
            </w:r>
          </w:p>
        </w:tc>
      </w:tr>
      <w:tr>
        <w:trPr>
          <w:trHeight w:val="567"/>
        </w:trPr>
        <w:tc>
          <w:tcPr>
            <w:tcW w:w="41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3180" w:type="dxa"/>
            <w:vAlign w:val="bottom"/>
          </w:tcPr>
          <w:p>
            <w:pPr>
              <w:ind w:left="2120"/>
              <w:spacing w:after="0"/>
              <w:rPr>
                <w:sz w:val="20"/>
                <w:szCs w:val="20"/>
                <w:color w:val="auto"/>
              </w:rPr>
            </w:pPr>
            <w:r>
              <w:rPr>
                <w:rFonts w:ascii="Arial" w:cs="Arial" w:eastAsia="Arial" w:hAnsi="Arial"/>
                <w:sz w:val="18"/>
                <w:szCs w:val="18"/>
                <w:color w:val="231F20"/>
                <w:w w:val="90"/>
              </w:rPr>
              <w:t>March 8, 2018</w:t>
            </w:r>
          </w:p>
        </w:tc>
      </w:tr>
      <w:tr>
        <w:trPr>
          <w:trHeight w:val="567"/>
        </w:trPr>
        <w:tc>
          <w:tcPr>
            <w:tcW w:w="41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3180" w:type="dxa"/>
            <w:vAlign w:val="bottom"/>
          </w:tcPr>
          <w:p>
            <w:pPr>
              <w:ind w:left="2120"/>
              <w:spacing w:after="0"/>
              <w:rPr>
                <w:sz w:val="20"/>
                <w:szCs w:val="20"/>
                <w:color w:val="auto"/>
              </w:rPr>
            </w:pPr>
            <w:r>
              <w:rPr>
                <w:rFonts w:ascii="Arial" w:cs="Arial" w:eastAsia="Arial" w:hAnsi="Arial"/>
                <w:sz w:val="18"/>
                <w:szCs w:val="18"/>
                <w:color w:val="231F20"/>
                <w:w w:val="90"/>
              </w:rPr>
              <w:t>March 8, 2018</w:t>
            </w:r>
          </w:p>
        </w:tc>
      </w:tr>
      <w:tr>
        <w:trPr>
          <w:trHeight w:val="567"/>
        </w:trPr>
        <w:tc>
          <w:tcPr>
            <w:tcW w:w="41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3180" w:type="dxa"/>
            <w:vAlign w:val="bottom"/>
          </w:tcPr>
          <w:p>
            <w:pPr>
              <w:ind w:left="2120"/>
              <w:spacing w:after="0"/>
              <w:rPr>
                <w:sz w:val="20"/>
                <w:szCs w:val="20"/>
                <w:color w:val="auto"/>
              </w:rPr>
            </w:pPr>
            <w:r>
              <w:rPr>
                <w:rFonts w:ascii="Arial" w:cs="Arial" w:eastAsia="Arial" w:hAnsi="Arial"/>
                <w:sz w:val="18"/>
                <w:szCs w:val="18"/>
                <w:color w:val="231F20"/>
                <w:w w:val="90"/>
              </w:rPr>
              <w:t>March 8, 2018</w:t>
            </w:r>
          </w:p>
        </w:tc>
      </w:tr>
      <w:tr>
        <w:trPr>
          <w:trHeight w:val="567"/>
        </w:trPr>
        <w:tc>
          <w:tcPr>
            <w:tcW w:w="41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3180" w:type="dxa"/>
            <w:vAlign w:val="bottom"/>
          </w:tcPr>
          <w:p>
            <w:pPr>
              <w:ind w:left="2120"/>
              <w:spacing w:after="0"/>
              <w:rPr>
                <w:sz w:val="20"/>
                <w:szCs w:val="20"/>
                <w:color w:val="auto"/>
              </w:rPr>
            </w:pPr>
            <w:r>
              <w:rPr>
                <w:rFonts w:ascii="Arial" w:cs="Arial" w:eastAsia="Arial" w:hAnsi="Arial"/>
                <w:sz w:val="18"/>
                <w:szCs w:val="18"/>
                <w:color w:val="231F20"/>
                <w:w w:val="90"/>
              </w:rPr>
              <w:t>March 8, 2018</w:t>
            </w:r>
          </w:p>
        </w:tc>
      </w:tr>
    </w:tbl>
    <w:p>
      <w:pPr>
        <w:sectPr>
          <w:pgSz w:w="11900" w:h="16838" w:orient="portrait"/>
          <w:cols w:equalWidth="0" w:num="2">
            <w:col w:w="3400" w:space="720"/>
            <w:col w:w="7300"/>
          </w:cols>
          <w:pgMar w:left="240" w:top="553" w:right="2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10.8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213"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This Second Amendment (the “</w:t>
      </w:r>
      <w:r>
        <w:rPr>
          <w:rFonts w:ascii="Arial" w:cs="Arial" w:eastAsia="Arial" w:hAnsi="Arial"/>
          <w:sz w:val="20"/>
          <w:szCs w:val="20"/>
          <w:u w:val="single" w:color="auto"/>
          <w:color w:val="auto"/>
        </w:rPr>
        <w:t>Second Amendment</w:t>
      </w:r>
      <w:r>
        <w:rPr>
          <w:rFonts w:ascii="Arial" w:cs="Arial" w:eastAsia="Arial" w:hAnsi="Arial"/>
          <w:sz w:val="20"/>
          <w:szCs w:val="20"/>
          <w:color w:val="auto"/>
        </w:rPr>
        <w:t>”) to that certain Employment Agreement between Seres Therapeutics, Inc., a Delaware corporation (together with any successor thereto, the “</w:t>
      </w:r>
      <w:r>
        <w:rPr>
          <w:rFonts w:ascii="Arial" w:cs="Arial" w:eastAsia="Arial" w:hAnsi="Arial"/>
          <w:sz w:val="20"/>
          <w:szCs w:val="20"/>
          <w:u w:val="single" w:color="auto"/>
          <w:color w:val="auto"/>
        </w:rPr>
        <w:t>Company</w:t>
      </w:r>
      <w:r>
        <w:rPr>
          <w:rFonts w:ascii="Arial" w:cs="Arial" w:eastAsia="Arial" w:hAnsi="Arial"/>
          <w:sz w:val="20"/>
          <w:szCs w:val="20"/>
          <w:color w:val="auto"/>
        </w:rPr>
        <w:t>”), and Roger J. Pomerantz, M.D. (the “</w:t>
      </w:r>
      <w:r>
        <w:rPr>
          <w:rFonts w:ascii="Arial" w:cs="Arial" w:eastAsia="Arial" w:hAnsi="Arial"/>
          <w:sz w:val="20"/>
          <w:szCs w:val="20"/>
          <w:u w:val="single" w:color="auto"/>
          <w:color w:val="auto"/>
        </w:rPr>
        <w:t>Executive</w:t>
      </w:r>
      <w:r>
        <w:rPr>
          <w:rFonts w:ascii="Arial" w:cs="Arial" w:eastAsia="Arial" w:hAnsi="Arial"/>
          <w:sz w:val="20"/>
          <w:szCs w:val="20"/>
          <w:color w:val="auto"/>
        </w:rPr>
        <w:t>”) dated as of June 12, 2015, as amended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is made as of March 7, 2018 (the “</w:t>
      </w:r>
      <w:r>
        <w:rPr>
          <w:rFonts w:ascii="Arial" w:cs="Arial" w:eastAsia="Arial" w:hAnsi="Arial"/>
          <w:sz w:val="20"/>
          <w:szCs w:val="20"/>
          <w:u w:val="single" w:color="auto"/>
          <w:color w:val="auto"/>
        </w:rPr>
        <w:t>Amendment Date</w:t>
      </w:r>
      <w:r>
        <w:rPr>
          <w:rFonts w:ascii="Arial" w:cs="Arial" w:eastAsia="Arial" w:hAnsi="Arial"/>
          <w:sz w:val="20"/>
          <w:szCs w:val="20"/>
          <w:color w:val="auto"/>
        </w:rPr>
        <w:t>”), by and between the Company and the Executive.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the Company and the Executive desire to amend the terms of the Employment Agreement as set forth herein.</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NOW, THEREFORE, for good and valuable consideration, the receipt and sufficiency of which are hereby acknowledged,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Company and the Executive hereby agree to the following:</w:t>
      </w:r>
    </w:p>
    <w:p>
      <w:pPr>
        <w:spacing w:after="0" w:line="200" w:lineRule="exact"/>
        <w:rPr>
          <w:sz w:val="20"/>
          <w:szCs w:val="20"/>
          <w:color w:val="auto"/>
        </w:rPr>
      </w:pPr>
    </w:p>
    <w:p>
      <w:pPr>
        <w:ind w:left="1680" w:hanging="795"/>
        <w:spacing w:after="0"/>
        <w:tabs>
          <w:tab w:leader="none" w:pos="16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Amendment to the Employment Agreement</w:t>
      </w:r>
      <w:r>
        <w:rPr>
          <w:rFonts w:ascii="Arial" w:cs="Arial" w:eastAsia="Arial" w:hAnsi="Arial"/>
          <w:sz w:val="18"/>
          <w:szCs w:val="18"/>
          <w:color w:val="auto"/>
        </w:rPr>
        <w:t>. Effective as of the Amendment Date, the Employment Agreement is hereby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amended as follows:</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restated in its entirety to read as follows: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second sentence of Section 2(b) of the Employment Agreement is hereby amended and</w:t>
      </w:r>
    </w:p>
    <w:p>
      <w:pPr>
        <w:spacing w:after="0" w:line="445" w:lineRule="exact"/>
        <w:rPr>
          <w:sz w:val="20"/>
          <w:szCs w:val="20"/>
          <w:color w:val="auto"/>
        </w:rPr>
      </w:pPr>
    </w:p>
    <w:p>
      <w:pPr>
        <w:sectPr>
          <w:pgSz w:w="11900" w:h="16838" w:orient="portrait"/>
          <w:cols w:equalWidth="0" w:num="2">
            <w:col w:w="3220" w:space="700"/>
            <w:col w:w="7500"/>
          </w:cols>
          <w:pgMar w:left="240" w:top="111" w:right="239" w:bottom="1440" w:gutter="0" w:footer="0" w:header="0"/>
          <w:type w:val="continuous"/>
        </w:sectPr>
      </w:pPr>
    </w:p>
    <w:p>
      <w:pPr>
        <w:spacing w:after="0" w:line="23" w:lineRule="exact"/>
        <w:rPr>
          <w:sz w:val="20"/>
          <w:szCs w:val="20"/>
          <w:color w:val="auto"/>
        </w:rPr>
      </w:pPr>
    </w:p>
    <w:p>
      <w:pPr>
        <w:ind w:left="880"/>
        <w:spacing w:after="0" w:line="260" w:lineRule="auto"/>
        <w:rPr>
          <w:sz w:val="20"/>
          <w:szCs w:val="20"/>
          <w:color w:val="auto"/>
        </w:rPr>
      </w:pPr>
      <w:r>
        <w:rPr>
          <w:rFonts w:ascii="Arial" w:cs="Arial" w:eastAsia="Arial" w:hAnsi="Arial"/>
          <w:sz w:val="20"/>
          <w:szCs w:val="20"/>
          <w:color w:val="auto"/>
        </w:rPr>
        <w:t>“Executive’s annual incentive compensation under such incentive program (the “</w:t>
      </w:r>
      <w:r>
        <w:rPr>
          <w:rFonts w:ascii="Arial" w:cs="Arial" w:eastAsia="Arial" w:hAnsi="Arial"/>
          <w:sz w:val="20"/>
          <w:szCs w:val="20"/>
          <w:u w:val="single" w:color="auto"/>
          <w:color w:val="auto"/>
        </w:rPr>
        <w:t>Annual Bonus</w:t>
      </w:r>
      <w:r>
        <w:rPr>
          <w:rFonts w:ascii="Arial" w:cs="Arial" w:eastAsia="Arial" w:hAnsi="Arial"/>
          <w:sz w:val="20"/>
          <w:szCs w:val="20"/>
          <w:color w:val="auto"/>
        </w:rPr>
        <w:t>”) shall be targeted at 55% of Executive’s Annual Base Salary.”</w:t>
      </w:r>
    </w:p>
    <w:p>
      <w:pPr>
        <w:spacing w:after="0" w:line="177" w:lineRule="exact"/>
        <w:rPr>
          <w:sz w:val="20"/>
          <w:szCs w:val="20"/>
          <w:color w:val="auto"/>
        </w:rPr>
      </w:pPr>
    </w:p>
    <w:p>
      <w:pPr>
        <w:ind w:right="20" w:firstLine="885"/>
        <w:spacing w:after="0" w:line="260" w:lineRule="auto"/>
        <w:tabs>
          <w:tab w:leader="none" w:pos="1674"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References</w:t>
      </w:r>
      <w:r>
        <w:rPr>
          <w:rFonts w:ascii="Arial" w:cs="Arial" w:eastAsia="Arial" w:hAnsi="Arial"/>
          <w:sz w:val="20"/>
          <w:szCs w:val="20"/>
          <w:color w:val="auto"/>
        </w:rPr>
        <w:t>. The references to “this Agreement” in the Employment Agreement shall mean the Employment Agreement, as amended by this First Amendment.</w:t>
      </w:r>
    </w:p>
    <w:p>
      <w:pPr>
        <w:spacing w:after="0" w:line="176" w:lineRule="exact"/>
        <w:rPr>
          <w:rFonts w:ascii="Arial" w:cs="Arial" w:eastAsia="Arial" w:hAnsi="Arial"/>
          <w:sz w:val="20"/>
          <w:szCs w:val="20"/>
          <w:color w:val="auto"/>
        </w:rPr>
      </w:pPr>
    </w:p>
    <w:p>
      <w:pPr>
        <w:ind w:firstLine="885"/>
        <w:spacing w:after="0" w:line="260" w:lineRule="auto"/>
        <w:tabs>
          <w:tab w:leader="none" w:pos="1674"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No Other Amendment</w:t>
      </w:r>
      <w:r>
        <w:rPr>
          <w:rFonts w:ascii="Arial" w:cs="Arial" w:eastAsia="Arial" w:hAnsi="Arial"/>
          <w:sz w:val="20"/>
          <w:szCs w:val="20"/>
          <w:color w:val="auto"/>
        </w:rPr>
        <w:t>. Except as expressly set forth in this First Amendment, the Employment Agreement shall remain unchanged and shall continue in full force and effect according to its terms.</w:t>
      </w:r>
    </w:p>
    <w:p>
      <w:pPr>
        <w:spacing w:after="0" w:line="176" w:lineRule="exact"/>
        <w:rPr>
          <w:rFonts w:ascii="Arial" w:cs="Arial" w:eastAsia="Arial" w:hAnsi="Arial"/>
          <w:sz w:val="20"/>
          <w:szCs w:val="20"/>
          <w:color w:val="auto"/>
        </w:rPr>
      </w:pPr>
    </w:p>
    <w:p>
      <w:pPr>
        <w:ind w:firstLine="885"/>
        <w:spacing w:after="0" w:line="260" w:lineRule="auto"/>
        <w:tabs>
          <w:tab w:leader="none" w:pos="1674"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First Amendment may be executed in several counterparts, each of which shall be deemed an original and all of which together shall constitute one document.</w:t>
      </w:r>
    </w:p>
    <w:p>
      <w:pPr>
        <w:spacing w:after="0" w:line="176" w:lineRule="exact"/>
        <w:rPr>
          <w:rFonts w:ascii="Arial" w:cs="Arial" w:eastAsia="Arial" w:hAnsi="Arial"/>
          <w:sz w:val="20"/>
          <w:szCs w:val="20"/>
          <w:color w:val="auto"/>
        </w:rPr>
      </w:pPr>
    </w:p>
    <w:p>
      <w:pPr>
        <w:jc w:val="both"/>
        <w:ind w:firstLine="885"/>
        <w:spacing w:after="0" w:line="250" w:lineRule="auto"/>
        <w:tabs>
          <w:tab w:leader="none" w:pos="1674"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First Amendment shall be governed by and construed in accordance with the laws of the Commonwealth of Massachusetts (without giving effect to any choice or conflict of laws provision or rule that would cause the application of the laws of any other jurisdiction).</w:t>
      </w:r>
    </w:p>
    <w:p>
      <w:pPr>
        <w:spacing w:after="0" w:line="186" w:lineRule="exact"/>
        <w:rPr>
          <w:rFonts w:ascii="Arial" w:cs="Arial" w:eastAsia="Arial" w:hAnsi="Arial"/>
          <w:sz w:val="20"/>
          <w:szCs w:val="20"/>
          <w:color w:val="auto"/>
        </w:rPr>
      </w:pPr>
    </w:p>
    <w:p>
      <w:pPr>
        <w:ind w:right="20" w:firstLine="885"/>
        <w:spacing w:after="0" w:line="260" w:lineRule="auto"/>
        <w:tabs>
          <w:tab w:leader="none" w:pos="1674"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First Amendment are for reference purposes only and will not in any way affect the meaning or interpretation of this First Amendment.</w:t>
      </w:r>
    </w:p>
    <w:p>
      <w:pPr>
        <w:spacing w:after="0" w:line="176" w:lineRule="exact"/>
        <w:rPr>
          <w:rFonts w:ascii="Arial" w:cs="Arial" w:eastAsia="Arial" w:hAnsi="Arial"/>
          <w:sz w:val="20"/>
          <w:szCs w:val="20"/>
          <w:color w:val="auto"/>
        </w:rPr>
      </w:pPr>
    </w:p>
    <w:p>
      <w:pPr>
        <w:ind w:firstLine="885"/>
        <w:spacing w:after="0" w:line="260" w:lineRule="auto"/>
        <w:tabs>
          <w:tab w:leader="none" w:pos="1674"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First Amendment constitutes the entire agreement among the parties concerning the subject matter hereof and supersedes any prior representations, understandings 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20"/>
          <w:szCs w:val="20"/>
          <w:color w:val="auto"/>
        </w:rPr>
        <w:t>IN WITNESS WHEREOF, the parties have executed this Second Amendment as of the Amendment Date.</w:t>
      </w:r>
    </w:p>
    <w:p>
      <w:pPr>
        <w:spacing w:after="0" w:line="223"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SERES THERAPEUTICS, INC.</w:t>
      </w:r>
    </w:p>
    <w:p>
      <w:pPr>
        <w:spacing w:after="0" w:line="235" w:lineRule="exact"/>
        <w:rPr>
          <w:sz w:val="20"/>
          <w:szCs w:val="20"/>
          <w:color w:val="auto"/>
        </w:rPr>
      </w:pPr>
    </w:p>
    <w:tbl>
      <w:tblPr>
        <w:tblLayout w:type="fixed"/>
        <w:tblInd w:w="540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Eric D. Shaff</w:t>
            </w:r>
          </w:p>
        </w:tc>
      </w:tr>
      <w:tr>
        <w:trPr>
          <w:trHeight w:val="206"/>
        </w:trPr>
        <w:tc>
          <w:tcPr>
            <w:tcW w:w="8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260" w:type="dxa"/>
            <w:vAlign w:val="bottom"/>
          </w:tcPr>
          <w:p>
            <w:pPr>
              <w:spacing w:after="0" w:line="207" w:lineRule="exact"/>
              <w:rPr>
                <w:sz w:val="20"/>
                <w:szCs w:val="20"/>
                <w:color w:val="auto"/>
              </w:rPr>
            </w:pPr>
            <w:r>
              <w:rPr>
                <w:rFonts w:ascii="Arial" w:cs="Arial" w:eastAsia="Arial" w:hAnsi="Arial"/>
                <w:sz w:val="20"/>
                <w:szCs w:val="20"/>
                <w:color w:val="auto"/>
              </w:rPr>
              <w:t>Eric D. Shaff</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260" w:type="dxa"/>
            <w:vAlign w:val="bottom"/>
          </w:tcPr>
          <w:p>
            <w:pPr>
              <w:spacing w:after="0"/>
              <w:rPr>
                <w:sz w:val="20"/>
                <w:szCs w:val="20"/>
                <w:color w:val="auto"/>
              </w:rPr>
            </w:pPr>
            <w:r>
              <w:rPr>
                <w:rFonts w:ascii="Arial" w:cs="Arial" w:eastAsia="Arial" w:hAnsi="Arial"/>
                <w:sz w:val="20"/>
                <w:szCs w:val="20"/>
                <w:color w:val="auto"/>
              </w:rPr>
              <w:t>Executive Vice President, Chief Operating and</w:t>
            </w:r>
          </w:p>
        </w:tc>
      </w:tr>
      <w:tr>
        <w:trPr>
          <w:trHeight w:val="250"/>
        </w:trPr>
        <w:tc>
          <w:tcPr>
            <w:tcW w:w="880" w:type="dxa"/>
            <w:vAlign w:val="bottom"/>
          </w:tcPr>
          <w:p>
            <w:pPr>
              <w:spacing w:after="0"/>
              <w:rPr>
                <w:sz w:val="21"/>
                <w:szCs w:val="21"/>
                <w:color w:val="auto"/>
              </w:rPr>
            </w:pPr>
          </w:p>
        </w:tc>
        <w:tc>
          <w:tcPr>
            <w:tcW w:w="4260" w:type="dxa"/>
            <w:vAlign w:val="bottom"/>
          </w:tcPr>
          <w:p>
            <w:pPr>
              <w:spacing w:after="0"/>
              <w:rPr>
                <w:sz w:val="20"/>
                <w:szCs w:val="20"/>
                <w:color w:val="auto"/>
              </w:rPr>
            </w:pPr>
            <w:r>
              <w:rPr>
                <w:rFonts w:ascii="Arial" w:cs="Arial" w:eastAsia="Arial" w:hAnsi="Arial"/>
                <w:sz w:val="20"/>
                <w:szCs w:val="20"/>
                <w:color w:val="auto"/>
              </w:rPr>
              <w:t>Financial Officer</w:t>
            </w:r>
          </w:p>
        </w:tc>
      </w:tr>
    </w:tbl>
    <w:p>
      <w:pPr>
        <w:spacing w:after="0" w:line="203"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EXECUTIVE</w:t>
      </w:r>
    </w:p>
    <w:p>
      <w:pPr>
        <w:spacing w:after="0" w:line="235"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/S/ Roger J. Pomerantz,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10160</wp:posOffset>
            </wp:positionV>
            <wp:extent cx="28898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20"/>
          <w:szCs w:val="20"/>
          <w:color w:val="auto"/>
        </w:rPr>
        <w:t>Roger J. Pomerantz, M.D.</w:t>
      </w:r>
    </w:p>
    <w:p>
      <w:pPr>
        <w:spacing w:after="0" w:line="200" w:lineRule="exact"/>
        <w:rPr>
          <w:sz w:val="20"/>
          <w:szCs w:val="20"/>
          <w:color w:val="auto"/>
        </w:rPr>
      </w:pPr>
    </w:p>
    <w:p>
      <w:pPr>
        <w:spacing w:after="0" w:line="238"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40"/>
          </w:cols>
          <w:pgMar w:left="1120" w:top="352"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10.11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213"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This Second Amendment (the “</w:t>
      </w:r>
      <w:r>
        <w:rPr>
          <w:rFonts w:ascii="Arial" w:cs="Arial" w:eastAsia="Arial" w:hAnsi="Arial"/>
          <w:sz w:val="20"/>
          <w:szCs w:val="20"/>
          <w:u w:val="single" w:color="auto"/>
          <w:color w:val="auto"/>
        </w:rPr>
        <w:t>Second Amendment</w:t>
      </w:r>
      <w:r>
        <w:rPr>
          <w:rFonts w:ascii="Arial" w:cs="Arial" w:eastAsia="Arial" w:hAnsi="Arial"/>
          <w:sz w:val="20"/>
          <w:szCs w:val="20"/>
          <w:color w:val="auto"/>
        </w:rPr>
        <w:t>”) to that certain Employment Agreement between Seres Therapeutics, Inc., a Delaware corporation (together with any successor thereto, the “</w:t>
      </w:r>
      <w:r>
        <w:rPr>
          <w:rFonts w:ascii="Arial" w:cs="Arial" w:eastAsia="Arial" w:hAnsi="Arial"/>
          <w:sz w:val="20"/>
          <w:szCs w:val="20"/>
          <w:u w:val="single" w:color="auto"/>
          <w:color w:val="auto"/>
        </w:rPr>
        <w:t>Company</w:t>
      </w:r>
      <w:r>
        <w:rPr>
          <w:rFonts w:ascii="Arial" w:cs="Arial" w:eastAsia="Arial" w:hAnsi="Arial"/>
          <w:sz w:val="20"/>
          <w:szCs w:val="20"/>
          <w:color w:val="auto"/>
        </w:rPr>
        <w:t>”), and Eric D. Shaff (the “</w:t>
      </w:r>
      <w:r>
        <w:rPr>
          <w:rFonts w:ascii="Arial" w:cs="Arial" w:eastAsia="Arial" w:hAnsi="Arial"/>
          <w:sz w:val="20"/>
          <w:szCs w:val="20"/>
          <w:u w:val="single" w:color="auto"/>
          <w:color w:val="auto"/>
        </w:rPr>
        <w:t>Executive</w:t>
      </w:r>
      <w:r>
        <w:rPr>
          <w:rFonts w:ascii="Arial" w:cs="Arial" w:eastAsia="Arial" w:hAnsi="Arial"/>
          <w:sz w:val="20"/>
          <w:szCs w:val="20"/>
          <w:color w:val="auto"/>
        </w:rPr>
        <w:t>”) dated as of June 16, 2015, as amended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is made as of March 7, 2018 (the “</w:t>
      </w:r>
      <w:r>
        <w:rPr>
          <w:rFonts w:ascii="Arial" w:cs="Arial" w:eastAsia="Arial" w:hAnsi="Arial"/>
          <w:sz w:val="20"/>
          <w:szCs w:val="20"/>
          <w:u w:val="single" w:color="auto"/>
          <w:color w:val="auto"/>
        </w:rPr>
        <w:t>Amendment Date</w:t>
      </w:r>
      <w:r>
        <w:rPr>
          <w:rFonts w:ascii="Arial" w:cs="Arial" w:eastAsia="Arial" w:hAnsi="Arial"/>
          <w:sz w:val="20"/>
          <w:szCs w:val="20"/>
          <w:color w:val="auto"/>
        </w:rPr>
        <w:t>”), by and between the Company and the Executive.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the Company and the Executive desire to amend the terms of the Employment Agreement as set forth herein.</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NOW, THEREFORE, for good and valuable consideration, the receipt and sufficiency of which are hereby acknowledged,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Company and the Executive hereby agree to the following:</w:t>
      </w:r>
    </w:p>
    <w:p>
      <w:pPr>
        <w:spacing w:after="0" w:line="200" w:lineRule="exact"/>
        <w:rPr>
          <w:sz w:val="20"/>
          <w:szCs w:val="20"/>
          <w:color w:val="auto"/>
        </w:rPr>
      </w:pPr>
    </w:p>
    <w:p>
      <w:pPr>
        <w:ind w:left="1680" w:hanging="795"/>
        <w:spacing w:after="0"/>
        <w:tabs>
          <w:tab w:leader="none" w:pos="16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Amendment to the Employment Agreement</w:t>
      </w:r>
      <w:r>
        <w:rPr>
          <w:rFonts w:ascii="Arial" w:cs="Arial" w:eastAsia="Arial" w:hAnsi="Arial"/>
          <w:sz w:val="18"/>
          <w:szCs w:val="18"/>
          <w:color w:val="auto"/>
        </w:rPr>
        <w:t>. Effective as of the Amendment Date, the Employment Agreement is hereby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amended as follows:</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restated in its entirety to read as follows: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second sentence of Section 2(b) of the Employment Agreement is hereby amended and</w:t>
      </w:r>
    </w:p>
    <w:p>
      <w:pPr>
        <w:spacing w:after="0" w:line="445" w:lineRule="exact"/>
        <w:rPr>
          <w:sz w:val="20"/>
          <w:szCs w:val="20"/>
          <w:color w:val="auto"/>
        </w:rPr>
      </w:pPr>
    </w:p>
    <w:p>
      <w:pPr>
        <w:sectPr>
          <w:pgSz w:w="11900" w:h="16838" w:orient="portrait"/>
          <w:cols w:equalWidth="0" w:num="2">
            <w:col w:w="3220" w:space="700"/>
            <w:col w:w="7500"/>
          </w:cols>
          <w:pgMar w:left="240" w:top="111" w:right="239" w:bottom="1440" w:gutter="0" w:footer="0" w:header="0"/>
          <w:type w:val="continuous"/>
        </w:sectPr>
      </w:pPr>
    </w:p>
    <w:p>
      <w:pPr>
        <w:spacing w:after="0" w:line="23" w:lineRule="exact"/>
        <w:rPr>
          <w:sz w:val="20"/>
          <w:szCs w:val="20"/>
          <w:color w:val="auto"/>
        </w:rPr>
      </w:pPr>
    </w:p>
    <w:p>
      <w:pPr>
        <w:ind w:left="880"/>
        <w:spacing w:after="0" w:line="260" w:lineRule="auto"/>
        <w:rPr>
          <w:sz w:val="20"/>
          <w:szCs w:val="20"/>
          <w:color w:val="auto"/>
        </w:rPr>
      </w:pPr>
      <w:r>
        <w:rPr>
          <w:rFonts w:ascii="Arial" w:cs="Arial" w:eastAsia="Arial" w:hAnsi="Arial"/>
          <w:sz w:val="20"/>
          <w:szCs w:val="20"/>
          <w:color w:val="auto"/>
        </w:rPr>
        <w:t>“Executive’s annual incentive compensation under such incentive program (the “</w:t>
      </w:r>
      <w:r>
        <w:rPr>
          <w:rFonts w:ascii="Arial" w:cs="Arial" w:eastAsia="Arial" w:hAnsi="Arial"/>
          <w:sz w:val="20"/>
          <w:szCs w:val="20"/>
          <w:u w:val="single" w:color="auto"/>
          <w:color w:val="auto"/>
        </w:rPr>
        <w:t>Annual Bonus</w:t>
      </w:r>
      <w:r>
        <w:rPr>
          <w:rFonts w:ascii="Arial" w:cs="Arial" w:eastAsia="Arial" w:hAnsi="Arial"/>
          <w:sz w:val="20"/>
          <w:szCs w:val="20"/>
          <w:color w:val="auto"/>
        </w:rPr>
        <w:t>”) shall be targeted at 40% of Executive’s Annual Base Salary.”</w:t>
      </w:r>
    </w:p>
    <w:p>
      <w:pPr>
        <w:sectPr>
          <w:pgSz w:w="11900" w:h="16838" w:orient="portrait"/>
          <w:cols w:equalWidth="0" w:num="1">
            <w:col w:w="11420"/>
          </w:cols>
          <w:pgMar w:left="240" w:top="111" w:right="239" w:bottom="1440" w:gutter="0" w:footer="0" w:header="0"/>
          <w:type w:val="continuous"/>
        </w:sectPr>
      </w:pPr>
    </w:p>
    <w:p>
      <w:pPr>
        <w:spacing w:after="0" w:line="17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(b)</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restated in its entirety to read as follows: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second sentence of Section 1(c) of the Employment Agreement is hereby amended and</w:t>
      </w:r>
    </w:p>
    <w:p>
      <w:pPr>
        <w:spacing w:after="0" w:line="445" w:lineRule="exact"/>
        <w:rPr>
          <w:sz w:val="20"/>
          <w:szCs w:val="20"/>
          <w:color w:val="auto"/>
        </w:rPr>
      </w:pPr>
    </w:p>
    <w:p>
      <w:pPr>
        <w:sectPr>
          <w:pgSz w:w="11900" w:h="16838" w:orient="portrait"/>
          <w:cols w:equalWidth="0" w:num="2">
            <w:col w:w="3220" w:space="720"/>
            <w:col w:w="7480"/>
          </w:cols>
          <w:pgMar w:left="240" w:top="111" w:right="239" w:bottom="1440" w:gutter="0" w:footer="0" w:header="0"/>
          <w:type w:val="continuous"/>
        </w:sectPr>
      </w:pPr>
    </w:p>
    <w:p>
      <w:pPr>
        <w:spacing w:after="0" w:line="36" w:lineRule="exact"/>
        <w:rPr>
          <w:sz w:val="20"/>
          <w:szCs w:val="20"/>
          <w:color w:val="auto"/>
        </w:rPr>
      </w:pPr>
    </w:p>
    <w:p>
      <w:pPr>
        <w:jc w:val="both"/>
        <w:ind w:left="880"/>
        <w:spacing w:after="0" w:line="250" w:lineRule="auto"/>
        <w:rPr>
          <w:sz w:val="20"/>
          <w:szCs w:val="20"/>
          <w:color w:val="auto"/>
        </w:rPr>
      </w:pPr>
      <w:r>
        <w:rPr>
          <w:rFonts w:ascii="Arial" w:cs="Arial" w:eastAsia="Arial" w:hAnsi="Arial"/>
          <w:sz w:val="20"/>
          <w:szCs w:val="20"/>
          <w:color w:val="auto"/>
        </w:rPr>
        <w:t>“Executive shall serve as Chief Operating and Financial Officer and Executive Vice President of the Company with such responsibilities, duties and authority normally associated with such positions and as may from time to time be assigned to Executive by the Chief Executive Officer of the Company.”</w:t>
      </w:r>
    </w:p>
    <w:p>
      <w:pPr>
        <w:spacing w:after="0" w:line="186" w:lineRule="exact"/>
        <w:rPr>
          <w:sz w:val="20"/>
          <w:szCs w:val="20"/>
          <w:color w:val="auto"/>
        </w:rPr>
      </w:pPr>
    </w:p>
    <w:p>
      <w:pPr>
        <w:ind w:right="20" w:firstLine="885"/>
        <w:spacing w:after="0" w:line="260" w:lineRule="auto"/>
        <w:tabs>
          <w:tab w:leader="none" w:pos="1674"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References</w:t>
      </w:r>
      <w:r>
        <w:rPr>
          <w:rFonts w:ascii="Arial" w:cs="Arial" w:eastAsia="Arial" w:hAnsi="Arial"/>
          <w:sz w:val="20"/>
          <w:szCs w:val="20"/>
          <w:color w:val="auto"/>
        </w:rPr>
        <w:t>. The references to “this Agreement” in the Employment Agreement shall mean the Employment Agreement, as amended by this First Amendment.</w:t>
      </w:r>
    </w:p>
    <w:p>
      <w:pPr>
        <w:spacing w:after="0" w:line="176" w:lineRule="exact"/>
        <w:rPr>
          <w:rFonts w:ascii="Arial" w:cs="Arial" w:eastAsia="Arial" w:hAnsi="Arial"/>
          <w:sz w:val="20"/>
          <w:szCs w:val="20"/>
          <w:color w:val="auto"/>
        </w:rPr>
      </w:pPr>
    </w:p>
    <w:p>
      <w:pPr>
        <w:ind w:firstLine="885"/>
        <w:spacing w:after="0" w:line="260" w:lineRule="auto"/>
        <w:tabs>
          <w:tab w:leader="none" w:pos="1674"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No Other Amendment</w:t>
      </w:r>
      <w:r>
        <w:rPr>
          <w:rFonts w:ascii="Arial" w:cs="Arial" w:eastAsia="Arial" w:hAnsi="Arial"/>
          <w:sz w:val="20"/>
          <w:szCs w:val="20"/>
          <w:color w:val="auto"/>
        </w:rPr>
        <w:t>. Except as expressly set forth in this First Amendment, the Employment Agreement shall remain unchanged and shall continue in full force and effect according to its terms.</w:t>
      </w:r>
    </w:p>
    <w:p>
      <w:pPr>
        <w:spacing w:after="0" w:line="176" w:lineRule="exact"/>
        <w:rPr>
          <w:rFonts w:ascii="Arial" w:cs="Arial" w:eastAsia="Arial" w:hAnsi="Arial"/>
          <w:sz w:val="20"/>
          <w:szCs w:val="20"/>
          <w:color w:val="auto"/>
        </w:rPr>
      </w:pPr>
    </w:p>
    <w:p>
      <w:pPr>
        <w:ind w:firstLine="885"/>
        <w:spacing w:after="0" w:line="260" w:lineRule="auto"/>
        <w:tabs>
          <w:tab w:leader="none" w:pos="1674"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First Amendment may be executed in several counterparts, each of which shall be deemed an original and all of which together shall constitute one document.</w:t>
      </w:r>
    </w:p>
    <w:p>
      <w:pPr>
        <w:spacing w:after="0" w:line="176" w:lineRule="exact"/>
        <w:rPr>
          <w:rFonts w:ascii="Arial" w:cs="Arial" w:eastAsia="Arial" w:hAnsi="Arial"/>
          <w:sz w:val="20"/>
          <w:szCs w:val="20"/>
          <w:color w:val="auto"/>
        </w:rPr>
      </w:pPr>
    </w:p>
    <w:p>
      <w:pPr>
        <w:jc w:val="both"/>
        <w:ind w:firstLine="885"/>
        <w:spacing w:after="0" w:line="250" w:lineRule="auto"/>
        <w:tabs>
          <w:tab w:leader="none" w:pos="1674"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First Amendment shall be governed by and construed in accordance with the laws of the Commonwealth of Massachusetts (without giving effect to any choice or conflict of laws provision or rule that would cause the application of the laws of any other jurisdiction).</w:t>
      </w:r>
    </w:p>
    <w:p>
      <w:pPr>
        <w:spacing w:after="0" w:line="186" w:lineRule="exact"/>
        <w:rPr>
          <w:rFonts w:ascii="Arial" w:cs="Arial" w:eastAsia="Arial" w:hAnsi="Arial"/>
          <w:sz w:val="20"/>
          <w:szCs w:val="20"/>
          <w:color w:val="auto"/>
        </w:rPr>
      </w:pPr>
    </w:p>
    <w:p>
      <w:pPr>
        <w:ind w:right="20" w:firstLine="885"/>
        <w:spacing w:after="0" w:line="260" w:lineRule="auto"/>
        <w:tabs>
          <w:tab w:leader="none" w:pos="1674"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First Amendment are for reference purposes only and will not in any way affect the meaning or interpretation of this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120" w:name="page121"/>
    <w:bookmarkEnd w:id="120"/>
    <w:p>
      <w:pPr>
        <w:ind w:right="20" w:firstLine="885"/>
        <w:spacing w:after="0" w:line="262" w:lineRule="auto"/>
        <w:tabs>
          <w:tab w:leader="none" w:pos="1674"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First Amendment constitutes the entire agreement among the parties concerning the subject matter hereof and supersedes any prior representations, understandings or agreements.</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IN WITNESS WHEREOF, the parties have executed this Second Amendment as of the Amendment Date.</w:t>
      </w:r>
    </w:p>
    <w:p>
      <w:pPr>
        <w:spacing w:after="0" w:line="223"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auto"/>
        </w:rPr>
        <w:t>SERES THERAPEUTICS, INC.</w:t>
      </w:r>
    </w:p>
    <w:p>
      <w:pPr>
        <w:spacing w:after="0" w:line="235" w:lineRule="exact"/>
        <w:rPr>
          <w:sz w:val="20"/>
          <w:szCs w:val="20"/>
          <w:color w:val="auto"/>
        </w:rPr>
      </w:pPr>
    </w:p>
    <w:tbl>
      <w:tblPr>
        <w:tblLayout w:type="fixed"/>
        <w:tblInd w:w="628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Roger J. Pomerantz, M.D.</w:t>
            </w:r>
          </w:p>
        </w:tc>
      </w:tr>
      <w:tr>
        <w:trPr>
          <w:trHeight w:val="206"/>
        </w:trPr>
        <w:tc>
          <w:tcPr>
            <w:tcW w:w="8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260" w:type="dxa"/>
            <w:vAlign w:val="bottom"/>
          </w:tcPr>
          <w:p>
            <w:pPr>
              <w:spacing w:after="0" w:line="207" w:lineRule="exact"/>
              <w:rPr>
                <w:sz w:val="20"/>
                <w:szCs w:val="20"/>
                <w:color w:val="auto"/>
              </w:rPr>
            </w:pPr>
            <w:r>
              <w:rPr>
                <w:rFonts w:ascii="Arial" w:cs="Arial" w:eastAsia="Arial" w:hAnsi="Arial"/>
                <w:sz w:val="20"/>
                <w:szCs w:val="20"/>
                <w:color w:val="auto"/>
              </w:rPr>
              <w:t>Roger J. Pomerantz, M.D.</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260" w:type="dxa"/>
            <w:vAlign w:val="bottom"/>
          </w:tcPr>
          <w:p>
            <w:pPr>
              <w:spacing w:after="0"/>
              <w:rPr>
                <w:sz w:val="20"/>
                <w:szCs w:val="20"/>
                <w:color w:val="auto"/>
              </w:rPr>
            </w:pPr>
            <w:r>
              <w:rPr>
                <w:rFonts w:ascii="Arial" w:cs="Arial" w:eastAsia="Arial" w:hAnsi="Arial"/>
                <w:sz w:val="20"/>
                <w:szCs w:val="20"/>
                <w:color w:val="auto"/>
                <w:w w:val="93"/>
              </w:rPr>
              <w:t>President, Chief Executive Officer and Chairman of</w:t>
            </w:r>
          </w:p>
        </w:tc>
      </w:tr>
      <w:tr>
        <w:trPr>
          <w:trHeight w:val="250"/>
        </w:trPr>
        <w:tc>
          <w:tcPr>
            <w:tcW w:w="880" w:type="dxa"/>
            <w:vAlign w:val="bottom"/>
          </w:tcPr>
          <w:p>
            <w:pPr>
              <w:spacing w:after="0"/>
              <w:rPr>
                <w:sz w:val="21"/>
                <w:szCs w:val="21"/>
                <w:color w:val="auto"/>
              </w:rPr>
            </w:pPr>
          </w:p>
        </w:tc>
        <w:tc>
          <w:tcPr>
            <w:tcW w:w="4260" w:type="dxa"/>
            <w:vAlign w:val="bottom"/>
          </w:tcPr>
          <w:p>
            <w:pPr>
              <w:spacing w:after="0"/>
              <w:rPr>
                <w:sz w:val="20"/>
                <w:szCs w:val="20"/>
                <w:color w:val="auto"/>
              </w:rPr>
            </w:pPr>
            <w:r>
              <w:rPr>
                <w:rFonts w:ascii="Arial" w:cs="Arial" w:eastAsia="Arial" w:hAnsi="Arial"/>
                <w:sz w:val="20"/>
                <w:szCs w:val="20"/>
                <w:color w:val="auto"/>
              </w:rPr>
              <w:t>the Board</w:t>
            </w:r>
          </w:p>
        </w:tc>
      </w:tr>
    </w:tbl>
    <w:p>
      <w:pPr>
        <w:spacing w:after="0" w:line="203"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auto"/>
        </w:rPr>
        <w:t>EXECUTIVE</w:t>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0</wp:posOffset>
            </wp:positionV>
            <wp:extent cx="32588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0"/>
          <w:szCs w:val="20"/>
          <w:color w:val="auto"/>
        </w:rPr>
        <w:t>Eric D. Shaff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b w:val="1"/>
          <w:bCs w:val="1"/>
          <w:color w:val="auto"/>
        </w:rPr>
        <w:t>Exhibit 10.14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213"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This Second Amendment (the “</w:t>
      </w:r>
      <w:r>
        <w:rPr>
          <w:rFonts w:ascii="Arial" w:cs="Arial" w:eastAsia="Arial" w:hAnsi="Arial"/>
          <w:sz w:val="20"/>
          <w:szCs w:val="20"/>
          <w:u w:val="single" w:color="auto"/>
          <w:color w:val="auto"/>
        </w:rPr>
        <w:t>Second Amendment</w:t>
      </w:r>
      <w:r>
        <w:rPr>
          <w:rFonts w:ascii="Arial" w:cs="Arial" w:eastAsia="Arial" w:hAnsi="Arial"/>
          <w:sz w:val="20"/>
          <w:szCs w:val="20"/>
          <w:color w:val="auto"/>
        </w:rPr>
        <w:t>”) to that certain Employment Agreement between Seres Therapeutics, Inc., a Delaware corporation (together with any successor thereto, the “</w:t>
      </w:r>
      <w:r>
        <w:rPr>
          <w:rFonts w:ascii="Arial" w:cs="Arial" w:eastAsia="Arial" w:hAnsi="Arial"/>
          <w:sz w:val="20"/>
          <w:szCs w:val="20"/>
          <w:u w:val="single" w:color="auto"/>
          <w:color w:val="auto"/>
        </w:rPr>
        <w:t>Company</w:t>
      </w:r>
      <w:r>
        <w:rPr>
          <w:rFonts w:ascii="Arial" w:cs="Arial" w:eastAsia="Arial" w:hAnsi="Arial"/>
          <w:sz w:val="20"/>
          <w:szCs w:val="20"/>
          <w:color w:val="auto"/>
        </w:rPr>
        <w:t>”), and David N. Cook, Ph.D. (the “</w:t>
      </w:r>
      <w:r>
        <w:rPr>
          <w:rFonts w:ascii="Arial" w:cs="Arial" w:eastAsia="Arial" w:hAnsi="Arial"/>
          <w:sz w:val="20"/>
          <w:szCs w:val="20"/>
          <w:u w:val="single" w:color="auto"/>
          <w:color w:val="auto"/>
        </w:rPr>
        <w:t>Executive</w:t>
      </w:r>
      <w:r>
        <w:rPr>
          <w:rFonts w:ascii="Arial" w:cs="Arial" w:eastAsia="Arial" w:hAnsi="Arial"/>
          <w:sz w:val="20"/>
          <w:szCs w:val="20"/>
          <w:color w:val="auto"/>
        </w:rPr>
        <w:t>”) dated as of June 13, 2015, as amended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is made as of March 7, 2018 (the “</w:t>
      </w:r>
      <w:r>
        <w:rPr>
          <w:rFonts w:ascii="Arial" w:cs="Arial" w:eastAsia="Arial" w:hAnsi="Arial"/>
          <w:sz w:val="20"/>
          <w:szCs w:val="20"/>
          <w:u w:val="single" w:color="auto"/>
          <w:color w:val="auto"/>
        </w:rPr>
        <w:t>Amendment Date</w:t>
      </w:r>
      <w:r>
        <w:rPr>
          <w:rFonts w:ascii="Arial" w:cs="Arial" w:eastAsia="Arial" w:hAnsi="Arial"/>
          <w:sz w:val="20"/>
          <w:szCs w:val="20"/>
          <w:color w:val="auto"/>
        </w:rPr>
        <w:t>”), by and between the Company and the Executive.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the Company and the Executive desire to amend the terms of the Employment Agreement as set forth herein.</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NOW, THEREFORE, for good and valuable consideration, the receipt and sufficiency of which are hereby acknowledged,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Company and the Executive hereby agree to the following:</w:t>
      </w:r>
    </w:p>
    <w:p>
      <w:pPr>
        <w:spacing w:after="0" w:line="200" w:lineRule="exact"/>
        <w:rPr>
          <w:sz w:val="20"/>
          <w:szCs w:val="20"/>
          <w:color w:val="auto"/>
        </w:rPr>
      </w:pPr>
    </w:p>
    <w:p>
      <w:pPr>
        <w:ind w:left="1680" w:hanging="795"/>
        <w:spacing w:after="0"/>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Amendment to the Employment Agreement</w:t>
      </w:r>
      <w:r>
        <w:rPr>
          <w:rFonts w:ascii="Arial" w:cs="Arial" w:eastAsia="Arial" w:hAnsi="Arial"/>
          <w:sz w:val="18"/>
          <w:szCs w:val="18"/>
          <w:color w:val="auto"/>
        </w:rPr>
        <w:t>. Effective as of the Amendment Date, the Employment Agreement is hereby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amended as follows:</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restated in its entirety to read as follows: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second sentence of Section 2(b) of the Employment Agreement is hereby amended and</w:t>
      </w:r>
    </w:p>
    <w:p>
      <w:pPr>
        <w:spacing w:after="0" w:line="445" w:lineRule="exact"/>
        <w:rPr>
          <w:sz w:val="20"/>
          <w:szCs w:val="20"/>
          <w:color w:val="auto"/>
        </w:rPr>
      </w:pPr>
    </w:p>
    <w:p>
      <w:pPr>
        <w:sectPr>
          <w:pgSz w:w="11900" w:h="16838" w:orient="portrait"/>
          <w:cols w:equalWidth="0" w:num="2">
            <w:col w:w="3220" w:space="700"/>
            <w:col w:w="7500"/>
          </w:cols>
          <w:pgMar w:left="240" w:top="112" w:right="239" w:bottom="1440" w:gutter="0" w:footer="0" w:header="0"/>
          <w:type w:val="continuous"/>
        </w:sectPr>
      </w:pPr>
    </w:p>
    <w:p>
      <w:pPr>
        <w:spacing w:after="0" w:line="23" w:lineRule="exact"/>
        <w:rPr>
          <w:sz w:val="20"/>
          <w:szCs w:val="20"/>
          <w:color w:val="auto"/>
        </w:rPr>
      </w:pPr>
    </w:p>
    <w:p>
      <w:pPr>
        <w:ind w:left="880"/>
        <w:spacing w:after="0" w:line="260" w:lineRule="auto"/>
        <w:rPr>
          <w:sz w:val="20"/>
          <w:szCs w:val="20"/>
          <w:color w:val="auto"/>
        </w:rPr>
      </w:pPr>
      <w:r>
        <w:rPr>
          <w:rFonts w:ascii="Arial" w:cs="Arial" w:eastAsia="Arial" w:hAnsi="Arial"/>
          <w:sz w:val="20"/>
          <w:szCs w:val="20"/>
          <w:color w:val="auto"/>
        </w:rPr>
        <w:t>“Executive’s annual incentive compensation under such incentive program (the “</w:t>
      </w:r>
      <w:r>
        <w:rPr>
          <w:rFonts w:ascii="Arial" w:cs="Arial" w:eastAsia="Arial" w:hAnsi="Arial"/>
          <w:sz w:val="20"/>
          <w:szCs w:val="20"/>
          <w:u w:val="single" w:color="auto"/>
          <w:color w:val="auto"/>
        </w:rPr>
        <w:t>Annual Bonus</w:t>
      </w:r>
      <w:r>
        <w:rPr>
          <w:rFonts w:ascii="Arial" w:cs="Arial" w:eastAsia="Arial" w:hAnsi="Arial"/>
          <w:sz w:val="20"/>
          <w:szCs w:val="20"/>
          <w:color w:val="auto"/>
        </w:rPr>
        <w:t>”) shall be targeted at 40% of Executive’s Annual Base Salary.”</w:t>
      </w:r>
    </w:p>
    <w:p>
      <w:pPr>
        <w:spacing w:after="0" w:line="177" w:lineRule="exact"/>
        <w:rPr>
          <w:sz w:val="20"/>
          <w:szCs w:val="20"/>
          <w:color w:val="auto"/>
        </w:rPr>
      </w:pPr>
    </w:p>
    <w:p>
      <w:pPr>
        <w:ind w:right="20" w:firstLine="885"/>
        <w:spacing w:after="0" w:line="260" w:lineRule="auto"/>
        <w:tabs>
          <w:tab w:leader="none" w:pos="1674"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References</w:t>
      </w:r>
      <w:r>
        <w:rPr>
          <w:rFonts w:ascii="Arial" w:cs="Arial" w:eastAsia="Arial" w:hAnsi="Arial"/>
          <w:sz w:val="20"/>
          <w:szCs w:val="20"/>
          <w:color w:val="auto"/>
        </w:rPr>
        <w:t>. The references to “this Agreement” in the Employment Agreement shall mean the Employment Agreement, as amended by this First Amendment.</w:t>
      </w:r>
    </w:p>
    <w:p>
      <w:pPr>
        <w:spacing w:after="0" w:line="176" w:lineRule="exact"/>
        <w:rPr>
          <w:rFonts w:ascii="Arial" w:cs="Arial" w:eastAsia="Arial" w:hAnsi="Arial"/>
          <w:sz w:val="20"/>
          <w:szCs w:val="20"/>
          <w:color w:val="auto"/>
        </w:rPr>
      </w:pPr>
    </w:p>
    <w:p>
      <w:pPr>
        <w:ind w:firstLine="885"/>
        <w:spacing w:after="0" w:line="260" w:lineRule="auto"/>
        <w:tabs>
          <w:tab w:leader="none" w:pos="1674"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No Other Amendment</w:t>
      </w:r>
      <w:r>
        <w:rPr>
          <w:rFonts w:ascii="Arial" w:cs="Arial" w:eastAsia="Arial" w:hAnsi="Arial"/>
          <w:sz w:val="20"/>
          <w:szCs w:val="20"/>
          <w:color w:val="auto"/>
        </w:rPr>
        <w:t>. Except as expressly set forth in this First Amendment, the Employment Agreement shall remain unchanged and shall continue in full force and effect according to its terms.</w:t>
      </w:r>
    </w:p>
    <w:p>
      <w:pPr>
        <w:spacing w:after="0" w:line="176" w:lineRule="exact"/>
        <w:rPr>
          <w:rFonts w:ascii="Arial" w:cs="Arial" w:eastAsia="Arial" w:hAnsi="Arial"/>
          <w:sz w:val="20"/>
          <w:szCs w:val="20"/>
          <w:color w:val="auto"/>
        </w:rPr>
      </w:pPr>
    </w:p>
    <w:p>
      <w:pPr>
        <w:ind w:firstLine="885"/>
        <w:spacing w:after="0" w:line="260" w:lineRule="auto"/>
        <w:tabs>
          <w:tab w:leader="none" w:pos="1674"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First Amendment may be executed in several counterparts, each of which shall be deemed an original and all of which together shall constitute one document.</w:t>
      </w:r>
    </w:p>
    <w:p>
      <w:pPr>
        <w:spacing w:after="0" w:line="176" w:lineRule="exact"/>
        <w:rPr>
          <w:rFonts w:ascii="Arial" w:cs="Arial" w:eastAsia="Arial" w:hAnsi="Arial"/>
          <w:sz w:val="20"/>
          <w:szCs w:val="20"/>
          <w:color w:val="auto"/>
        </w:rPr>
      </w:pPr>
    </w:p>
    <w:p>
      <w:pPr>
        <w:jc w:val="both"/>
        <w:ind w:firstLine="885"/>
        <w:spacing w:after="0" w:line="250" w:lineRule="auto"/>
        <w:tabs>
          <w:tab w:leader="none" w:pos="1674"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First Amendment shall be governed by and construed in accordance with the laws of the Commonwealth of Massachusetts (without giving effect to any choice or conflict of laws provision or rule that would cause the application of the laws of any other jurisdiction).</w:t>
      </w:r>
    </w:p>
    <w:p>
      <w:pPr>
        <w:spacing w:after="0" w:line="186" w:lineRule="exact"/>
        <w:rPr>
          <w:rFonts w:ascii="Arial" w:cs="Arial" w:eastAsia="Arial" w:hAnsi="Arial"/>
          <w:sz w:val="20"/>
          <w:szCs w:val="20"/>
          <w:color w:val="auto"/>
        </w:rPr>
      </w:pPr>
    </w:p>
    <w:p>
      <w:pPr>
        <w:ind w:right="20" w:firstLine="885"/>
        <w:spacing w:after="0" w:line="260" w:lineRule="auto"/>
        <w:tabs>
          <w:tab w:leader="none" w:pos="1674"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First Amendment are for reference purposes only and will not in any way affect the meaning or interpretation of this First Amendment.</w:t>
      </w:r>
    </w:p>
    <w:p>
      <w:pPr>
        <w:spacing w:after="0" w:line="176" w:lineRule="exact"/>
        <w:rPr>
          <w:rFonts w:ascii="Arial" w:cs="Arial" w:eastAsia="Arial" w:hAnsi="Arial"/>
          <w:sz w:val="20"/>
          <w:szCs w:val="20"/>
          <w:color w:val="auto"/>
        </w:rPr>
      </w:pPr>
    </w:p>
    <w:p>
      <w:pPr>
        <w:ind w:firstLine="885"/>
        <w:spacing w:after="0" w:line="260" w:lineRule="auto"/>
        <w:tabs>
          <w:tab w:leader="none" w:pos="1674"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First Amendment constitutes the entire agreement among the parties concerning the subject matter hereof and supersedes any prior representations, understandings 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20"/>
          <w:szCs w:val="20"/>
          <w:color w:val="auto"/>
        </w:rPr>
        <w:t>IN WITNESS WHEREOF, the parties have executed this Second Amendment as of the Amendment Date.</w:t>
      </w:r>
    </w:p>
    <w:p>
      <w:pPr>
        <w:spacing w:after="0" w:line="223"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SERES THERAPEUTICS, INC.</w:t>
      </w:r>
    </w:p>
    <w:p>
      <w:pPr>
        <w:spacing w:after="0" w:line="235" w:lineRule="exact"/>
        <w:rPr>
          <w:sz w:val="20"/>
          <w:szCs w:val="20"/>
          <w:color w:val="auto"/>
        </w:rPr>
      </w:pPr>
    </w:p>
    <w:tbl>
      <w:tblPr>
        <w:tblLayout w:type="fixed"/>
        <w:tblInd w:w="540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Roger J. Pomerantz, M.D.</w:t>
            </w:r>
          </w:p>
        </w:tc>
      </w:tr>
      <w:tr>
        <w:trPr>
          <w:trHeight w:val="206"/>
        </w:trPr>
        <w:tc>
          <w:tcPr>
            <w:tcW w:w="8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260" w:type="dxa"/>
            <w:vAlign w:val="bottom"/>
          </w:tcPr>
          <w:p>
            <w:pPr>
              <w:spacing w:after="0" w:line="207" w:lineRule="exact"/>
              <w:rPr>
                <w:sz w:val="20"/>
                <w:szCs w:val="20"/>
                <w:color w:val="auto"/>
              </w:rPr>
            </w:pPr>
            <w:r>
              <w:rPr>
                <w:rFonts w:ascii="Arial" w:cs="Arial" w:eastAsia="Arial" w:hAnsi="Arial"/>
                <w:sz w:val="20"/>
                <w:szCs w:val="20"/>
                <w:color w:val="auto"/>
              </w:rPr>
              <w:t>Roger J. Pomerantz, M.D.</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260" w:type="dxa"/>
            <w:vAlign w:val="bottom"/>
          </w:tcPr>
          <w:p>
            <w:pPr>
              <w:spacing w:after="0"/>
              <w:rPr>
                <w:sz w:val="20"/>
                <w:szCs w:val="20"/>
                <w:color w:val="auto"/>
              </w:rPr>
            </w:pPr>
            <w:r>
              <w:rPr>
                <w:rFonts w:ascii="Arial" w:cs="Arial" w:eastAsia="Arial" w:hAnsi="Arial"/>
                <w:sz w:val="20"/>
                <w:szCs w:val="20"/>
                <w:color w:val="auto"/>
                <w:w w:val="93"/>
              </w:rPr>
              <w:t>President, Chief Executive Officer and Chairman of</w:t>
            </w:r>
          </w:p>
        </w:tc>
      </w:tr>
      <w:tr>
        <w:trPr>
          <w:trHeight w:val="250"/>
        </w:trPr>
        <w:tc>
          <w:tcPr>
            <w:tcW w:w="880" w:type="dxa"/>
            <w:vAlign w:val="bottom"/>
          </w:tcPr>
          <w:p>
            <w:pPr>
              <w:spacing w:after="0"/>
              <w:rPr>
                <w:sz w:val="21"/>
                <w:szCs w:val="21"/>
                <w:color w:val="auto"/>
              </w:rPr>
            </w:pPr>
          </w:p>
        </w:tc>
        <w:tc>
          <w:tcPr>
            <w:tcW w:w="4260" w:type="dxa"/>
            <w:vAlign w:val="bottom"/>
          </w:tcPr>
          <w:p>
            <w:pPr>
              <w:spacing w:after="0"/>
              <w:rPr>
                <w:sz w:val="20"/>
                <w:szCs w:val="20"/>
                <w:color w:val="auto"/>
              </w:rPr>
            </w:pPr>
            <w:r>
              <w:rPr>
                <w:rFonts w:ascii="Arial" w:cs="Arial" w:eastAsia="Arial" w:hAnsi="Arial"/>
                <w:sz w:val="20"/>
                <w:szCs w:val="20"/>
                <w:color w:val="auto"/>
              </w:rPr>
              <w:t>the Board</w:t>
            </w:r>
          </w:p>
        </w:tc>
      </w:tr>
    </w:tbl>
    <w:p>
      <w:pPr>
        <w:spacing w:after="0" w:line="203"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EXECUTIVE</w:t>
      </w:r>
    </w:p>
    <w:p>
      <w:pPr>
        <w:spacing w:after="0" w:line="23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/S/ David N. Cook.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10160</wp:posOffset>
            </wp:positionV>
            <wp:extent cx="32588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400"/>
        <w:spacing w:after="0"/>
        <w:rPr>
          <w:sz w:val="20"/>
          <w:szCs w:val="20"/>
          <w:color w:val="auto"/>
        </w:rPr>
      </w:pPr>
      <w:r>
        <w:rPr>
          <w:rFonts w:ascii="Arial" w:cs="Arial" w:eastAsia="Arial" w:hAnsi="Arial"/>
          <w:sz w:val="20"/>
          <w:szCs w:val="20"/>
          <w:color w:val="auto"/>
        </w:rPr>
        <w:t>David N. Cook, Ph.D.</w:t>
      </w:r>
    </w:p>
    <w:p>
      <w:pPr>
        <w:spacing w:after="0" w:line="200" w:lineRule="exact"/>
        <w:rPr>
          <w:sz w:val="20"/>
          <w:szCs w:val="20"/>
          <w:color w:val="auto"/>
        </w:rPr>
      </w:pPr>
    </w:p>
    <w:p>
      <w:pPr>
        <w:spacing w:after="0" w:line="238"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40"/>
          </w:cols>
          <w:pgMar w:left="1120" w:top="352"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Exhibit 10.19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213"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This Second Amendment (the “</w:t>
      </w:r>
      <w:r>
        <w:rPr>
          <w:rFonts w:ascii="Arial" w:cs="Arial" w:eastAsia="Arial" w:hAnsi="Arial"/>
          <w:sz w:val="20"/>
          <w:szCs w:val="20"/>
          <w:u w:val="single" w:color="auto"/>
          <w:color w:val="auto"/>
        </w:rPr>
        <w:t>Second Amendment</w:t>
      </w:r>
      <w:r>
        <w:rPr>
          <w:rFonts w:ascii="Arial" w:cs="Arial" w:eastAsia="Arial" w:hAnsi="Arial"/>
          <w:sz w:val="20"/>
          <w:szCs w:val="20"/>
          <w:color w:val="auto"/>
        </w:rPr>
        <w:t>”) to that certain Employment Agreement between Seres Therapeutics, Inc., a Delaware corporation (together with any successor thereto, the “</w:t>
      </w:r>
      <w:r>
        <w:rPr>
          <w:rFonts w:ascii="Arial" w:cs="Arial" w:eastAsia="Arial" w:hAnsi="Arial"/>
          <w:sz w:val="20"/>
          <w:szCs w:val="20"/>
          <w:u w:val="single" w:color="auto"/>
          <w:color w:val="auto"/>
        </w:rPr>
        <w:t>Company</w:t>
      </w:r>
      <w:r>
        <w:rPr>
          <w:rFonts w:ascii="Arial" w:cs="Arial" w:eastAsia="Arial" w:hAnsi="Arial"/>
          <w:sz w:val="20"/>
          <w:szCs w:val="20"/>
          <w:color w:val="auto"/>
        </w:rPr>
        <w:t>”), and Michele Trucksis, Ph.D., M.D. (the “</w:t>
      </w:r>
      <w:r>
        <w:rPr>
          <w:rFonts w:ascii="Arial" w:cs="Arial" w:eastAsia="Arial" w:hAnsi="Arial"/>
          <w:sz w:val="20"/>
          <w:szCs w:val="20"/>
          <w:u w:val="single" w:color="auto"/>
          <w:color w:val="auto"/>
        </w:rPr>
        <w:t>Executive</w:t>
      </w:r>
      <w:r>
        <w:rPr>
          <w:rFonts w:ascii="Arial" w:cs="Arial" w:eastAsia="Arial" w:hAnsi="Arial"/>
          <w:sz w:val="20"/>
          <w:szCs w:val="20"/>
          <w:color w:val="auto"/>
        </w:rPr>
        <w:t>”) dated as of June 13, 2015, as amended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is made as of March 7, 2018 (the “</w:t>
      </w:r>
      <w:r>
        <w:rPr>
          <w:rFonts w:ascii="Arial" w:cs="Arial" w:eastAsia="Arial" w:hAnsi="Arial"/>
          <w:sz w:val="20"/>
          <w:szCs w:val="20"/>
          <w:u w:val="single" w:color="auto"/>
          <w:color w:val="auto"/>
        </w:rPr>
        <w:t>Amendment Date</w:t>
      </w:r>
      <w:r>
        <w:rPr>
          <w:rFonts w:ascii="Arial" w:cs="Arial" w:eastAsia="Arial" w:hAnsi="Arial"/>
          <w:sz w:val="20"/>
          <w:szCs w:val="20"/>
          <w:color w:val="auto"/>
        </w:rPr>
        <w:t>”), by and between the Company and the Executive.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the Company and the Executive desire to amend the terms of the Employment Agreement as set forth herein.</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NOW, THEREFORE, for good and valuable consideration, the receipt and sufficiency of which are hereby acknowledged,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Company and the Executive hereby agree to the following:</w:t>
      </w:r>
    </w:p>
    <w:p>
      <w:pPr>
        <w:spacing w:after="0" w:line="200" w:lineRule="exact"/>
        <w:rPr>
          <w:sz w:val="20"/>
          <w:szCs w:val="20"/>
          <w:color w:val="auto"/>
        </w:rPr>
      </w:pPr>
    </w:p>
    <w:p>
      <w:pPr>
        <w:ind w:left="1680" w:hanging="795"/>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Amendment to the Employment Agreement</w:t>
      </w:r>
      <w:r>
        <w:rPr>
          <w:rFonts w:ascii="Arial" w:cs="Arial" w:eastAsia="Arial" w:hAnsi="Arial"/>
          <w:sz w:val="18"/>
          <w:szCs w:val="18"/>
          <w:color w:val="auto"/>
        </w:rPr>
        <w:t>. Effective as of the Amendment Date, the Employment Agreement is hereby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amended as follows:</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restated in its entirety to read as follows: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second sentence of Section 2(b) of the Employment Agreement is hereby amended and</w:t>
      </w:r>
    </w:p>
    <w:p>
      <w:pPr>
        <w:spacing w:after="0" w:line="445" w:lineRule="exact"/>
        <w:rPr>
          <w:sz w:val="20"/>
          <w:szCs w:val="20"/>
          <w:color w:val="auto"/>
        </w:rPr>
      </w:pPr>
    </w:p>
    <w:p>
      <w:pPr>
        <w:sectPr>
          <w:pgSz w:w="11900" w:h="16838" w:orient="portrait"/>
          <w:cols w:equalWidth="0" w:num="2">
            <w:col w:w="3220" w:space="700"/>
            <w:col w:w="7500"/>
          </w:cols>
          <w:pgMar w:left="240" w:top="111" w:right="239" w:bottom="1440" w:gutter="0" w:footer="0" w:header="0"/>
          <w:type w:val="continuous"/>
        </w:sectPr>
      </w:pPr>
    </w:p>
    <w:p>
      <w:pPr>
        <w:spacing w:after="0" w:line="23" w:lineRule="exact"/>
        <w:rPr>
          <w:sz w:val="20"/>
          <w:szCs w:val="20"/>
          <w:color w:val="auto"/>
        </w:rPr>
      </w:pPr>
    </w:p>
    <w:p>
      <w:pPr>
        <w:ind w:left="880"/>
        <w:spacing w:after="0" w:line="260" w:lineRule="auto"/>
        <w:rPr>
          <w:sz w:val="20"/>
          <w:szCs w:val="20"/>
          <w:color w:val="auto"/>
        </w:rPr>
      </w:pPr>
      <w:r>
        <w:rPr>
          <w:rFonts w:ascii="Arial" w:cs="Arial" w:eastAsia="Arial" w:hAnsi="Arial"/>
          <w:sz w:val="20"/>
          <w:szCs w:val="20"/>
          <w:color w:val="auto"/>
        </w:rPr>
        <w:t>“Executive’s annual incentive compensation under such incentive program (the “</w:t>
      </w:r>
      <w:r>
        <w:rPr>
          <w:rFonts w:ascii="Arial" w:cs="Arial" w:eastAsia="Arial" w:hAnsi="Arial"/>
          <w:sz w:val="20"/>
          <w:szCs w:val="20"/>
          <w:u w:val="single" w:color="auto"/>
          <w:color w:val="auto"/>
        </w:rPr>
        <w:t>Annual Bonus</w:t>
      </w:r>
      <w:r>
        <w:rPr>
          <w:rFonts w:ascii="Arial" w:cs="Arial" w:eastAsia="Arial" w:hAnsi="Arial"/>
          <w:sz w:val="20"/>
          <w:szCs w:val="20"/>
          <w:color w:val="auto"/>
        </w:rPr>
        <w:t>”) shall be targeted at 40% of Executive’s Annual Base Salary.”</w:t>
      </w:r>
    </w:p>
    <w:p>
      <w:pPr>
        <w:spacing w:after="0" w:line="177" w:lineRule="exact"/>
        <w:rPr>
          <w:sz w:val="20"/>
          <w:szCs w:val="20"/>
          <w:color w:val="auto"/>
        </w:rPr>
      </w:pPr>
    </w:p>
    <w:p>
      <w:pPr>
        <w:ind w:right="20" w:firstLine="885"/>
        <w:spacing w:after="0" w:line="260" w:lineRule="auto"/>
        <w:tabs>
          <w:tab w:leader="none" w:pos="1674"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References</w:t>
      </w:r>
      <w:r>
        <w:rPr>
          <w:rFonts w:ascii="Arial" w:cs="Arial" w:eastAsia="Arial" w:hAnsi="Arial"/>
          <w:sz w:val="20"/>
          <w:szCs w:val="20"/>
          <w:color w:val="auto"/>
        </w:rPr>
        <w:t>. The references to “this Agreement” in the Employment Agreement shall mean the Employment Agreement, as amended by this First Amendment.</w:t>
      </w:r>
    </w:p>
    <w:p>
      <w:pPr>
        <w:spacing w:after="0" w:line="176" w:lineRule="exact"/>
        <w:rPr>
          <w:rFonts w:ascii="Arial" w:cs="Arial" w:eastAsia="Arial" w:hAnsi="Arial"/>
          <w:sz w:val="20"/>
          <w:szCs w:val="20"/>
          <w:color w:val="auto"/>
        </w:rPr>
      </w:pPr>
    </w:p>
    <w:p>
      <w:pPr>
        <w:ind w:firstLine="885"/>
        <w:spacing w:after="0" w:line="260" w:lineRule="auto"/>
        <w:tabs>
          <w:tab w:leader="none" w:pos="1674"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No Other Amendment</w:t>
      </w:r>
      <w:r>
        <w:rPr>
          <w:rFonts w:ascii="Arial" w:cs="Arial" w:eastAsia="Arial" w:hAnsi="Arial"/>
          <w:sz w:val="20"/>
          <w:szCs w:val="20"/>
          <w:color w:val="auto"/>
        </w:rPr>
        <w:t>. Except as expressly set forth in this First Amendment, the Employment Agreement shall remain unchanged and shall continue in full force and effect according to its terms.</w:t>
      </w:r>
    </w:p>
    <w:p>
      <w:pPr>
        <w:spacing w:after="0" w:line="176" w:lineRule="exact"/>
        <w:rPr>
          <w:rFonts w:ascii="Arial" w:cs="Arial" w:eastAsia="Arial" w:hAnsi="Arial"/>
          <w:sz w:val="20"/>
          <w:szCs w:val="20"/>
          <w:color w:val="auto"/>
        </w:rPr>
      </w:pPr>
    </w:p>
    <w:p>
      <w:pPr>
        <w:ind w:firstLine="885"/>
        <w:spacing w:after="0" w:line="260" w:lineRule="auto"/>
        <w:tabs>
          <w:tab w:leader="none" w:pos="1674"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First Amendment may be executed in several counterparts, each of which shall be deemed an original and all of which together shall constitute one document.</w:t>
      </w:r>
    </w:p>
    <w:p>
      <w:pPr>
        <w:spacing w:after="0" w:line="176" w:lineRule="exact"/>
        <w:rPr>
          <w:rFonts w:ascii="Arial" w:cs="Arial" w:eastAsia="Arial" w:hAnsi="Arial"/>
          <w:sz w:val="20"/>
          <w:szCs w:val="20"/>
          <w:color w:val="auto"/>
        </w:rPr>
      </w:pPr>
    </w:p>
    <w:p>
      <w:pPr>
        <w:jc w:val="both"/>
        <w:ind w:firstLine="885"/>
        <w:spacing w:after="0" w:line="250" w:lineRule="auto"/>
        <w:tabs>
          <w:tab w:leader="none" w:pos="1674"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First Amendment shall be governed by and construed in accordance with the laws of the Commonwealth of Massachusetts (without giving effect to any choice or conflict of laws provision or rule that would cause the application of the laws of any other jurisdiction).</w:t>
      </w:r>
    </w:p>
    <w:p>
      <w:pPr>
        <w:spacing w:after="0" w:line="186" w:lineRule="exact"/>
        <w:rPr>
          <w:rFonts w:ascii="Arial" w:cs="Arial" w:eastAsia="Arial" w:hAnsi="Arial"/>
          <w:sz w:val="20"/>
          <w:szCs w:val="20"/>
          <w:color w:val="auto"/>
        </w:rPr>
      </w:pPr>
    </w:p>
    <w:p>
      <w:pPr>
        <w:ind w:right="20" w:firstLine="885"/>
        <w:spacing w:after="0" w:line="260" w:lineRule="auto"/>
        <w:tabs>
          <w:tab w:leader="none" w:pos="1674"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First Amendment are for reference purposes only and will not in any way affect the meaning or interpretation of this First Amendment.</w:t>
      </w:r>
    </w:p>
    <w:p>
      <w:pPr>
        <w:spacing w:after="0" w:line="176" w:lineRule="exact"/>
        <w:rPr>
          <w:rFonts w:ascii="Arial" w:cs="Arial" w:eastAsia="Arial" w:hAnsi="Arial"/>
          <w:sz w:val="20"/>
          <w:szCs w:val="20"/>
          <w:color w:val="auto"/>
        </w:rPr>
      </w:pPr>
    </w:p>
    <w:p>
      <w:pPr>
        <w:ind w:firstLine="885"/>
        <w:spacing w:after="0" w:line="260" w:lineRule="auto"/>
        <w:tabs>
          <w:tab w:leader="none" w:pos="1674"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First Amendment constitutes the entire agreement among the parties concerning the subject matter hereof and supersedes any prior representations, understandings 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20"/>
          <w:szCs w:val="20"/>
          <w:color w:val="auto"/>
        </w:rPr>
        <w:t>IN WITNESS WHEREOF, the parties have executed this Second Amendment as of the Amendment Date.</w:t>
      </w:r>
    </w:p>
    <w:p>
      <w:pPr>
        <w:spacing w:after="0" w:line="223"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SERES THERAPEUTICS, INC.</w:t>
      </w:r>
    </w:p>
    <w:p>
      <w:pPr>
        <w:spacing w:after="0" w:line="235" w:lineRule="exact"/>
        <w:rPr>
          <w:sz w:val="20"/>
          <w:szCs w:val="20"/>
          <w:color w:val="auto"/>
        </w:rPr>
      </w:pPr>
    </w:p>
    <w:tbl>
      <w:tblPr>
        <w:tblLayout w:type="fixed"/>
        <w:tblInd w:w="540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Roger J. Pomerantz, M.D.</w:t>
            </w:r>
          </w:p>
        </w:tc>
      </w:tr>
      <w:tr>
        <w:trPr>
          <w:trHeight w:val="206"/>
        </w:trPr>
        <w:tc>
          <w:tcPr>
            <w:tcW w:w="8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260" w:type="dxa"/>
            <w:vAlign w:val="bottom"/>
          </w:tcPr>
          <w:p>
            <w:pPr>
              <w:spacing w:after="0" w:line="207" w:lineRule="exact"/>
              <w:rPr>
                <w:sz w:val="20"/>
                <w:szCs w:val="20"/>
                <w:color w:val="auto"/>
              </w:rPr>
            </w:pPr>
            <w:r>
              <w:rPr>
                <w:rFonts w:ascii="Arial" w:cs="Arial" w:eastAsia="Arial" w:hAnsi="Arial"/>
                <w:sz w:val="20"/>
                <w:szCs w:val="20"/>
                <w:color w:val="auto"/>
              </w:rPr>
              <w:t>Roger J. Pomerantz, M.D.</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260" w:type="dxa"/>
            <w:vAlign w:val="bottom"/>
          </w:tcPr>
          <w:p>
            <w:pPr>
              <w:spacing w:after="0"/>
              <w:rPr>
                <w:sz w:val="20"/>
                <w:szCs w:val="20"/>
                <w:color w:val="auto"/>
              </w:rPr>
            </w:pPr>
            <w:r>
              <w:rPr>
                <w:rFonts w:ascii="Arial" w:cs="Arial" w:eastAsia="Arial" w:hAnsi="Arial"/>
                <w:sz w:val="20"/>
                <w:szCs w:val="20"/>
                <w:color w:val="auto"/>
                <w:w w:val="93"/>
              </w:rPr>
              <w:t>President, Chief Executive Officer and Chairman of</w:t>
            </w:r>
          </w:p>
        </w:tc>
      </w:tr>
      <w:tr>
        <w:trPr>
          <w:trHeight w:val="250"/>
        </w:trPr>
        <w:tc>
          <w:tcPr>
            <w:tcW w:w="880" w:type="dxa"/>
            <w:vAlign w:val="bottom"/>
          </w:tcPr>
          <w:p>
            <w:pPr>
              <w:spacing w:after="0"/>
              <w:rPr>
                <w:sz w:val="21"/>
                <w:szCs w:val="21"/>
                <w:color w:val="auto"/>
              </w:rPr>
            </w:pPr>
          </w:p>
        </w:tc>
        <w:tc>
          <w:tcPr>
            <w:tcW w:w="4260" w:type="dxa"/>
            <w:vAlign w:val="bottom"/>
          </w:tcPr>
          <w:p>
            <w:pPr>
              <w:spacing w:after="0"/>
              <w:rPr>
                <w:sz w:val="20"/>
                <w:szCs w:val="20"/>
                <w:color w:val="auto"/>
              </w:rPr>
            </w:pPr>
            <w:r>
              <w:rPr>
                <w:rFonts w:ascii="Arial" w:cs="Arial" w:eastAsia="Arial" w:hAnsi="Arial"/>
                <w:sz w:val="20"/>
                <w:szCs w:val="20"/>
                <w:color w:val="auto"/>
              </w:rPr>
              <w:t>the Board</w:t>
            </w:r>
          </w:p>
        </w:tc>
      </w:tr>
    </w:tbl>
    <w:p>
      <w:pPr>
        <w:spacing w:after="0" w:line="203"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EXECUTIVE</w:t>
      </w:r>
    </w:p>
    <w:p>
      <w:pPr>
        <w:spacing w:after="0" w:line="23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/S/ Michele Trucksis, Ph.D.,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10160</wp:posOffset>
            </wp:positionV>
            <wp:extent cx="32588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400"/>
        <w:spacing w:after="0"/>
        <w:rPr>
          <w:sz w:val="20"/>
          <w:szCs w:val="20"/>
          <w:color w:val="auto"/>
        </w:rPr>
      </w:pPr>
      <w:r>
        <w:rPr>
          <w:rFonts w:ascii="Arial" w:cs="Arial" w:eastAsia="Arial" w:hAnsi="Arial"/>
          <w:sz w:val="20"/>
          <w:szCs w:val="20"/>
          <w:color w:val="auto"/>
        </w:rPr>
        <w:t>Michele Trucksis, Ph.D., M.D.</w:t>
      </w:r>
    </w:p>
    <w:p>
      <w:pPr>
        <w:spacing w:after="0" w:line="200" w:lineRule="exact"/>
        <w:rPr>
          <w:sz w:val="20"/>
          <w:szCs w:val="20"/>
          <w:color w:val="auto"/>
        </w:rPr>
      </w:pPr>
    </w:p>
    <w:p>
      <w:pPr>
        <w:spacing w:after="0" w:line="238"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40"/>
          </w:cols>
          <w:pgMar w:left="1120" w:top="352"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hereby consent to the incorporation by reference in the Registration Statement on Forms S-8 (No. 333-205253 and 333-210171) and Form S-3 (No. 333-216735) of Seres Therapeutics, Inc. of our report dated March 8, 2018 relating to the financial statements, which appears in this Form 10-K.</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Roger J. Pomerantz, certify that:</w:t>
      </w:r>
    </w:p>
    <w:p>
      <w:pPr>
        <w:spacing w:after="0" w:line="117" w:lineRule="exact"/>
        <w:rPr>
          <w:sz w:val="20"/>
          <w:szCs w:val="20"/>
          <w:color w:val="auto"/>
        </w:rPr>
      </w:pPr>
    </w:p>
    <w:p>
      <w:pPr>
        <w:ind w:left="780" w:hanging="174"/>
        <w:spacing w:after="0"/>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Seres Therapeutics, Inc.;</w:t>
      </w:r>
    </w:p>
    <w:p>
      <w:pPr>
        <w:spacing w:after="0" w:line="117"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606"/>
        <w:spacing w:after="0" w:line="264" w:lineRule="auto"/>
        <w:tabs>
          <w:tab w:leader="none" w:pos="77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00" w:firstLine="572"/>
        <w:spacing w:after="0" w:line="264" w:lineRule="auto"/>
        <w:tabs>
          <w:tab w:leader="none" w:pos="1411"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300" w:firstLine="572"/>
        <w:spacing w:after="0" w:line="342" w:lineRule="auto"/>
        <w:tabs>
          <w:tab w:leader="none" w:pos="1411"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00" w:right="260" w:firstLine="572"/>
        <w:spacing w:after="0" w:line="264" w:lineRule="auto"/>
        <w:tabs>
          <w:tab w:leader="none" w:pos="1422"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0" w:firstLine="606"/>
        <w:spacing w:after="0" w:line="308" w:lineRule="auto"/>
        <w:tabs>
          <w:tab w:leader="none" w:pos="778"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00" w:right="200" w:firstLine="572"/>
        <w:spacing w:after="0" w:line="277" w:lineRule="auto"/>
        <w:tabs>
          <w:tab w:leader="none" w:pos="1422"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March 8, 2018</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J. Pomerantz</w:t>
            </w:r>
          </w:p>
        </w:tc>
      </w:tr>
      <w:tr>
        <w:trPr>
          <w:trHeight w:val="195"/>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Roger J. Pomerantz</w:t>
            </w:r>
          </w:p>
        </w:tc>
      </w:tr>
      <w:tr>
        <w:trPr>
          <w:trHeight w:val="216"/>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D. Shaff, certify that:</w:t>
      </w:r>
    </w:p>
    <w:p>
      <w:pPr>
        <w:spacing w:after="0" w:line="117" w:lineRule="exact"/>
        <w:rPr>
          <w:sz w:val="20"/>
          <w:szCs w:val="20"/>
          <w:color w:val="auto"/>
        </w:rPr>
      </w:pPr>
    </w:p>
    <w:p>
      <w:pPr>
        <w:ind w:left="780" w:hanging="174"/>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Seres Therapeutics, Inc.;</w:t>
      </w:r>
    </w:p>
    <w:p>
      <w:pPr>
        <w:spacing w:after="0" w:line="117"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606"/>
        <w:spacing w:after="0" w:line="264" w:lineRule="auto"/>
        <w:tabs>
          <w:tab w:leader="none" w:pos="77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00" w:firstLine="572"/>
        <w:spacing w:after="0" w:line="264" w:lineRule="auto"/>
        <w:tabs>
          <w:tab w:leader="none" w:pos="1411"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300" w:firstLine="572"/>
        <w:spacing w:after="0" w:line="342" w:lineRule="auto"/>
        <w:tabs>
          <w:tab w:leader="none" w:pos="1411"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00" w:right="260" w:firstLine="572"/>
        <w:spacing w:after="0" w:line="264" w:lineRule="auto"/>
        <w:tabs>
          <w:tab w:leader="none" w:pos="1422"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0" w:firstLine="606"/>
        <w:spacing w:after="0" w:line="308" w:lineRule="auto"/>
        <w:tabs>
          <w:tab w:leader="none" w:pos="778"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00" w:right="200" w:firstLine="572"/>
        <w:spacing w:after="0" w:line="277" w:lineRule="auto"/>
        <w:tabs>
          <w:tab w:leader="none" w:pos="1422"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March 8, 2018</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D. Shaff</w:t>
            </w:r>
          </w:p>
        </w:tc>
      </w:tr>
      <w:tr>
        <w:trPr>
          <w:trHeight w:val="195"/>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Eric D. Shaff</w:t>
            </w:r>
          </w:p>
        </w:tc>
      </w:tr>
      <w:tr>
        <w:trPr>
          <w:trHeight w:val="216"/>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16"/>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Operating and Financial Officer</w:t>
            </w: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 Roger J. Pomerantz, President and Chief Executive Officer of Seres Therapeutics, Inc. (the “Company”), hereby certify, pursuant to 18 U.S.C. §1350, as adopted pursuant to §906 of the Sarbanes-Oxley Act of 2002, that, to the best of my knowledge:</w:t>
      </w:r>
    </w:p>
    <w:p>
      <w:pPr>
        <w:spacing w:after="0" w:line="76" w:lineRule="exact"/>
        <w:rPr>
          <w:sz w:val="20"/>
          <w:szCs w:val="20"/>
          <w:color w:val="auto"/>
        </w:rPr>
      </w:pPr>
    </w:p>
    <w:p>
      <w:pPr>
        <w:ind w:left="900" w:right="12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2017 (the “Report”)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8, 2018</w:t>
      </w:r>
      <w:r>
        <w:rPr>
          <w:sz w:val="20"/>
          <w:szCs w:val="20"/>
          <w:color w:val="auto"/>
        </w:rPr>
        <w:tab/>
      </w:r>
      <w:r>
        <w:rPr>
          <w:rFonts w:ascii="Arial" w:cs="Arial" w:eastAsia="Arial" w:hAnsi="Arial"/>
          <w:sz w:val="16"/>
          <w:szCs w:val="16"/>
          <w:color w:val="auto"/>
        </w:rPr>
        <w:t>/s/ Roger J. Pomerantz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Roger J. Pomerantz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Chief Executive Officer and 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Eric D. Shaff, Executive Vice President and Chief Operating and Financial Officer of Seres Therapeutics, Inc. (the “Company”), hereby certify, pursuant to 18 U.S.C. §1350, as adopted pursuant to §906 of the Sarbanes-Oxley Act of 2002, that, to the best of my knowledge:</w:t>
      </w:r>
    </w:p>
    <w:p>
      <w:pPr>
        <w:spacing w:after="0" w:line="76" w:lineRule="exact"/>
        <w:rPr>
          <w:sz w:val="20"/>
          <w:szCs w:val="20"/>
          <w:color w:val="auto"/>
        </w:rPr>
      </w:pPr>
    </w:p>
    <w:p>
      <w:pPr>
        <w:ind w:left="900" w:right="12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2017 (the “Report”)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8, 2018</w:t>
      </w:r>
      <w:r>
        <w:rPr>
          <w:sz w:val="20"/>
          <w:szCs w:val="20"/>
          <w:color w:val="auto"/>
        </w:rPr>
        <w:tab/>
      </w:r>
      <w:r>
        <w:rPr>
          <w:rFonts w:ascii="Arial" w:cs="Arial" w:eastAsia="Arial" w:hAnsi="Arial"/>
          <w:sz w:val="16"/>
          <w:szCs w:val="16"/>
          <w:color w:val="auto"/>
        </w:rPr>
        <w:t>/s/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Eric D. Shaff</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Operating and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1)"/>
      <w:numFmt w:val="decimal"/>
      <w:start w:val="2"/>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1)"/>
      <w:numFmt w:val="decimal"/>
      <w:start w:val="1"/>
    </w:lvl>
  </w:abstractNum>
  <w:abstractNum w:abstractNumId="49">
    <w:nsid w:val="51D9C564"/>
    <w:multiLevelType w:val="hybridMultilevel"/>
    <w:lvl w:ilvl="0">
      <w:lvlJc w:val="left"/>
      <w:lvlText w:val="(%1)"/>
      <w:numFmt w:val="decimal"/>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1)"/>
      <w:numFmt w:val="decimal"/>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1."/>
      <w:numFmt w:val="decimal"/>
      <w:start w:val="1"/>
    </w:lvl>
  </w:abstractNum>
  <w:abstractNum w:abstractNumId="69">
    <w:nsid w:val="6F6DD9AC"/>
    <w:multiLevelType w:val="hybridMultilevel"/>
    <w:lvl w:ilvl="0">
      <w:lvlJc w:val="left"/>
      <w:lvlText w:val="%1."/>
      <w:numFmt w:val="decimal"/>
      <w:start w:val="2"/>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1)"/>
      <w:numFmt w:val="lowerRoman"/>
      <w:start w:val="2"/>
    </w:lvl>
  </w:abstractNum>
  <w:abstractNum w:abstractNumId="73">
    <w:nsid w:val="4C04A8AF"/>
    <w:multiLevelType w:val="hybridMultilevel"/>
    <w:lvl w:ilvl="0">
      <w:lvlJc w:val="left"/>
      <w:lvlText w:val="%1."/>
      <w:numFmt w:val="decimal"/>
      <w:start w:val="3"/>
    </w:lvl>
  </w:abstractNum>
  <w:abstractNum w:abstractNumId="74">
    <w:nsid w:val="1716703B"/>
    <w:multiLevelType w:val="hybridMultilevel"/>
    <w:lvl w:ilvl="0">
      <w:lvlJc w:val="left"/>
      <w:lvlText w:val="(%1)"/>
      <w:numFmt w:val="decimal"/>
      <w:start w:val="1"/>
    </w:lvl>
  </w:abstractNum>
  <w:abstractNum w:abstractNumId="75">
    <w:nsid w:val="14E17E33"/>
    <w:multiLevelType w:val="hybridMultilevel"/>
    <w:lvl w:ilvl="0">
      <w:lvlJc w:val="left"/>
      <w:lvlText w:val="(%1)"/>
      <w:numFmt w:val="decimal"/>
      <w:start w:val="1"/>
    </w:lvl>
  </w:abstractNum>
  <w:abstractNum w:abstractNumId="76">
    <w:nsid w:val="3222E7CD"/>
    <w:multiLevelType w:val="hybridMultilevel"/>
    <w:lvl w:ilvl="0">
      <w:lvlJc w:val="left"/>
      <w:lvlText w:val="%1."/>
      <w:numFmt w:val="decimal"/>
      <w:start w:val="4"/>
    </w:lvl>
  </w:abstractNum>
  <w:abstractNum w:abstractNumId="77">
    <w:nsid w:val="74DE0EE3"/>
    <w:multiLevelType w:val="hybridMultilevel"/>
    <w:lvl w:ilvl="0">
      <w:lvlJc w:val="left"/>
      <w:lvlText w:val="%1."/>
      <w:numFmt w:val="decimal"/>
      <w:start w:val="6"/>
    </w:lvl>
  </w:abstractNum>
  <w:abstractNum w:abstractNumId="78">
    <w:nsid w:val="68EBC550"/>
    <w:multiLevelType w:val="hybridMultilevel"/>
    <w:lvl w:ilvl="0">
      <w:lvlJc w:val="left"/>
      <w:lvlText w:val="%1."/>
      <w:numFmt w:val="decimal"/>
      <w:start w:val="7"/>
    </w:lvl>
  </w:abstractNum>
  <w:abstractNum w:abstractNumId="79">
    <w:nsid w:val="2DF6D648"/>
    <w:multiLevelType w:val="hybridMultilevel"/>
    <w:lvl w:ilvl="0">
      <w:lvlJc w:val="left"/>
      <w:lvlText w:val="%1."/>
      <w:numFmt w:val="decimal"/>
      <w:start w:val="8"/>
    </w:lvl>
  </w:abstractNum>
  <w:abstractNum w:abstractNumId="80">
    <w:nsid w:val="46B7D447"/>
    <w:multiLevelType w:val="hybridMultilevel"/>
    <w:lvl w:ilvl="0">
      <w:lvlJc w:val="left"/>
      <w:lvlText w:val="%1."/>
      <w:numFmt w:val="decimal"/>
      <w:start w:val="109"/>
    </w:lvl>
  </w:abstractNum>
  <w:abstractNum w:abstractNumId="81">
    <w:nsid w:val="4A2AC315"/>
    <w:multiLevelType w:val="hybridMultilevel"/>
    <w:lvl w:ilvl="0">
      <w:lvlJc w:val="left"/>
      <w:lvlText w:val="%1."/>
      <w:numFmt w:val="decimal"/>
      <w:start w:val="10"/>
    </w:lvl>
  </w:abstractNum>
  <w:abstractNum w:abstractNumId="82">
    <w:nsid w:val="39EE015C"/>
    <w:multiLevelType w:val="hybridMultilevel"/>
    <w:lvl w:ilvl="0">
      <w:lvlJc w:val="left"/>
      <w:lvlText w:val="%1."/>
      <w:numFmt w:val="decimal"/>
      <w:start w:val="11"/>
    </w:lvl>
  </w:abstractNum>
  <w:abstractNum w:abstractNumId="83">
    <w:nsid w:val="57FC4FBB"/>
    <w:multiLevelType w:val="hybridMultilevel"/>
    <w:lvl w:ilvl="0">
      <w:lvlJc w:val="left"/>
      <w:lvlText w:val="%1."/>
      <w:numFmt w:val="decimal"/>
      <w:start w:val="12"/>
    </w:lvl>
  </w:abstractNum>
  <w:abstractNum w:abstractNumId="84">
    <w:nsid w:val="CC1016F"/>
    <w:multiLevelType w:val="hybridMultilevel"/>
    <w:lvl w:ilvl="0">
      <w:lvlJc w:val="left"/>
      <w:lvlText w:val="%1."/>
      <w:numFmt w:val="decimal"/>
      <w:start w:val="13"/>
    </w:lvl>
  </w:abstractNum>
  <w:abstractNum w:abstractNumId="85">
    <w:nsid w:val="43F18422"/>
    <w:multiLevelType w:val="hybridMultilevel"/>
    <w:lvl w:ilvl="0">
      <w:lvlJc w:val="left"/>
      <w:lvlText w:val="(%1)"/>
      <w:numFmt w:val="decimal"/>
      <w:start w:val="1"/>
    </w:lvl>
  </w:abstractNum>
  <w:abstractNum w:abstractNumId="86">
    <w:nsid w:val="60EF0119"/>
    <w:multiLevelType w:val="hybridMultilevel"/>
    <w:lvl w:ilvl="0">
      <w:lvlJc w:val="left"/>
      <w:lvlText w:val="%1."/>
      <w:numFmt w:val="decimal"/>
      <w:start w:val="14"/>
    </w:lvl>
  </w:abstractNum>
  <w:abstractNum w:abstractNumId="87">
    <w:nsid w:val="26F324BA"/>
    <w:multiLevelType w:val="hybridMultilevel"/>
    <w:lvl w:ilvl="0">
      <w:lvlJc w:val="left"/>
      <w:lvlText w:val="%1."/>
      <w:numFmt w:val="decimal"/>
      <w:start w:val="15"/>
    </w:lvl>
  </w:abstractNum>
  <w:abstractNum w:abstractNumId="88">
    <w:nsid w:val="7F01579B"/>
    <w:multiLevelType w:val="hybridMultilevel"/>
    <w:lvl w:ilvl="0">
      <w:lvlJc w:val="left"/>
      <w:lvlText w:val="%1."/>
      <w:numFmt w:val="decimal"/>
      <w:start w:val="1"/>
    </w:lvl>
  </w:abstractNum>
  <w:abstractNum w:abstractNumId="89">
    <w:nsid w:val="49DA307D"/>
    <w:multiLevelType w:val="hybridMultilevel"/>
    <w:lvl w:ilvl="0">
      <w:lvlJc w:val="left"/>
      <w:lvlText w:val="%1."/>
      <w:numFmt w:val="decimal"/>
      <w:start w:val="2"/>
    </w:lvl>
  </w:abstractNum>
  <w:abstractNum w:abstractNumId="90">
    <w:nsid w:val="7055A5F5"/>
    <w:multiLevelType w:val="hybridMultilevel"/>
    <w:lvl w:ilvl="0">
      <w:lvlJc w:val="left"/>
      <w:lvlText w:val="%1."/>
      <w:numFmt w:val="decimal"/>
      <w:start w:val="1"/>
    </w:lvl>
  </w:abstractNum>
  <w:abstractNum w:abstractNumId="91">
    <w:nsid w:val="5FB8370B"/>
    <w:multiLevelType w:val="hybridMultilevel"/>
    <w:lvl w:ilvl="0">
      <w:lvlJc w:val="left"/>
      <w:lvlText w:val="%1."/>
      <w:numFmt w:val="decimal"/>
      <w:start w:val="2"/>
    </w:lvl>
  </w:abstractNum>
  <w:abstractNum w:abstractNumId="92">
    <w:nsid w:val="50801EE1"/>
    <w:multiLevelType w:val="hybridMultilevel"/>
    <w:lvl w:ilvl="0">
      <w:lvlJc w:val="left"/>
      <w:lvlText w:val="%1."/>
      <w:numFmt w:val="decimal"/>
      <w:start w:val="7"/>
    </w:lvl>
  </w:abstractNum>
  <w:abstractNum w:abstractNumId="93">
    <w:nsid w:val="488AC1A"/>
    <w:multiLevelType w:val="hybridMultilevel"/>
    <w:lvl w:ilvl="0">
      <w:lvlJc w:val="left"/>
      <w:lvlText w:val="%1."/>
      <w:numFmt w:val="decimal"/>
      <w:start w:val="1"/>
    </w:lvl>
  </w:abstractNum>
  <w:abstractNum w:abstractNumId="94">
    <w:nsid w:val="5FB8011C"/>
    <w:multiLevelType w:val="hybridMultilevel"/>
    <w:lvl w:ilvl="0">
      <w:lvlJc w:val="left"/>
      <w:lvlText w:val="%1."/>
      <w:numFmt w:val="decimal"/>
      <w:start w:val="2"/>
    </w:lvl>
  </w:abstractNum>
  <w:abstractNum w:abstractNumId="95">
    <w:nsid w:val="6AA78F7F"/>
    <w:multiLevelType w:val="hybridMultilevel"/>
    <w:lvl w:ilvl="0">
      <w:lvlJc w:val="left"/>
      <w:lvlText w:val="%1."/>
      <w:numFmt w:val="decimal"/>
      <w:start w:val="1"/>
    </w:lvl>
  </w:abstractNum>
  <w:abstractNum w:abstractNumId="96">
    <w:nsid w:val="7672BD23"/>
    <w:multiLevelType w:val="hybridMultilevel"/>
    <w:lvl w:ilvl="0">
      <w:lvlJc w:val="left"/>
      <w:lvlText w:val="%1."/>
      <w:numFmt w:val="decimal"/>
      <w:start w:val="2"/>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11" Type="http://schemas.openxmlformats.org/officeDocument/2006/relationships/hyperlink" Target="http://www.sec.gov/Archives/edgar/data/1609809/000119312515242845/d48188dex31.htm" TargetMode="External"/><Relationship Id="rId112" Type="http://schemas.openxmlformats.org/officeDocument/2006/relationships/hyperlink" Target="http://www.sec.gov/Archives/edgar/data/1609809/000119312515242845/d48188dex32.htm" TargetMode="External"/><Relationship Id="rId113" Type="http://schemas.openxmlformats.org/officeDocument/2006/relationships/hyperlink" Target="http://www.sec.gov/Archives/edgar/data/1609809/000119312515202059/d816354dex41.htm" TargetMode="External"/><Relationship Id="rId114" Type="http://schemas.openxmlformats.org/officeDocument/2006/relationships/hyperlink" Target="http://www.sec.gov/Archives/edgar/data/1609809/000119312515224101/d816354dex42.htm" TargetMode="External"/><Relationship Id="rId115" Type="http://schemas.openxmlformats.org/officeDocument/2006/relationships/hyperlink" Target="http://www.sec.gov/Archives/edgar/data/1609809/000119312515224101/d816354dex102.htm" TargetMode="External"/><Relationship Id="rId116" Type="http://schemas.openxmlformats.org/officeDocument/2006/relationships/hyperlink" Target="http://www.sec.gov/Archives/edgar/data/1609809/000119312515224101/d816354dex103.htm" TargetMode="External"/><Relationship Id="rId117" Type="http://schemas.openxmlformats.org/officeDocument/2006/relationships/hyperlink" Target="http://www.sec.gov/Archives/edgar/data/1609809/000119312515224101/d816354dex104.htm" TargetMode="External"/><Relationship Id="rId118" Type="http://schemas.openxmlformats.org/officeDocument/2006/relationships/hyperlink" Target="http://www.sec.gov/Archives/edgar/data/1609809/000119312515202059/d816354dex1013.htm" TargetMode="External"/><Relationship Id="rId119" Type="http://schemas.openxmlformats.org/officeDocument/2006/relationships/hyperlink" Target="http://www.sec.gov/Archives/edgar/data/1609809/000156459016014692/mcrb-ex1013_656.htm" TargetMode="External"/><Relationship Id="rId120" Type="http://schemas.openxmlformats.org/officeDocument/2006/relationships/hyperlink" Target="http://www.sec.gov/Archives/edgar/data/1609809/000119312515224101/d816354dex106.htm" TargetMode="External"/><Relationship Id="rId121" Type="http://schemas.openxmlformats.org/officeDocument/2006/relationships/hyperlink" Target="http://www.sec.gov/Archives/edgar/data/1609809/000119312516450836/d131185dex101.htm" TargetMode="External"/><Relationship Id="rId122" Type="http://schemas.openxmlformats.org/officeDocument/2006/relationships/hyperlink" Target="http://www.sec.gov/Archives/edgar/data/1609809/000119312515224101/d816354dex107.htm" TargetMode="External"/><Relationship Id="rId123" Type="http://schemas.openxmlformats.org/officeDocument/2006/relationships/hyperlink" Target="http://www.sec.gov/Archives/edgar/data/1609809/000119312515284924/d942622dex107.htm" TargetMode="External"/><Relationship Id="rId124" Type="http://schemas.openxmlformats.org/officeDocument/2006/relationships/hyperlink" Target="http://www.sec.gov/Archives/edgar/data/1609809/000119312515224101/d816354dex108.htm" TargetMode="External"/><Relationship Id="rId125" Type="http://schemas.openxmlformats.org/officeDocument/2006/relationships/hyperlink" Target="http://www.sec.gov/Archives/edgar/data/1609809/000119312515284924/d942622dex109.htm" TargetMode="External"/><Relationship Id="rId128" Type="http://schemas.openxmlformats.org/officeDocument/2006/relationships/hyperlink" Target="http://www.sec.gov/Archives/edgar/data/1609809/000119312515284924/d942622dex1010.htm" TargetMode="External"/><Relationship Id="rId129" Type="http://schemas.openxmlformats.org/officeDocument/2006/relationships/hyperlink" Target="http://www.sec.gov/Archives/edgar/data/1609809/000156459017004551/mcrb-ex1013_477.htm" TargetMode="External"/><Relationship Id="rId130" Type="http://schemas.openxmlformats.org/officeDocument/2006/relationships/hyperlink" Target="http://www.sec.gov/Archives/edgar/data/1609809/000119312515224101/d816354dex1010.htm" TargetMode="External"/><Relationship Id="rId131" Type="http://schemas.openxmlformats.org/officeDocument/2006/relationships/hyperlink" Target="http://www.sec.gov/Archives/edgar/data/1609809/000119312515284924/d942622dex1012.htm" TargetMode="External"/><Relationship Id="rId132" Type="http://schemas.openxmlformats.org/officeDocument/2006/relationships/hyperlink" Target="http://www.sec.gov/Archives/edgar/data/1609809/000156459016024023/mcrb-ex101_354.htm" TargetMode="External"/><Relationship Id="rId133" Type="http://schemas.openxmlformats.org/officeDocument/2006/relationships/hyperlink" Target="http://www.sec.gov/Archives/edgar/data/1609809/000156459016019550/mcrb-ex101_534.htm" TargetMode="External"/><Relationship Id="rId134" Type="http://schemas.openxmlformats.org/officeDocument/2006/relationships/hyperlink" Target="http://www.sec.gov/Archives/edgar/data/1609809/000119312515202059/d816354dex101.htm" TargetMode="External"/><Relationship Id="rId135" Type="http://schemas.openxmlformats.org/officeDocument/2006/relationships/hyperlink" Target="http://www.sec.gov/Archives/edgar/data/1609809/000119312515224101/d81635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2019-12-28T23:44:17Z</dcterms:created>
  <dcterms:modified xsi:type="dcterms:W3CDTF">2019-12-28T23:44:17Z</dcterms:modified>
</cp:coreProperties>
</file>