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16"/>
        </w:rPr>
      </w:pPr>
      <w:bookmarkStart w:id="0" w:name="d215784ds3.htm"/>
      <w:bookmarkStart w:id="1" w:name="ksd215784ds3"/>
      <w:bookmarkEnd w:id="0"/>
      <w:bookmarkEnd w:id="1"/>
      <w:r>
        <w:rPr>
          <w:rFonts w:ascii="Times New Roman" w:hAnsi="Times New Roman"/>
          <w:b/>
          <w:sz w:val="16"/>
        </w:rPr>
        <w:t xml:space="preserve">As filed with the Securities and Exchange Commission on August 13, 2026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Form S-3</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44"/>
        </w:rPr>
      </w:pPr>
      <w:r>
        <w:rPr>
          <w:rFonts w:ascii="Times New Roman" w:hAnsi="Times New Roman"/>
          <w:b/>
          <w:sz w:val="44"/>
        </w:rPr>
        <w:t xml:space="preserve">SERES THERAPEUTICS,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27-4326290</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80" w:after="0"/>
        <w:jc w:val="center"/>
        <w:rPr>
          <w:rFonts w:ascii="Times New Roman" w:hAnsi="Times New Roman"/>
          <w:b/>
          <w:sz w:val="16"/>
        </w:rPr>
      </w:pPr>
      <w:r>
        <w:rPr>
          <w:rFonts w:ascii="Times New Roman" w:hAnsi="Times New Roman"/>
          <w:b/>
          <w:sz w:val="16"/>
        </w:rPr>
        <w:t xml:space="preserve">101 Cambridgepark Drive </w:t>
      </w:r>
    </w:p>
    <w:p>
      <w:pPr>
        <w:pStyle w:val="TextBody"/>
        <w:bidi w:val="0"/>
        <w:spacing w:before="0" w:after="0"/>
        <w:jc w:val="center"/>
        <w:rPr>
          <w:rFonts w:ascii="Times New Roman" w:hAnsi="Times New Roman"/>
          <w:b/>
          <w:sz w:val="16"/>
        </w:rPr>
      </w:pPr>
      <w:r>
        <w:rPr>
          <w:rFonts w:ascii="Times New Roman" w:hAnsi="Times New Roman"/>
          <w:b/>
          <w:sz w:val="16"/>
        </w:rPr>
        <w:t xml:space="preserve">Cambridge, MA 02140 </w:t>
      </w:r>
    </w:p>
    <w:p>
      <w:pPr>
        <w:pStyle w:val="TextBody"/>
        <w:bidi w:val="0"/>
        <w:spacing w:before="0" w:after="0"/>
        <w:jc w:val="center"/>
        <w:rPr>
          <w:rFonts w:ascii="Times New Roman" w:hAnsi="Times New Roman"/>
          <w:b/>
          <w:sz w:val="16"/>
        </w:rPr>
      </w:pPr>
      <w:r>
        <w:rPr>
          <w:rFonts w:ascii="Times New Roman" w:hAnsi="Times New Roman"/>
          <w:b/>
          <w:sz w:val="16"/>
        </w:rPr>
        <w:t>(617) 945-9626</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6"/>
        </w:rPr>
      </w:pPr>
      <w:r>
        <w:rPr>
          <w:rFonts w:ascii="Times New Roman" w:hAnsi="Times New Roman"/>
          <w:b/>
          <w:sz w:val="16"/>
        </w:rPr>
        <w:t xml:space="preserve">Richard N. Kender </w:t>
      </w:r>
    </w:p>
    <w:p>
      <w:pPr>
        <w:pStyle w:val="TextBody"/>
        <w:bidi w:val="0"/>
        <w:spacing w:before="0" w:after="0"/>
        <w:jc w:val="center"/>
        <w:rPr>
          <w:rFonts w:ascii="Times New Roman" w:hAnsi="Times New Roman"/>
          <w:b/>
          <w:sz w:val="16"/>
        </w:rPr>
      </w:pPr>
      <w:r>
        <w:rPr>
          <w:rFonts w:ascii="Times New Roman" w:hAnsi="Times New Roman"/>
          <w:b/>
          <w:sz w:val="16"/>
        </w:rPr>
        <w:t xml:space="preserve">Executive Chair and Interim 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Seres Therapeutics, Inc. </w:t>
      </w:r>
    </w:p>
    <w:p>
      <w:pPr>
        <w:pStyle w:val="TextBody"/>
        <w:bidi w:val="0"/>
        <w:spacing w:before="0" w:after="0"/>
        <w:jc w:val="center"/>
        <w:rPr>
          <w:rFonts w:ascii="Times New Roman" w:hAnsi="Times New Roman"/>
          <w:b/>
          <w:sz w:val="16"/>
        </w:rPr>
      </w:pPr>
      <w:r>
        <w:rPr>
          <w:rFonts w:ascii="Times New Roman" w:hAnsi="Times New Roman"/>
          <w:b/>
          <w:sz w:val="16"/>
        </w:rPr>
        <w:t xml:space="preserve">101 Cambridgepark Drive </w:t>
      </w:r>
    </w:p>
    <w:p>
      <w:pPr>
        <w:pStyle w:val="TextBody"/>
        <w:bidi w:val="0"/>
        <w:spacing w:before="0" w:after="0"/>
        <w:jc w:val="center"/>
        <w:rPr>
          <w:rFonts w:ascii="Times New Roman" w:hAnsi="Times New Roman"/>
          <w:b/>
          <w:sz w:val="16"/>
        </w:rPr>
      </w:pPr>
      <w:r>
        <w:rPr>
          <w:rFonts w:ascii="Times New Roman" w:hAnsi="Times New Roman"/>
          <w:b/>
          <w:sz w:val="16"/>
        </w:rPr>
        <w:t>Cambridge, MA 02140 (617) 945-9626</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80" w:after="0"/>
        <w:jc w:val="center"/>
        <w:rPr>
          <w:rFonts w:ascii="Times New Roman" w:hAnsi="Times New Roman"/>
          <w:b/>
          <w:sz w:val="16"/>
        </w:rPr>
      </w:pPr>
      <w:r>
        <w:rPr>
          <w:rFonts w:ascii="Times New Roman" w:hAnsi="Times New Roman"/>
          <w:b/>
          <w:sz w:val="16"/>
        </w:rPr>
        <w:t xml:space="preserve">Peter N. Handrinos, Esq. </w:t>
      </w:r>
    </w:p>
    <w:p>
      <w:pPr>
        <w:pStyle w:val="TextBody"/>
        <w:bidi w:val="0"/>
        <w:spacing w:before="0" w:after="0"/>
        <w:jc w:val="center"/>
        <w:rPr>
          <w:rFonts w:ascii="Times New Roman" w:hAnsi="Times New Roman"/>
          <w:b/>
          <w:sz w:val="16"/>
        </w:rPr>
      </w:pPr>
      <w:r>
        <w:rPr>
          <w:rFonts w:ascii="Times New Roman" w:hAnsi="Times New Roman"/>
          <w:b/>
          <w:sz w:val="16"/>
        </w:rPr>
        <w:t xml:space="preserve">Wesley C. Holmes, Esq. </w:t>
      </w:r>
    </w:p>
    <w:p>
      <w:pPr>
        <w:pStyle w:val="TextBody"/>
        <w:bidi w:val="0"/>
        <w:spacing w:before="0" w:after="0"/>
        <w:jc w:val="center"/>
        <w:rPr>
          <w:rFonts w:ascii="Times New Roman" w:hAnsi="Times New Roman"/>
          <w:b/>
          <w:sz w:val="16"/>
        </w:rPr>
      </w:pPr>
      <w:r>
        <w:rPr>
          <w:rFonts w:ascii="Times New Roman" w:hAnsi="Times New Roman"/>
          <w:b/>
          <w:sz w:val="16"/>
        </w:rPr>
        <w:t xml:space="preserve">Jennifer A. Yoon, Esq. </w:t>
      </w:r>
    </w:p>
    <w:p>
      <w:pPr>
        <w:pStyle w:val="TextBody"/>
        <w:bidi w:val="0"/>
        <w:spacing w:before="0" w:after="0"/>
        <w:jc w:val="center"/>
        <w:rPr>
          <w:rFonts w:ascii="Times New Roman" w:hAnsi="Times New Roman"/>
          <w:b/>
          <w:sz w:val="16"/>
        </w:rPr>
      </w:pPr>
      <w:r>
        <w:rPr>
          <w:rFonts w:ascii="Times New Roman" w:hAnsi="Times New Roman"/>
          <w:b/>
          <w:sz w:val="16"/>
        </w:rPr>
        <w:t xml:space="preserve">Latham &amp; Watkins LLP </w:t>
      </w:r>
    </w:p>
    <w:p>
      <w:pPr>
        <w:pStyle w:val="TextBody"/>
        <w:bidi w:val="0"/>
        <w:spacing w:before="0" w:after="0"/>
        <w:jc w:val="center"/>
        <w:rPr>
          <w:rFonts w:ascii="Times New Roman" w:hAnsi="Times New Roman"/>
          <w:b/>
          <w:sz w:val="16"/>
        </w:rPr>
      </w:pPr>
      <w:r>
        <w:rPr>
          <w:rFonts w:ascii="Times New Roman" w:hAnsi="Times New Roman"/>
          <w:b/>
          <w:sz w:val="16"/>
        </w:rPr>
        <w:t xml:space="preserve">200 Clarendon Street </w:t>
      </w:r>
    </w:p>
    <w:p>
      <w:pPr>
        <w:pStyle w:val="TextBody"/>
        <w:bidi w:val="0"/>
        <w:spacing w:before="0" w:after="0"/>
        <w:jc w:val="center"/>
        <w:rPr>
          <w:rFonts w:ascii="Times New Roman" w:hAnsi="Times New Roman"/>
          <w:b/>
          <w:sz w:val="16"/>
        </w:rPr>
      </w:pPr>
      <w:r>
        <w:rPr>
          <w:rFonts w:ascii="Times New Roman" w:hAnsi="Times New Roman"/>
          <w:b/>
          <w:sz w:val="16"/>
        </w:rPr>
        <w:t xml:space="preserve">Boston, MA 02116 </w:t>
      </w:r>
    </w:p>
    <w:p>
      <w:pPr>
        <w:pStyle w:val="TextBody"/>
        <w:bidi w:val="0"/>
        <w:spacing w:before="0" w:after="0"/>
        <w:jc w:val="center"/>
        <w:rPr>
          <w:rFonts w:ascii="Times New Roman" w:hAnsi="Times New Roman"/>
          <w:b/>
          <w:sz w:val="16"/>
        </w:rPr>
      </w:pPr>
      <w:r>
        <w:rPr>
          <w:rFonts w:ascii="Times New Roman" w:hAnsi="Times New Roman"/>
          <w:b/>
          <w:sz w:val="16"/>
        </w:rPr>
        <w:t>(617) 948-6000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sz w:val="16"/>
        </w:rPr>
      </w:pPr>
      <w:r>
        <w:rPr>
          <w:rFonts w:ascii="Times New Roman" w:hAnsi="Times New Roman"/>
          <w:b/>
          <w:sz w:val="16"/>
        </w:rPr>
        <w:t xml:space="preserve">APPROXIMATE DATE OF COMMENCEMENT OF PROPOSED SALE TO THE PUBLIC: </w:t>
      </w:r>
      <w:r>
        <w:rPr>
          <w:rFonts w:ascii="Times New Roman" w:hAnsi="Times New Roman"/>
          <w:sz w:val="16"/>
        </w:rPr>
        <w:t xml:space="preserve">From time to time after the effective date of this registration statement. </w:t>
      </w:r>
    </w:p>
    <w:p>
      <w:pPr>
        <w:pStyle w:val="TextBody"/>
        <w:bidi w:val="0"/>
        <w:spacing w:before="8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on filing with the Commission pursuant to Rule 462(e) under the Securities Act,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8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80"/>
        <w:gridCol w:w="104"/>
        <w:gridCol w:w="4794"/>
        <w:gridCol w:w="130"/>
        <w:gridCol w:w="2632"/>
        <w:gridCol w:w="104"/>
        <w:gridCol w:w="261"/>
      </w:tblGrid>
      <w:tr>
        <w:trPr/>
        <w:tc>
          <w:tcPr>
            <w:tcW w:w="218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79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12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pPr>
            <w:r>
              <w:rPr/>
              <w:t>☒</w:t>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r>
        <w:trPr>
          <w:trHeight w:val="120" w:hRule="atLeast"/>
        </w:trPr>
        <w:tc>
          <w:tcPr>
            <w:tcW w:w="2180" w:type="dxa"/>
            <w:tcBorders/>
            <w:vAlign w:val="center"/>
          </w:tcPr>
          <w:p>
            <w:pPr>
              <w:pStyle w:val="TableContents"/>
              <w:bidi w:val="0"/>
              <w:spacing w:before="0" w:after="283"/>
              <w:jc w:val="left"/>
              <w:rPr>
                <w:sz w:val="4"/>
                <w:szCs w:val="4"/>
              </w:rPr>
            </w:pPr>
            <w:r>
              <w:rPr>
                <w:sz w:val="4"/>
                <w:szCs w:val="4"/>
              </w:rPr>
            </w:r>
          </w:p>
        </w:tc>
        <w:tc>
          <w:tcPr>
            <w:tcW w:w="4898"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65" w:type="dxa"/>
            <w:gridSpan w:val="2"/>
            <w:tcBorders/>
            <w:vAlign w:val="center"/>
          </w:tcPr>
          <w:p>
            <w:pPr>
              <w:pStyle w:val="TableContents"/>
              <w:bidi w:val="0"/>
              <w:spacing w:before="0" w:after="283"/>
              <w:jc w:val="left"/>
              <w:rPr>
                <w:sz w:val="4"/>
                <w:szCs w:val="4"/>
              </w:rPr>
            </w:pPr>
            <w:r>
              <w:rPr>
                <w:sz w:val="4"/>
                <w:szCs w:val="4"/>
              </w:rPr>
            </w:r>
          </w:p>
        </w:tc>
      </w:tr>
      <w:tr>
        <w:trPr/>
        <w:tc>
          <w:tcPr>
            <w:tcW w:w="2180"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794"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2632"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left"/>
              <w:rPr/>
            </w:pPr>
            <w:r>
              <w:rPr/>
              <w:t>☐</w:t>
            </w:r>
          </w:p>
        </w:tc>
      </w:tr>
    </w:tbl>
    <w:p>
      <w:pPr>
        <w:pStyle w:val="TextBody"/>
        <w:bidi w:val="0"/>
        <w:spacing w:before="8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contains: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base prospectus which covers the offering, issuance and sale by us of up to $300,000,000 in the aggregate of the securities identified herein from time to time in one or more offerings;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sales agreement prospectus supplement covering the offering, issuance and sale by us of up to a maximum aggregate offering price of $100,000,000 of our common stock that may be issued and sold under a sales agreement with TD Securities (USA) LLC, or TD Cowen, or the ATM Program.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base prospectus immediately follows this explanatory note. The specific terms of any securities to be offered pursuant to the base prospectus will be specified in a prospectus supplement to the base prospectus. The sales agreement prospectus supplement immediately follows the base prospectus. The $100,000,000 of common stock that may be offered, issued and sold under the sales agreement prospectus supplement is included in the $300,000,000 of securities that may be offered, issued and sold by us under the base prospectus. Upon termination of the sales agreement with TD Cowen, any portion of the $100,000,000 included in the sales agreement prospectus supplement that is not sold pursuant to the sales agreement will be available for sale in other offerings pursuant to the base prospectus and a corresponding prospectus supplement, and if no shares are sold under the sales agreement, the full $100,000,000 of securities may be sold in other offerings pursuant to the base prospectus and a corresponding prospectus supplement. </w:t>
      </w:r>
      <w:r>
        <w:br w:type="page"/>
      </w:r>
    </w:p>
    <w:p>
      <w:pPr>
        <w:pStyle w:val="HorizontalLine"/>
        <w:pBdr>
          <w:bottom w:val="double" w:sz="6" w:space="0" w:color="808080"/>
        </w:pBdr>
        <w:bidi w:val="0"/>
        <w:jc w:val="left"/>
        <w:rPr/>
      </w:pPr>
      <w:r>
        <w:rPr/>
      </w:r>
    </w:p>
    <w:p>
      <w:pPr>
        <w:pStyle w:val="TextBody"/>
        <w:bidi w:val="0"/>
        <w:spacing w:before="0" w:after="0"/>
        <w:jc w:val="left"/>
        <w:rPr>
          <w:rFonts w:ascii="Arial Narrow" w:hAnsi="Arial Narrow"/>
          <w:b/>
          <w:color w:val="FF4338"/>
          <w:sz w:val="18"/>
        </w:rPr>
      </w:pPr>
      <w:r>
        <w:rPr>
          <w:rFonts w:ascii="Arial Narrow" w:hAnsi="Arial Narrow"/>
          <w:b/>
          <w:color w:val="FF4338"/>
          <w:sz w:val="18"/>
        </w:rPr>
        <w:t xml:space="preserve">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18"/>
        </w:rPr>
      </w:pPr>
      <w:r>
        <w:rPr>
          <w:rFonts w:ascii="Times New Roman" w:hAnsi="Times New Roman"/>
          <w:b/>
          <w:color w:val="FF4338"/>
          <w:sz w:val="18"/>
        </w:rPr>
        <w:t xml:space="preserve">Subject to Completion, dated August 13, 2026 </w:t>
      </w:r>
    </w:p>
    <w:p>
      <w:pPr>
        <w:pStyle w:val="TextBody"/>
        <w:bidi w:val="0"/>
        <w:spacing w:before="120" w:after="0"/>
        <w:ind w:left="960" w:right="960" w:hanging="0"/>
        <w:jc w:val="left"/>
        <w:rPr>
          <w:rFonts w:ascii="Times New Roman" w:hAnsi="Times New Roman"/>
          <w:b/>
          <w:sz w:val="18"/>
        </w:rPr>
      </w:pPr>
      <w:r>
        <w:rPr>
          <w:rFonts w:ascii="Times New Roman" w:hAnsi="Times New Roman"/>
          <w:b/>
          <w:sz w:val="18"/>
        </w:rPr>
        <w:t xml:space="preserve">PROSPECTUS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179070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0700" cy="704850"/>
                    </a:xfrm>
                    <a:prstGeom prst="rect">
                      <a:avLst/>
                    </a:prstGeom>
                  </pic:spPr>
                </pic:pic>
              </a:graphicData>
            </a:graphic>
          </wp:inline>
        </w:drawing>
      </w:r>
      <w:r>
        <w:rPr/>
        <w:t xml:space="preserve"> </w:t>
      </w:r>
    </w:p>
    <w:p>
      <w:pPr>
        <w:pStyle w:val="TextBody"/>
        <w:bidi w:val="0"/>
        <w:spacing w:before="120" w:after="0"/>
        <w:ind w:left="960" w:right="960" w:hanging="0"/>
        <w:jc w:val="center"/>
        <w:rPr>
          <w:rFonts w:ascii="Times New Roman" w:hAnsi="Times New Roman"/>
          <w:b/>
          <w:sz w:val="44"/>
        </w:rPr>
      </w:pPr>
      <w:r>
        <w:rPr>
          <w:rFonts w:ascii="Times New Roman" w:hAnsi="Times New Roman"/>
          <w:b/>
          <w:sz w:val="44"/>
        </w:rPr>
        <w:t xml:space="preserve">SERES THERAPEUTICS, INC. </w:t>
      </w:r>
    </w:p>
    <w:p>
      <w:pPr>
        <w:pStyle w:val="TextBody"/>
        <w:bidi w:val="0"/>
        <w:spacing w:before="120" w:after="0"/>
        <w:ind w:left="960" w:right="960" w:hanging="0"/>
        <w:jc w:val="center"/>
        <w:rPr>
          <w:rFonts w:ascii="Times New Roman" w:hAnsi="Times New Roman"/>
          <w:b/>
          <w:sz w:val="32"/>
        </w:rPr>
      </w:pPr>
      <w:r>
        <w:rPr>
          <w:rFonts w:ascii="Times New Roman" w:hAnsi="Times New Roman"/>
          <w:b/>
          <w:sz w:val="32"/>
        </w:rPr>
        <w:t xml:space="preserve">$300,000,000 </w:t>
      </w:r>
    </w:p>
    <w:p>
      <w:pPr>
        <w:pStyle w:val="TextBody"/>
        <w:bidi w:val="0"/>
        <w:spacing w:before="120" w:after="0"/>
        <w:ind w:left="960" w:right="960" w:hanging="0"/>
        <w:jc w:val="center"/>
        <w:rPr>
          <w:rFonts w:ascii="Times New Roman" w:hAnsi="Times New Roman"/>
          <w:b/>
          <w:sz w:val="32"/>
        </w:rPr>
      </w:pPr>
      <w:r>
        <w:rPr>
          <w:rFonts w:ascii="Times New Roman" w:hAnsi="Times New Roman"/>
          <w:b/>
          <w:sz w:val="32"/>
        </w:rPr>
        <w:t xml:space="preserve">Common Stock </w:t>
      </w:r>
    </w:p>
    <w:p>
      <w:pPr>
        <w:pStyle w:val="TextBody"/>
        <w:bidi w:val="0"/>
        <w:spacing w:before="0" w:after="0"/>
        <w:ind w:left="960" w:right="960" w:hanging="0"/>
        <w:jc w:val="center"/>
        <w:rPr>
          <w:rFonts w:ascii="Times New Roman" w:hAnsi="Times New Roman"/>
          <w:b/>
          <w:sz w:val="32"/>
        </w:rPr>
      </w:pPr>
      <w:r>
        <w:rPr>
          <w:rFonts w:ascii="Times New Roman" w:hAnsi="Times New Roman"/>
          <w:b/>
          <w:sz w:val="32"/>
        </w:rPr>
        <w:t xml:space="preserve">Preferred Stock </w:t>
      </w:r>
    </w:p>
    <w:p>
      <w:pPr>
        <w:pStyle w:val="TextBody"/>
        <w:bidi w:val="0"/>
        <w:spacing w:before="0" w:after="0"/>
        <w:ind w:left="960" w:right="960" w:hanging="0"/>
        <w:jc w:val="center"/>
        <w:rPr>
          <w:rFonts w:ascii="Times New Roman" w:hAnsi="Times New Roman"/>
          <w:b/>
          <w:sz w:val="32"/>
        </w:rPr>
      </w:pPr>
      <w:r>
        <w:rPr>
          <w:rFonts w:ascii="Times New Roman" w:hAnsi="Times New Roman"/>
          <w:b/>
          <w:sz w:val="32"/>
        </w:rPr>
        <w:t xml:space="preserve">Debt Securities </w:t>
      </w:r>
    </w:p>
    <w:p>
      <w:pPr>
        <w:pStyle w:val="TextBody"/>
        <w:bidi w:val="0"/>
        <w:spacing w:before="0" w:after="0"/>
        <w:ind w:left="960" w:right="960" w:hanging="0"/>
        <w:jc w:val="center"/>
        <w:rPr>
          <w:rFonts w:ascii="Times New Roman" w:hAnsi="Times New Roman"/>
          <w:b/>
          <w:sz w:val="32"/>
        </w:rPr>
      </w:pPr>
      <w:r>
        <w:rPr>
          <w:rFonts w:ascii="Times New Roman" w:hAnsi="Times New Roman"/>
          <w:b/>
          <w:sz w:val="32"/>
        </w:rPr>
        <w:t xml:space="preserve">Warrants </w:t>
      </w:r>
    </w:p>
    <w:p>
      <w:pPr>
        <w:pStyle w:val="TextBody"/>
        <w:bidi w:val="0"/>
        <w:spacing w:before="0" w:after="0"/>
        <w:ind w:left="960" w:right="960" w:hanging="0"/>
        <w:jc w:val="center"/>
        <w:rPr>
          <w:rFonts w:ascii="Times New Roman" w:hAnsi="Times New Roman"/>
          <w:b/>
          <w:sz w:val="32"/>
        </w:rPr>
      </w:pPr>
      <w:r>
        <w:rPr>
          <w:rFonts w:ascii="Times New Roman" w:hAnsi="Times New Roman"/>
          <w:b/>
          <w:sz w:val="32"/>
        </w:rPr>
        <w:t xml:space="preserve">Units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We may offer and sell up to $300,000,000 in the aggregate of the securities identified above from time to time in one or more offerings. This prospectus provides you with a general description of the securities.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The aggregate market value of our outstanding common stock held by non-affiliates pursuant to General Instruction I.B.6 of Form S-3 was $63,154,255.12, which was calculated based on 10,044,781 shares of common stock outstanding, as of August 11, 2026, of which 7,758,508 shares were held by non-affiliates, and a price per share of $8.14 which was the closing sale price of our common stock on the Nasdaq Global Select Market on July 7, 2026. Pursuant to General Instruction I.B.6. of Form S-3, in no event will we sell securities pursuant to the registration statement with a value more than one-third of the aggregate market value of our common stock held by non-affiliates in any 12-month period, so long as the aggregate market value of our common stock held by non-affiliates is less than $75.0 million. During the prior 12-calendar-month period that ends on, and includes, the date of this prospectus, we have not sold any securities pursuant to General Instruction I.B.6. of Form S-3.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left"/>
        <w:rPr/>
      </w:pPr>
      <w:r>
        <w:rPr>
          <w:rFonts w:ascii="Times New Roman" w:hAnsi="Times New Roman"/>
          <w:b/>
          <w:sz w:val="20"/>
        </w:rPr>
        <w:t>INVESTING IN OUR SECURITIES INVOLVES RISKS. SEE THE “</w:t>
      </w:r>
      <w:hyperlink w:anchor="toc215784_4">
        <w:r>
          <w:rPr>
            <w:rStyle w:val="InternetLink"/>
            <w:rFonts w:ascii="Times New Roman" w:hAnsi="Times New Roman"/>
            <w:b/>
            <w:sz w:val="20"/>
          </w:rPr>
          <w:t>RISK FACTORS</w:t>
        </w:r>
      </w:hyperlink>
      <w:r>
        <w:rPr>
          <w:rFonts w:ascii="Times New Roman" w:hAnsi="Times New Roman"/>
          <w:b/>
          <w:sz w:val="20"/>
        </w:rPr>
        <w:t xml:space="preserve">” ON PAGE 5 OF THIS PROSPECTUS AND ANY SIMILAR SECTION CONTAINED IN THE APPLICABLE PROSPECTUS SUPPLEMENT CONCERNING FACTORS YOU SHOULD CONSIDER BEFORE INVESTING IN OUR SECURITIES. </w:t>
      </w:r>
    </w:p>
    <w:p>
      <w:pPr>
        <w:pStyle w:val="TextBody"/>
        <w:bidi w:val="0"/>
        <w:spacing w:before="120" w:after="0"/>
        <w:ind w:left="960" w:right="960" w:hanging="0"/>
        <w:jc w:val="left"/>
        <w:rPr>
          <w:rFonts w:ascii="Times New Roman" w:hAnsi="Times New Roman"/>
          <w:sz w:val="18"/>
        </w:rPr>
      </w:pPr>
      <w:r>
        <w:rPr>
          <w:rFonts w:ascii="Times New Roman" w:hAnsi="Times New Roman"/>
          <w:sz w:val="18"/>
        </w:rPr>
        <w:t xml:space="preserve">Our common stock is listed on the Nasdaq Global Select Market under the symbol “MCRB.” On August 11, 2026, the last reported sale price of our common stock on the Nasdaq Global Select Market was $4.64 per share. </w:t>
      </w:r>
    </w:p>
    <w:p>
      <w:pPr>
        <w:pStyle w:val="TextBody"/>
        <w:bidi w:val="0"/>
        <w:spacing w:before="120" w:after="0"/>
        <w:ind w:left="960" w:right="960" w:hanging="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120" w:after="0"/>
        <w:ind w:left="960" w:right="960" w:hanging="0"/>
        <w:jc w:val="center"/>
        <w:rPr>
          <w:rFonts w:ascii="Times New Roman" w:hAnsi="Times New Roman"/>
          <w:b/>
          <w:sz w:val="18"/>
        </w:rPr>
      </w:pPr>
      <w:r>
        <w:rPr>
          <w:rFonts w:ascii="Times New Roman" w:hAnsi="Times New Roman"/>
          <w:b/>
          <w:sz w:val="18"/>
        </w:rPr>
        <w:t xml:space="preserve">The date of this prospectus is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9"/>
        <w:gridCol w:w="170"/>
        <w:gridCol w:w="60"/>
        <w:gridCol w:w="264"/>
        <w:gridCol w:w="62"/>
      </w:tblGrid>
      <w:tr>
        <w:trPr/>
        <w:tc>
          <w:tcPr>
            <w:tcW w:w="9649"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9" w:type="dxa"/>
            <w:tcBorders/>
          </w:tcPr>
          <w:p>
            <w:pPr>
              <w:pStyle w:val="TableContents"/>
              <w:bidi w:val="0"/>
              <w:spacing w:before="0" w:after="0"/>
              <w:jc w:val="left"/>
              <w:rPr/>
            </w:pPr>
            <w:hyperlink w:anchor="toc215784_1">
              <w:r>
                <w:rPr>
                  <w:rStyle w:val="InternetLink"/>
                  <w:rFonts w:ascii="Times New Roman" w:hAnsi="Times New Roman"/>
                  <w:sz w:val="20"/>
                </w:rPr>
                <w:t>ABOUT THIS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215784_2">
              <w:r>
                <w:rPr>
                  <w:rStyle w:val="InternetLink"/>
                  <w:rFonts w:ascii="Times New Roman" w:hAnsi="Times New Roman"/>
                  <w:sz w:val="20"/>
                </w:rPr>
                <w:t>WHERE YOU CAN FIND MORE INFORMATION; INCORPORATION BY REFERENCE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215784_3">
              <w:r>
                <w:rPr>
                  <w:rStyle w:val="InternetLink"/>
                  <w:rFonts w:ascii="Times New Roman" w:hAnsi="Times New Roman"/>
                  <w:sz w:val="20"/>
                </w:rPr>
                <w:t>THE COMPANY</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215784_4">
              <w:r>
                <w:rPr>
                  <w:rStyle w:val="InternetLink"/>
                  <w:rFonts w:ascii="Times New Roman" w:hAnsi="Times New Roman"/>
                  <w:sz w:val="20"/>
                </w:rPr>
                <w:t>RISK FACTORS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215784_5">
              <w:r>
                <w:rPr>
                  <w:rStyle w:val="InternetLink"/>
                  <w:rFonts w:ascii="Times New Roman" w:hAnsi="Times New Roman"/>
                  <w:sz w:val="20"/>
                </w:rPr>
                <w:t>USE OF PROCEEDS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215784_6">
              <w:r>
                <w:rPr>
                  <w:rStyle w:val="InternetLink"/>
                  <w:rFonts w:ascii="Times New Roman" w:hAnsi="Times New Roman"/>
                  <w:sz w:val="20"/>
                </w:rPr>
                <w:t>DESCRIPTION OF CAPITAL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215784_7">
              <w:r>
                <w:rPr>
                  <w:rStyle w:val="InternetLink"/>
                  <w:rFonts w:ascii="Times New Roman" w:hAnsi="Times New Roman"/>
                  <w:sz w:val="20"/>
                </w:rPr>
                <w:t>DESCRIPTION OF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215784_8">
              <w:r>
                <w:rPr>
                  <w:rStyle w:val="InternetLink"/>
                  <w:rFonts w:ascii="Times New Roman" w:hAnsi="Times New Roman"/>
                  <w:sz w:val="20"/>
                </w:rPr>
                <w:t>DESCRIPTION OF WARRANTS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215784_9">
              <w:r>
                <w:rPr>
                  <w:rStyle w:val="InternetLink"/>
                  <w:rFonts w:ascii="Times New Roman" w:hAnsi="Times New Roman"/>
                  <w:sz w:val="20"/>
                </w:rPr>
                <w:t>DESCRIPTION OF UNITS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215784_10">
              <w:r>
                <w:rPr>
                  <w:rStyle w:val="InternetLink"/>
                  <w:rFonts w:ascii="Times New Roman" w:hAnsi="Times New Roman"/>
                  <w:sz w:val="20"/>
                </w:rPr>
                <w:t>GLOBAL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215784_11">
              <w:r>
                <w:rPr>
                  <w:rStyle w:val="InternetLink"/>
                  <w:rFonts w:ascii="Times New Roman" w:hAnsi="Times New Roman"/>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215784_12">
              <w:r>
                <w:rPr>
                  <w:rStyle w:val="InternetLink"/>
                  <w:rFonts w:ascii="Times New Roman" w:hAnsi="Times New Roman"/>
                  <w:sz w:val="20"/>
                </w:rPr>
                <w:t>LEGAL MATTERS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pPr>
            <w:hyperlink w:anchor="toc215784_13">
              <w:r>
                <w:rPr>
                  <w:rStyle w:val="InternetLink"/>
                  <w:rFonts w:ascii="Times New Roman" w:hAnsi="Times New Roman"/>
                  <w:sz w:val="20"/>
                </w:rPr>
                <w:t>EXPERTS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3" w:name="toc215784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$300,000,000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“Seres,” “we,” “our,” “us” and the “Company” in this prospectus, we mean Seres Therapeutics, Inc. and its consolidated subsidiaries, unless otherwise specified. When we refer to “you,” we mean the potential holders of the applicable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We have proprietary rights to trademarks that are used in this prospectus and the documents incorporated by reference herein, which are important to our business and many of which are registered under applicable intellectual property laws. Solely for convenience, the trademarks, service marks, logos and trade names referred to in this prospectus and the documents incorporated by reference herein may be without the ® and  symbols, but such references are not intended to indicate, in any way, that we will not assert, to the fullest extent under applicable law, our rights to these trademarks, service marks and trade names. This prospectus and the documents incorporated by reference herein contain additional trademarks, service marks and trade names of others, which are the property of their respective owners. All trademarks, service marks and trade names appearing in this prospectus and the documents incorporated by reference herein are, to our knowledge, the property of their respective owners. We do not intend our use or display of other companies’ trademarks, service marks, copyrights or trade names to imply a relationship with, or endorsement or sponsorship of us by, any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toc215784_2"/>
      <w:bookmarkEnd w:id="4"/>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hAnsi="Times New Roman"/>
          <w:i/>
          <w:sz w:val="20"/>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t>
      </w:r>
      <w:r>
        <w:rPr>
          <w:rFonts w:ascii="Times New Roman" w:hAnsi="Times New Roman"/>
          <w:i/>
          <w:sz w:val="20"/>
        </w:rPr>
        <w:t>http://www.serestherapeutics.com</w:t>
      </w:r>
      <w:r>
        <w:rPr>
          <w:rFonts w:ascii="Times New Roman" w:hAnsi="Times New Roman"/>
          <w:sz w:val="20"/>
        </w:rPr>
        <w:t xml:space="preserve">. The information on our website, however, is not, and should not be deemed to be,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incorporate by reference the documents set forth below that have previously been filed with the SEC. We are not incorporating by reference any documents or portions thereof that are not deemed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w:t>
            </w:r>
            <w:hyperlink r:id="rId4">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27,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5">
              <w:r>
                <w:rPr>
                  <w:rStyle w:val="InternetLink"/>
                  <w:rFonts w:ascii="Times New Roman" w:hAnsi="Times New Roman"/>
                  <w:sz w:val="20"/>
                </w:rPr>
                <w:t>May  5, 2026</w:t>
              </w:r>
            </w:hyperlink>
            <w:r>
              <w:rPr>
                <w:rFonts w:ascii="Times New Roman" w:hAnsi="Times New Roman"/>
                <w:sz w:val="20"/>
              </w:rPr>
              <w:t xml:space="preserve"> and </w:t>
            </w:r>
            <w:hyperlink r:id="rId6">
              <w:r>
                <w:rPr>
                  <w:rStyle w:val="InternetLink"/>
                  <w:rFonts w:ascii="Times New Roman" w:hAnsi="Times New Roman"/>
                  <w:sz w:val="20"/>
                </w:rPr>
                <w:t>August 5,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7">
              <w:r>
                <w:rPr>
                  <w:rStyle w:val="InternetLink"/>
                  <w:rFonts w:ascii="Times New Roman" w:hAnsi="Times New Roman"/>
                  <w:sz w:val="20"/>
                </w:rPr>
                <w:t>March 2, 2026</w:t>
              </w:r>
            </w:hyperlink>
            <w:r>
              <w:rPr>
                <w:rFonts w:ascii="Times New Roman" w:hAnsi="Times New Roman"/>
                <w:sz w:val="20"/>
              </w:rPr>
              <w:t xml:space="preserve">, </w:t>
            </w:r>
            <w:hyperlink r:id="rId8">
              <w:r>
                <w:rPr>
                  <w:rStyle w:val="InternetLink"/>
                  <w:rFonts w:ascii="Times New Roman" w:hAnsi="Times New Roman"/>
                  <w:sz w:val="20"/>
                </w:rPr>
                <w:t>March  16, 2026</w:t>
              </w:r>
            </w:hyperlink>
            <w:r>
              <w:rPr>
                <w:rFonts w:ascii="Times New Roman" w:hAnsi="Times New Roman"/>
                <w:sz w:val="20"/>
              </w:rPr>
              <w:t xml:space="preserve">, </w:t>
            </w:r>
            <w:hyperlink r:id="rId9">
              <w:r>
                <w:rPr>
                  <w:rStyle w:val="InternetLink"/>
                  <w:rFonts w:ascii="Times New Roman" w:hAnsi="Times New Roman"/>
                  <w:sz w:val="20"/>
                </w:rPr>
                <w:t>June  1, 2026</w:t>
              </w:r>
            </w:hyperlink>
            <w:r>
              <w:rPr>
                <w:rFonts w:ascii="Times New Roman" w:hAnsi="Times New Roman"/>
                <w:sz w:val="20"/>
              </w:rPr>
              <w:t xml:space="preserve">, </w:t>
            </w:r>
            <w:hyperlink r:id="rId10">
              <w:r>
                <w:rPr>
                  <w:rStyle w:val="InternetLink"/>
                  <w:rFonts w:ascii="Times New Roman" w:hAnsi="Times New Roman"/>
                  <w:sz w:val="20"/>
                </w:rPr>
                <w:t>June  5, 2026</w:t>
              </w:r>
            </w:hyperlink>
            <w:r>
              <w:rPr>
                <w:rFonts w:ascii="Times New Roman" w:hAnsi="Times New Roman"/>
                <w:sz w:val="20"/>
              </w:rPr>
              <w:t xml:space="preserve">, </w:t>
            </w:r>
            <w:hyperlink r:id="rId11">
              <w:r>
                <w:rPr>
                  <w:rStyle w:val="InternetLink"/>
                  <w:rFonts w:ascii="Times New Roman" w:hAnsi="Times New Roman"/>
                  <w:sz w:val="20"/>
                </w:rPr>
                <w:t>July  8, 2026</w:t>
              </w:r>
            </w:hyperlink>
            <w:r>
              <w:rPr>
                <w:rFonts w:ascii="Times New Roman" w:hAnsi="Times New Roman"/>
                <w:sz w:val="20"/>
              </w:rPr>
              <w:t xml:space="preserve"> and </w:t>
            </w:r>
            <w:hyperlink r:id="rId12">
              <w:r>
                <w:rPr>
                  <w:rStyle w:val="InternetLink"/>
                  <w:rFonts w:ascii="Times New Roman" w:hAnsi="Times New Roman"/>
                  <w:sz w:val="20"/>
                </w:rPr>
                <w:t>August 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3">
              <w:r>
                <w:rPr>
                  <w:rStyle w:val="InternetLink"/>
                  <w:rFonts w:ascii="Times New Roman" w:hAnsi="Times New Roman"/>
                  <w:sz w:val="20"/>
                </w:rPr>
                <w:t>Form 8-A</w:t>
              </w:r>
            </w:hyperlink>
            <w:r>
              <w:rPr>
                <w:rFonts w:ascii="Times New Roman" w:hAnsi="Times New Roman"/>
                <w:sz w:val="20"/>
              </w:rPr>
              <w:t xml:space="preserve">, dated and filed with the SEC on June 22, 2015,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Seres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101 Cambridgepark Drive </w:t>
      </w:r>
    </w:p>
    <w:p>
      <w:pPr>
        <w:pStyle w:val="TextBody"/>
        <w:bidi w:val="0"/>
        <w:spacing w:before="0" w:after="0"/>
        <w:jc w:val="center"/>
        <w:rPr>
          <w:rFonts w:ascii="Times New Roman" w:hAnsi="Times New Roman"/>
          <w:sz w:val="20"/>
        </w:rPr>
      </w:pPr>
      <w:r>
        <w:rPr>
          <w:rFonts w:ascii="Times New Roman" w:hAnsi="Times New Roman"/>
          <w:sz w:val="20"/>
        </w:rPr>
        <w:t xml:space="preserve">Cambridge, MA 02140 </w:t>
      </w:r>
    </w:p>
    <w:p>
      <w:pPr>
        <w:pStyle w:val="TextBody"/>
        <w:bidi w:val="0"/>
        <w:spacing w:before="0" w:after="0"/>
        <w:jc w:val="center"/>
        <w:rPr>
          <w:rFonts w:ascii="Times New Roman" w:hAnsi="Times New Roman"/>
          <w:sz w:val="20"/>
        </w:rPr>
      </w:pPr>
      <w:r>
        <w:rPr>
          <w:rFonts w:ascii="Times New Roman" w:hAnsi="Times New Roman"/>
          <w:sz w:val="20"/>
        </w:rPr>
        <w:t>(617) 945-9626</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 w:name="toc215784_3"/>
      <w:bookmarkEnd w:id="5"/>
      <w:r>
        <w:rPr>
          <w:rFonts w:ascii="Times New Roman" w:hAnsi="Times New Roman"/>
          <w:b/>
          <w:sz w:val="20"/>
        </w:rPr>
        <w:t xml:space="preserve">THE COMPANY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company focused on improving patient outcomes in medically compromised populations, including oncology patients and those suffering from inflammatory and immune, or I&amp;I, diseases through discovery and development of novel live biotherapeutic product, or LBP, candidates. We led the successful development and approval of VOWST, the first FDA-approved orally administered microbiome biotherapeutic and a Breakthrough Therapy designated drug, which was sold to Société des Produits Nestlé S.A. and with certain of its affiliates in September 2024. We have established field-leading capabilities and platforms that are powered by best-in-field human data sets to advance a portfolio of products that can uniquely address diseases by targeting host pathways that are modulated by microbes in the human body, and, in particular, diseases associated with mucosal barrier-immune interface targets. We believe clinical and nonclinical data across our programs support the development of LBPs to address unmet medical needs in oncology that can lead to interruption to patients’ cancer treatment and/or mortality (by targeting the prevention and treatment of a broad swath of infection risks faced by cancer patients and by treating immune checkpoint-related enterocolitis, or irEC), and to treat I&amp;I diseases. Our pipeline consists of SER-155, SER-603, SER-428, and SER-147, as well as other potential candidates in earlier development.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were incorporated in the State of Delaware in 2010 under the name Newco LS21, Inc. In October 2011, we changed our name to Seres Health, Inc., and in May 2015, we changed our name to Seres Therapeutics, Inc. Our principal executive offices are located at 101 Cambridgepark Drive, Cambridge, Massachusetts 02140 and our telephone number is (617) 945-9626. Our website address is www.serestherapeutics.com. The information contained in, or accessible through, our website does not constitute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6" w:name="toc215784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“Forward-Looking Statements” included in our most recent Annual Report on Form 10-K and any subsequent Quarterly Reports on Form 10-Q or Current Reports on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toc215784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as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toc215784_6"/>
      <w:bookmarkEnd w:id="8"/>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and certain provisions of our restated certificate of incorporation and amended and restated bylaws are summaries and are qualified in their entirety by reference to the applicable provisions of our restated certificate of incorporation and amended and restated bylaws, which have been publicly filed with the Securities and Exchange Commission. We encourage you to read our restated certificate of incorporation, our amended and restated bylaws and the applicable provisions of the General Corporation Law of the State of Delaware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Our authorized capital stock consists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360,000,000 shares of common stock, par value $0.001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 shares of preferred stock, par value $0.001 per share.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 xml:space="preserve">Voting Rights. </w:t>
      </w:r>
      <w:r>
        <w:rPr>
          <w:rFonts w:ascii="Times New Roman" w:hAnsi="Times New Roman"/>
          <w:sz w:val="20"/>
        </w:rPr>
        <w:t xml:space="preserve">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restated certificate of incorporation. Holders of common stock are entitled to receive proportionately any dividends as may be declared by our board of directors, subject to any preferential dividend rights of any series of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i/>
          <w:sz w:val="20"/>
        </w:rPr>
        <w:t xml:space="preserve">Rights Upon Liquidation. </w:t>
      </w:r>
      <w:r>
        <w:rPr>
          <w:rFonts w:ascii="Times New Roman" w:hAnsi="Times New Roman"/>
          <w:sz w:val="20"/>
        </w:rPr>
        <w:t xml:space="preserve">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w:t>
      </w:r>
    </w:p>
    <w:p>
      <w:pPr>
        <w:pStyle w:val="TextBody"/>
        <w:bidi w:val="0"/>
        <w:spacing w:before="240" w:after="0"/>
        <w:jc w:val="left"/>
        <w:rPr>
          <w:rFonts w:ascii="Times New Roman" w:hAnsi="Times New Roman"/>
          <w:sz w:val="20"/>
        </w:rPr>
      </w:pPr>
      <w:r>
        <w:rPr>
          <w:rFonts w:ascii="Times New Roman" w:hAnsi="Times New Roman"/>
          <w:i/>
          <w:sz w:val="20"/>
        </w:rPr>
        <w:t xml:space="preserve">Other Rights. </w:t>
      </w:r>
      <w:r>
        <w:rPr>
          <w:rFonts w:ascii="Times New Roman" w:hAnsi="Times New Roman"/>
          <w:sz w:val="20"/>
        </w:rPr>
        <w:t xml:space="preserve">Holders of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Dividend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are entitled to receive proportionately any dividends as may be declared by our board of directors, subject to any preferential dividend rights of outstanding preferred stock. We have never declared or paid any cash dividends on our capital stock. We do not intend to pay cash dividends for the foreseeable future. We currently expect to retain all future earnings, if any, for use in the development, operation and expansion of our business. Any determination to pay cash dividends in the future will depend upon, among other things, our results of operations, plans for expansion, tax considerations, available net profits and reserves, limitations under law, financial condition, capital requirements and other factors that our board of directors considers to be relevant.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our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There are no shares of preferred stock outstanding, and we have no present plans to issue any shares of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Delaware Law and Our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Delaware law, our restated certificate of incorporation and our amended and restated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240" w:after="0"/>
        <w:jc w:val="left"/>
        <w:rPr>
          <w:rFonts w:ascii="Times New Roman" w:hAnsi="Times New Roman"/>
          <w:sz w:val="20"/>
        </w:rPr>
      </w:pPr>
      <w:r>
        <w:rPr>
          <w:rFonts w:ascii="Times New Roman" w:hAnsi="Times New Roman"/>
          <w:i/>
          <w:sz w:val="20"/>
        </w:rPr>
        <w:t>Undesignated Preferred Stock</w:t>
      </w:r>
      <w:r>
        <w:rPr>
          <w:rFonts w:ascii="Times New Roman" w:hAnsi="Times New Roman"/>
          <w:sz w:val="20"/>
        </w:rPr>
        <w:t xml:space="preserve">. The ability of our board of directors, without action by the stockholders, to issue up to 10,000,000 shares of 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 </w:t>
      </w:r>
    </w:p>
    <w:p>
      <w:pPr>
        <w:pStyle w:val="TextBody"/>
        <w:bidi w:val="0"/>
        <w:spacing w:before="240" w:after="0"/>
        <w:jc w:val="left"/>
        <w:rPr>
          <w:rFonts w:ascii="Times New Roman" w:hAnsi="Times New Roman"/>
          <w:sz w:val="20"/>
        </w:rPr>
      </w:pPr>
      <w:r>
        <w:rPr>
          <w:rFonts w:ascii="Times New Roman" w:hAnsi="Times New Roman"/>
          <w:i/>
          <w:sz w:val="20"/>
        </w:rPr>
        <w:t>Stockholder Meetings</w:t>
      </w:r>
      <w:r>
        <w:rPr>
          <w:rFonts w:ascii="Times New Roman" w:hAnsi="Times New Roman"/>
          <w:sz w:val="20"/>
        </w:rPr>
        <w:t xml:space="preserve">. Our amended and restated bylaws provide that a special meeting of stockholders may be called only by our chairperson of the board, chief executive officer or president (in the absence of a chief executive officer), or by a resolution adopted by a majority of our board of directors. </w:t>
      </w:r>
    </w:p>
    <w:p>
      <w:pPr>
        <w:pStyle w:val="TextBody"/>
        <w:bidi w:val="0"/>
        <w:spacing w:before="240" w:after="0"/>
        <w:jc w:val="left"/>
        <w:rPr>
          <w:rFonts w:ascii="Times New Roman" w:hAnsi="Times New Roman"/>
          <w:sz w:val="20"/>
        </w:rPr>
      </w:pPr>
      <w:r>
        <w:rPr>
          <w:rFonts w:ascii="Times New Roman" w:hAnsi="Times New Roman"/>
          <w:i/>
          <w:sz w:val="20"/>
        </w:rPr>
        <w:t>Requirements for Advance Notification of Stockholder Nominations and Proposals</w:t>
      </w:r>
      <w:r>
        <w:rPr>
          <w:rFonts w:ascii="Times New Roman" w:hAnsi="Times New Roman"/>
          <w:sz w:val="20"/>
        </w:rPr>
        <w:t xml:space="preserve">. 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240" w:after="0"/>
        <w:jc w:val="left"/>
        <w:rPr>
          <w:rFonts w:ascii="Times New Roman" w:hAnsi="Times New Roman"/>
          <w:sz w:val="20"/>
        </w:rPr>
      </w:pPr>
      <w:r>
        <w:rPr>
          <w:rFonts w:ascii="Times New Roman" w:hAnsi="Times New Roman"/>
          <w:i/>
          <w:sz w:val="20"/>
        </w:rPr>
        <w:t>Elimination of Stockholder Action by Written Consent</w:t>
      </w:r>
      <w:r>
        <w:rPr>
          <w:rFonts w:ascii="Times New Roman" w:hAnsi="Times New Roman"/>
          <w:sz w:val="20"/>
        </w:rPr>
        <w:t xml:space="preserve">. Our restated certificate of incorporation eliminates the right of stockholders to act by written consent without a meeting. </w:t>
      </w:r>
    </w:p>
    <w:p>
      <w:pPr>
        <w:pStyle w:val="TextBody"/>
        <w:bidi w:val="0"/>
        <w:spacing w:before="240" w:after="0"/>
        <w:jc w:val="left"/>
        <w:rPr>
          <w:rFonts w:ascii="Times New Roman" w:hAnsi="Times New Roman"/>
          <w:sz w:val="20"/>
        </w:rPr>
      </w:pPr>
      <w:r>
        <w:rPr>
          <w:rFonts w:ascii="Times New Roman" w:hAnsi="Times New Roman"/>
          <w:i/>
          <w:sz w:val="20"/>
        </w:rPr>
        <w:t>Staggered Board</w:t>
      </w:r>
      <w:r>
        <w:rPr>
          <w:rFonts w:ascii="Times New Roman" w:hAnsi="Times New Roman"/>
          <w:sz w:val="20"/>
        </w:rPr>
        <w:t xml:space="preserve">. Our board of directors is divided into three classes. The directors in each class will serve for 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 </w:t>
      </w:r>
    </w:p>
    <w:p>
      <w:pPr>
        <w:pStyle w:val="TextBody"/>
        <w:bidi w:val="0"/>
        <w:spacing w:before="240" w:after="0"/>
        <w:jc w:val="left"/>
        <w:rPr>
          <w:rFonts w:ascii="Times New Roman" w:hAnsi="Times New Roman"/>
          <w:sz w:val="20"/>
        </w:rPr>
      </w:pPr>
      <w:r>
        <w:rPr>
          <w:rFonts w:ascii="Times New Roman" w:hAnsi="Times New Roman"/>
          <w:i/>
          <w:sz w:val="20"/>
        </w:rPr>
        <w:t>Removal of Directors.</w:t>
      </w:r>
      <w:r>
        <w:rPr>
          <w:rFonts w:ascii="Times New Roman" w:hAnsi="Times New Roman"/>
          <w:sz w:val="20"/>
        </w:rPr>
        <w:t xml:space="preserve"> Our restated certificate of incorporation provides that no member of our board of directors may be removed from office by our stockholders except for cause and, in addition to any other vote required by law, upon the approval of the holders of at least two-thirds in voting power of the outstanding shares of stock entitled to vote in the election of directors. </w:t>
      </w:r>
    </w:p>
    <w:p>
      <w:pPr>
        <w:pStyle w:val="TextBody"/>
        <w:bidi w:val="0"/>
        <w:spacing w:before="240" w:after="0"/>
        <w:jc w:val="left"/>
        <w:rPr>
          <w:rFonts w:ascii="Times New Roman" w:hAnsi="Times New Roman"/>
          <w:sz w:val="20"/>
        </w:rPr>
      </w:pPr>
      <w:r>
        <w:rPr>
          <w:rFonts w:ascii="Times New Roman" w:hAnsi="Times New Roman"/>
          <w:i/>
          <w:sz w:val="20"/>
        </w:rPr>
        <w:t>Stockholders Not Entitled to Cumulative Voting.</w:t>
      </w:r>
      <w:r>
        <w:rPr>
          <w:rFonts w:ascii="Times New Roman" w:hAnsi="Times New Roman"/>
          <w:sz w:val="20"/>
        </w:rPr>
        <w:t xml:space="preserve"> Our restated certificate of incorporation does not permit stockholders to cumulate their votes in the election of directors. Accordingly, the holders of a majority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240" w:after="0"/>
        <w:jc w:val="left"/>
        <w:rPr>
          <w:rFonts w:ascii="Times New Roman" w:hAnsi="Times New Roman"/>
          <w:sz w:val="20"/>
        </w:rPr>
      </w:pPr>
      <w:r>
        <w:rPr>
          <w:rFonts w:ascii="Times New Roman" w:hAnsi="Times New Roman"/>
          <w:i/>
          <w:sz w:val="20"/>
        </w:rPr>
        <w:t>Delaware Anti-Takeover Statute.</w:t>
      </w:r>
      <w:r>
        <w:rPr>
          <w:rFonts w:ascii="Times New Roman" w:hAnsi="Times New Roman"/>
          <w:sz w:val="20"/>
        </w:rPr>
        <w:t xml:space="preserve"> We are subject to Section 203 of the General Corporation Law of the State of Delaware,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 </w:t>
      </w:r>
    </w:p>
    <w:p>
      <w:pPr>
        <w:pStyle w:val="TextBody"/>
        <w:bidi w:val="0"/>
        <w:spacing w:before="240" w:after="0"/>
        <w:jc w:val="left"/>
        <w:rPr>
          <w:rFonts w:ascii="Times New Roman" w:hAnsi="Times New Roman"/>
          <w:sz w:val="20"/>
        </w:rPr>
      </w:pPr>
      <w:r>
        <w:rPr>
          <w:rFonts w:ascii="Times New Roman" w:hAnsi="Times New Roman"/>
          <w:i/>
          <w:sz w:val="20"/>
        </w:rPr>
        <w:t>Choice of Forum.</w:t>
      </w:r>
      <w:r>
        <w:rPr>
          <w:rFonts w:ascii="Times New Roman" w:hAnsi="Times New Roman"/>
          <w:sz w:val="20"/>
        </w:rPr>
        <w:t xml:space="preserve"> Our restated certificate of incorporation provides that, unless we consent in writing to the selection of an alternative forum,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restated certificate of incorporation or amended and restated bylaws; or (4) any action asserting a claim governed by the internal affairs doctrine. In addition, our bylaws provide that the federal district courts of the United States are the exclusive forum for any complaint raising a cause of action arising under the Securities Act. Any person or entity purchasing or otherwise acquiring any interest in shares of our capital stock will be deemed to have notice of and to have consented to these choice of forum provisions. It is possible that a court of law could find the choice of forum provisions contained in our restated certificate of incorporation or bylaws to be inapplicable or unenforceable if challenged in a proceeding or otherwise. </w:t>
      </w:r>
    </w:p>
    <w:p>
      <w:pPr>
        <w:pStyle w:val="TextBody"/>
        <w:bidi w:val="0"/>
        <w:spacing w:before="240" w:after="0"/>
        <w:jc w:val="left"/>
        <w:rPr>
          <w:rFonts w:ascii="Times New Roman" w:hAnsi="Times New Roman"/>
          <w:sz w:val="20"/>
        </w:rPr>
      </w:pPr>
      <w:r>
        <w:rPr>
          <w:rFonts w:ascii="Times New Roman" w:hAnsi="Times New Roman"/>
          <w:i/>
          <w:sz w:val="20"/>
        </w:rPr>
        <w:t xml:space="preserve">Amendment of Restated Certificate of Incorporation. </w:t>
      </w:r>
      <w:r>
        <w:rPr>
          <w:rFonts w:ascii="Times New Roman" w:hAnsi="Times New Roman"/>
          <w:sz w:val="20"/>
        </w:rPr>
        <w:t xml:space="preserve">The amendment of any of the above provisions in our restated certificate of incorporation, except for the provision making it possible for our board of directors to issue preferred stock and the provision prohibiting cumulative voting, would require approval by holders of at least two-thirds in voting power of the outstanding shares of stock entitled to vote thereon.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Delaware law, our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toc215784_7"/>
      <w:bookmarkEnd w:id="9"/>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under an indenture between us and a trustee to be named in the applicable indenture.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section only, “Seres,” “we,” “our” or “us” refer to Seres Therapeutics, Inc., excluding our subsidiaries, unless expressly stated or the context otherwise requires.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 </w:t>
      </w:r>
    </w:p>
    <w:p>
      <w:pPr>
        <w:pStyle w:val="TextBody"/>
        <w:bidi w:val="0"/>
        <w:spacing w:before="240" w:after="0"/>
        <w:jc w:val="left"/>
        <w:rPr>
          <w:rFonts w:ascii="Times New Roman" w:hAnsi="Times New Roman"/>
          <w:sz w:val="20"/>
        </w:rPr>
      </w:pPr>
      <w:r>
        <w:rPr>
          <w:rFonts w:ascii="Times New Roman" w:hAnsi="Times New Roman"/>
          <w:sz w:val="20"/>
        </w:rPr>
        <w:t xml:space="preserve">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ranking of the debt securities (including the terms of any subordination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(expressed as a percentage of the principal amount) at which we will sell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on the aggregate principal amount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or periods within which, the price or prices at which and the terms and conditions upon which we may redeem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and the price or prices at which we will repurchase debt securities at the option of the holders of debt securities and other detailed terms and provisions of these repurchase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debt securities will be issued,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certificated debt securities or global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principal amount of the debt securities payable upon declaration of acceleration of the maturity date, if other than the principal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denomination of the debt securities, which may be United States Dollars or any foreign currency, and if such currency of denomination is a composite currency, the agency or organization, if any, responsible for overseeing such composite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currency, currencies or currency units in which payment of principal of, premium and interest on the debt securities will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any security provided for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Events of Default described in this prospectus or in the indenture with respect to the debt securities and any change in the acceleration provisions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deletion of or change in the covenants described in this prospectus or in the indenture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depositaries, interest rate calculation agents, exchange rate calculation agents or other agents with respect to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any of our direct or indirect subsidiaries will guarantee the debt securities of that series, including the terms of subordination, if any, of such guarantees. (Section 2.2)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and Exchange </w:t>
      </w:r>
    </w:p>
    <w:p>
      <w:pPr>
        <w:pStyle w:val="TextBody"/>
        <w:bidi w:val="0"/>
        <w:spacing w:before="120" w:after="0"/>
        <w:jc w:val="left"/>
        <w:rPr>
          <w:rFonts w:ascii="Times New Roman" w:hAnsi="Times New Roman"/>
          <w:sz w:val="20"/>
        </w:rPr>
      </w:pPr>
      <w:r>
        <w:rPr>
          <w:rFonts w:ascii="Times New Roman" w:hAnsi="Times New Roman"/>
          <w:sz w:val="20"/>
        </w:rPr>
        <w:t xml:space="preserve">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 </w:t>
      </w:r>
    </w:p>
    <w:p>
      <w:pPr>
        <w:pStyle w:val="TextBody"/>
        <w:bidi w:val="0"/>
        <w:spacing w:before="240" w:after="0"/>
        <w:jc w:val="left"/>
        <w:rPr>
          <w:rFonts w:ascii="Times New Roman" w:hAnsi="Times New Roman"/>
          <w:sz w:val="20"/>
        </w:rPr>
      </w:pPr>
      <w:r>
        <w:rPr>
          <w:rFonts w:ascii="Times New Roman" w:hAnsi="Times New Roman"/>
          <w:sz w:val="20"/>
        </w:rPr>
        <w:t xml:space="preserve">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 </w:t>
      </w:r>
    </w:p>
    <w:p>
      <w:pPr>
        <w:pStyle w:val="TextBody"/>
        <w:bidi w:val="0"/>
        <w:spacing w:before="240" w:after="0"/>
        <w:jc w:val="left"/>
        <w:rPr>
          <w:rFonts w:ascii="Times New Roman" w:hAnsi="Times New Roman"/>
          <w:sz w:val="20"/>
        </w:rPr>
      </w:pPr>
      <w:r>
        <w:rPr>
          <w:rFonts w:ascii="Times New Roman" w:hAnsi="Times New Roman"/>
          <w:sz w:val="20"/>
        </w:rPr>
        <w:t xml:space="preserve">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before="240" w:after="0"/>
        <w:jc w:val="left"/>
        <w:rPr>
          <w:rFonts w:ascii="Times New Roman" w:hAnsi="Times New Roman"/>
          <w:sz w:val="20"/>
        </w:rPr>
      </w:pPr>
      <w:r>
        <w:rPr>
          <w:rFonts w:ascii="Times New Roman" w:hAnsi="Times New Roman"/>
          <w:sz w:val="20"/>
        </w:rPr>
        <w:t xml:space="preserve">Global Debt Securities and Book-Entry System. Each global debt security representing book-entry debt securities will be deposited with, or on behalf of, the Depositary, and registered in the name of the Depositary or a nominee of the Depositary. Please see “Global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any restrictive covenants applicable to any issue of debt securities. (Article IV) </w:t>
      </w:r>
    </w:p>
    <w:p>
      <w:pPr>
        <w:pStyle w:val="TextBody"/>
        <w:bidi w:val="0"/>
        <w:spacing w:before="360" w:after="0"/>
        <w:jc w:val="left"/>
        <w:rPr>
          <w:rFonts w:ascii="Times New Roman" w:hAnsi="Times New Roman"/>
          <w:b/>
          <w:sz w:val="20"/>
        </w:rPr>
      </w:pPr>
      <w:r>
        <w:rPr>
          <w:rFonts w:ascii="Times New Roman" w:hAnsi="Times New Roman"/>
          <w:b/>
          <w:sz w:val="20"/>
        </w:rPr>
        <w:t xml:space="preserve">No Protection in the Event of a 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may not consolidate with or merge with or into, or convey, transfer or lease all or substantially all of our properties and assets to any person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entity or the successor person (if other than Seres) is a corporation, partnership, trust or other entity organized and validly existing under the laws of any U.S. domestic jurisdiction and expressly assumes our obligations on the debt securities and under the indenture;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of our subsidiaries may consolidate with, merge into or transfer all or part of its properties to us. (Section 5.1)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pPr>
      <w:r>
        <w:rPr/>
        <w:t>“</w:t>
      </w:r>
      <w:r>
        <w:rPr>
          <w:rFonts w:ascii="Times New Roman" w:hAnsi="Times New Roman"/>
          <w:sz w:val="20"/>
        </w:rPr>
        <w:t xml:space="preserve">Event of Default” means with respect to any series of debt securities,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any security of that series at its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voluntary or involuntary events of bankruptcy, insolvency or reorganization of Seres;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debt securities of that series that is described in the applicable prospectus supplement. (Section 6.1)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to the trustee written notice of a continuing Event of Default with respect to debt securities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 </w:t>
      </w:r>
    </w:p>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modify, amend or supplement the indenture or the debt securities of any series without the consent of any holder of any debt security: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covenants in the indenture described above under the heading “Consolidation, Merger and Sale of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securities in addition to or in place of certificated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debt securities of any series or secure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surrender any of our rights or powers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covenants or events of default for the benefit of the holders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applicable procedures of the applicable depositary;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rights of any holder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debt securities of any series as permitted by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effect the appointment of a successor trustee with respect to the debt securities of any series and to add to or change any of the provisions of the indenture to provide for or facilitate administration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requirements of the SEC in order to effect or maintain the qualification of the indenture under the Trust Indenture Act. (Section 9.1)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debt securities whose holders must consent to an amendment, supplement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debt security or reduce the amount of, or postpone the date fixed for, the payment of any sinking fund or analogous obligation with respect to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discount securities payable upon acceleration of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or interest on any debt security payable in currency other than that stated in the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debt security. (Section 9.3)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of Debt Securities and Certain Covenants in Certain Circumstances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unless otherwise provided by the terms of the applicable series of debt securities,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the covenant described under the heading “Consolidation, Merger and Sale of Assets” and certain other covenants set forth in the indenture, as well as any additional covenants which may be set forth in the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debt securities of that series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 Personal Liability of Directors, Officers, Employees or Securityholders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including any claim or controversy arising out of or relating to the indenture or the securities, will be governed by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 </w:t>
      </w:r>
    </w:p>
    <w:p>
      <w:pPr>
        <w:pStyle w:val="TextBody"/>
        <w:bidi w:val="0"/>
        <w:spacing w:before="240" w:after="0"/>
        <w:jc w:val="left"/>
        <w:rPr>
          <w:rFonts w:ascii="Times New Roman" w:hAnsi="Times New Roman"/>
          <w:sz w:val="20"/>
        </w:rPr>
      </w:pPr>
      <w:r>
        <w:rPr>
          <w:rFonts w:ascii="Times New Roman" w:hAnsi="Times New Roman"/>
          <w:sz w:val="20"/>
        </w:rPr>
        <w:t xml:space="preserve">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toc215784_8"/>
      <w:bookmarkEnd w:id="10"/>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any issue of warrants will be described in the prospectus supplement relating to the issue. Those terms may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common stock or preferred stock purchasable upon the exercise of warrants to purchase such shares and the price at which such number of shares may be purchased upon such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stated value and terms (including, without limitation, liquidation, dividend, conversion and voting rights) of the series of preferred stock purchasable upon exercise of warrants to purchase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debt securities that may be purchased upon exercise of a debt warrant and the exercise price for the warrants, which may be payable in cash, securities or other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warrants and the related debt securities, preferred stock or common stock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rights to redeem or call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right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United States Federal income tax consequences applicable to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exercise and settlement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of equity warrants will not be entitled: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vote, consent or receive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receive notice as shareholders with respect to any meeting of shareholders for the election of our directors or any other matter;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exercise any rights as shareholders of Seres.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before="240" w:after="0"/>
        <w:jc w:val="left"/>
        <w:rPr>
          <w:rFonts w:ascii="Times New Roman" w:hAnsi="Times New Roman"/>
          <w:sz w:val="20"/>
        </w:rPr>
      </w:pPr>
      <w:r>
        <w:rPr>
          <w:rFonts w:ascii="Times New Roman" w:hAnsi="Times New Roman"/>
          <w:sz w:val="20"/>
        </w:rPr>
        <w:t xml:space="preserve">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toc215784_9"/>
      <w:bookmarkEnd w:id="11"/>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certain United States federal income tax considerations applicable to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toc215784_10"/>
      <w:bookmarkEnd w:id="12"/>
      <w:r>
        <w:rPr>
          <w:rFonts w:ascii="Times New Roman" w:hAnsi="Times New Roman"/>
          <w:b/>
          <w:sz w:val="20"/>
        </w:rPr>
        <w:t xml:space="preserve">GLOBAL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limited-purpose trust company organized under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“banking organization” within the meaning of the New York Banking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member of the Federal Reserve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corporation” within the meaning of the New York Uniform Commercial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“clearing agency” registered pursuant to the provisions of Section 17A of the Exchange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will be sent to DTC. If less than all of the securities of a particular series are being redeemed, DTC’s practice is to determine by lot the amount of the interest of each direct participant in the securities of such series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 </w:t>
      </w:r>
    </w:p>
    <w:p>
      <w:pPr>
        <w:pStyle w:val="TextBody"/>
        <w:bidi w:val="0"/>
        <w:spacing w:before="240" w:after="0"/>
        <w:jc w:val="left"/>
        <w:rPr>
          <w:rFonts w:ascii="Times New Roman" w:hAnsi="Times New Roman"/>
          <w:sz w:val="20"/>
        </w:rPr>
      </w:pPr>
      <w:r>
        <w:rPr>
          <w:rFonts w:ascii="Times New Roman" w:hAnsi="Times New Roman"/>
          <w:sz w:val="20"/>
        </w:rPr>
        <w:t xml:space="preserve">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Those laws may impair the ability to transfer or pledge beneficial interests in securities. </w:t>
      </w:r>
    </w:p>
    <w:p>
      <w:pPr>
        <w:pStyle w:val="TextBody"/>
        <w:bidi w:val="0"/>
        <w:spacing w:before="240" w:after="0"/>
        <w:jc w:val="left"/>
        <w:rPr>
          <w:rFonts w:ascii="Times New Roman" w:hAnsi="Times New Roman"/>
          <w:sz w:val="20"/>
        </w:rPr>
      </w:pPr>
      <w:r>
        <w:rPr>
          <w:rFonts w:ascii="Times New Roman" w:hAnsi="Times New Roman"/>
          <w:sz w:val="20"/>
        </w:rPr>
        <w:t xml:space="preserve">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noted above, beneficial owners of a particular series of securities generally will not receive certificates representing their ownership interests in those securities. However,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in our sole discretion, not to have such securities represented by one or more global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Event of Default has occurred and is continuing with respect to such series of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Euroclear and Clearstream </w:t>
      </w:r>
    </w:p>
    <w:p>
      <w:pPr>
        <w:pStyle w:val="TextBody"/>
        <w:bidi w:val="0"/>
        <w:spacing w:before="120" w:after="0"/>
        <w:jc w:val="left"/>
        <w:rPr>
          <w:rFonts w:ascii="Times New Roman" w:hAnsi="Times New Roman"/>
          <w:sz w:val="20"/>
        </w:rPr>
      </w:pPr>
      <w:r>
        <w:rPr>
          <w:rFonts w:ascii="Times New Roman" w:hAnsi="Times New Roman"/>
          <w:sz w:val="20"/>
        </w:rPr>
        <w:t xml:space="preserve">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 </w:t>
      </w:r>
    </w:p>
    <w:p>
      <w:pPr>
        <w:pStyle w:val="TextBody"/>
        <w:bidi w:val="0"/>
        <w:spacing w:before="240" w:after="0"/>
        <w:jc w:val="left"/>
        <w:rPr>
          <w:rFonts w:ascii="Times New Roman" w:hAnsi="Times New Roman"/>
          <w:sz w:val="20"/>
        </w:rPr>
      </w:pPr>
      <w:r>
        <w:rPr>
          <w:rFonts w:ascii="Times New Roman" w:hAnsi="Times New Roman"/>
          <w:sz w:val="20"/>
        </w:rPr>
        <w:t xml:space="preserve">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 </w:t>
      </w:r>
    </w:p>
    <w:p>
      <w:pPr>
        <w:pStyle w:val="TextBody"/>
        <w:bidi w:val="0"/>
        <w:spacing w:before="240" w:after="0"/>
        <w:jc w:val="left"/>
        <w:rPr>
          <w:rFonts w:ascii="Times New Roman" w:hAnsi="Times New Roman"/>
          <w:sz w:val="20"/>
        </w:rPr>
      </w:pPr>
      <w:r>
        <w:rPr>
          <w:rFonts w:ascii="Times New Roman" w:hAnsi="Times New Roman"/>
          <w:sz w:val="20"/>
        </w:rPr>
        <w:t xml:space="preserve">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toc215784_11"/>
      <w:bookmarkEnd w:id="13"/>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 </w:t>
      </w:r>
    </w:p>
    <w:p>
      <w:pPr>
        <w:pStyle w:val="TextBody"/>
        <w:bidi w:val="0"/>
        <w:spacing w:before="240" w:after="0"/>
        <w:jc w:val="left"/>
        <w:rPr>
          <w:rFonts w:ascii="Times New Roman" w:hAnsi="Times New Roman"/>
          <w:sz w:val="20"/>
        </w:rPr>
      </w:pPr>
      <w:r>
        <w:rPr>
          <w:rFonts w:ascii="Times New Roman" w:hAnsi="Times New Roman"/>
          <w:sz w:val="20"/>
        </w:rPr>
        <w:t xml:space="preserve">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being offered by this prospectus, the securities will be sold to the dealer, as principal. The dealer may then resell the securities to the public at varying prices to be determined by the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 </w:t>
      </w:r>
    </w:p>
    <w:p>
      <w:pPr>
        <w:pStyle w:val="TextBody"/>
        <w:bidi w:val="0"/>
        <w:spacing w:before="240" w:after="0"/>
        <w:jc w:val="left"/>
        <w:rPr>
          <w:rFonts w:ascii="Times New Roman" w:hAnsi="Times New Roman"/>
          <w:sz w:val="20"/>
        </w:rPr>
      </w:pPr>
      <w:r>
        <w:rPr>
          <w:rFonts w:ascii="Times New Roman" w:hAnsi="Times New Roman"/>
          <w:sz w:val="20"/>
        </w:rPr>
        <w:t xml:space="preserve">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 </w:t>
      </w:r>
    </w:p>
    <w:p>
      <w:pPr>
        <w:pStyle w:val="TextBody"/>
        <w:bidi w:val="0"/>
        <w:spacing w:before="240" w:after="0"/>
        <w:jc w:val="left"/>
        <w:rPr>
          <w:rFonts w:ascii="Times New Roman" w:hAnsi="Times New Roman"/>
          <w:sz w:val="20"/>
        </w:rPr>
      </w:pPr>
      <w:r>
        <w:rPr>
          <w:rFonts w:ascii="Times New Roman" w:hAnsi="Times New Roman"/>
          <w:sz w:val="20"/>
        </w:rPr>
        <w:t xml:space="preserve">Any common stock will be listed on the Nasdaq Global Select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lock-up provisions in respect of any given offering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and agents may engage in transactions with us, or perform services for us, in the ordinary course of business for which they receive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toc215784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will pass upon certain legal matters relating to the issuance and sale of the securities offered hereby on behalf of Seres Therapeutics, Inc. Additional legal matters may be passed upon for us or any underwriters, dealers or agents, by counsel that we will name in the applicable prospectus supplement. </w:t>
      </w:r>
    </w:p>
    <w:p>
      <w:pPr>
        <w:pStyle w:val="TextBody"/>
        <w:bidi w:val="0"/>
        <w:spacing w:before="240" w:after="0"/>
        <w:jc w:val="center"/>
        <w:rPr>
          <w:rFonts w:ascii="Times New Roman" w:hAnsi="Times New Roman"/>
          <w:b/>
          <w:sz w:val="20"/>
        </w:rPr>
      </w:pPr>
      <w:bookmarkStart w:id="15" w:name="toc215784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2025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Arial Narrow" w:hAnsi="Arial Narrow"/>
          <w:b/>
          <w:color w:val="FF4338"/>
          <w:sz w:val="19"/>
        </w:rPr>
      </w:pPr>
      <w:r>
        <w:rPr>
          <w:rFonts w:ascii="Arial Narrow" w:hAnsi="Arial Narrow"/>
          <w:b/>
          <w:color w:val="FF4338"/>
          <w:sz w:val="19"/>
        </w:rPr>
        <w:t xml:space="preserve">The information in this preliminary prospectus supplement is not complete and may be changed. These securities may not be sold until the registration statement filed with the Securities and Exchange Commission is effective. This preliminary prospectus supplement is not an offer to sell nor does it seek an offer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18"/>
        </w:rPr>
      </w:pPr>
      <w:r>
        <w:rPr>
          <w:rFonts w:ascii="Times New Roman" w:hAnsi="Times New Roman"/>
          <w:b/>
          <w:color w:val="FF4338"/>
          <w:sz w:val="18"/>
        </w:rPr>
        <w:t xml:space="preserve">Subject to Completion, dated August 13, 2026 </w:t>
      </w:r>
    </w:p>
    <w:p>
      <w:pPr>
        <w:pStyle w:val="TextBody"/>
        <w:bidi w:val="0"/>
        <w:spacing w:before="120" w:after="0"/>
        <w:jc w:val="left"/>
        <w:rPr>
          <w:rFonts w:ascii="Times New Roman" w:hAnsi="Times New Roman"/>
          <w:b/>
          <w:sz w:val="18"/>
        </w:rPr>
      </w:pPr>
      <w:r>
        <w:rPr>
          <w:rFonts w:ascii="Times New Roman" w:hAnsi="Times New Roman"/>
          <w:b/>
          <w:sz w:val="18"/>
        </w:rPr>
        <w:t xml:space="preserve">PROSPECTUS SUPPLEMENT </w:t>
      </w:r>
    </w:p>
    <w:p>
      <w:pPr>
        <w:pStyle w:val="TextBody"/>
        <w:bidi w:val="0"/>
        <w:spacing w:before="120" w:after="0"/>
        <w:jc w:val="center"/>
        <w:rPr>
          <w:rFonts w:ascii="Times New Roman" w:hAnsi="Times New Roman"/>
          <w:b/>
          <w:sz w:val="32"/>
        </w:rPr>
      </w:pPr>
      <w:r>
        <w:rPr>
          <w:rFonts w:ascii="Times New Roman" w:hAnsi="Times New Roman"/>
          <w:b/>
          <w:sz w:val="32"/>
        </w:rPr>
        <w:t xml:space="preserve">$100,000,000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2324100" cy="885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2324100" cy="88582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32"/>
        </w:rPr>
      </w:pPr>
      <w:r>
        <w:rPr>
          <w:rFonts w:ascii="Times New Roman" w:hAnsi="Times New Roman"/>
          <w:b/>
          <w:sz w:val="32"/>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9"/>
        </w:rPr>
      </w:pPr>
      <w:r>
        <w:rPr>
          <w:rFonts w:ascii="Times New Roman" w:hAnsi="Times New Roman"/>
          <w:sz w:val="19"/>
        </w:rPr>
        <w:t xml:space="preserve">We entered into a sales agreement with TD Securities (USA) LLC, or TD Cowen, dated August 13, 2026, relating to the sale of shares of our common stock offered by this prospectus supplement. In accordance with the terms of the sales agreement, we may offer and sell shares of our common stock, $0.001 par value per share, having an aggregate offering price of up to $100,000,000, from time to time through TD Cowen, acting as our agent, or the ATM Program. </w:t>
      </w:r>
    </w:p>
    <w:p>
      <w:pPr>
        <w:pStyle w:val="TextBody"/>
        <w:bidi w:val="0"/>
        <w:spacing w:before="120" w:after="0"/>
        <w:jc w:val="left"/>
        <w:rPr>
          <w:rFonts w:ascii="Times New Roman" w:hAnsi="Times New Roman"/>
          <w:sz w:val="19"/>
        </w:rPr>
      </w:pPr>
      <w:r>
        <w:rPr>
          <w:rFonts w:ascii="Times New Roman" w:hAnsi="Times New Roman"/>
          <w:sz w:val="19"/>
        </w:rPr>
        <w:t>Our common stock is listed on the Nasdaq Global Select Market under the symbol “</w:t>
      </w:r>
      <w:r>
        <w:rPr>
          <w:rFonts w:ascii="Times New Roman" w:hAnsi="Times New Roman"/>
          <w:i/>
          <w:sz w:val="19"/>
        </w:rPr>
        <w:t>MCRB</w:t>
      </w:r>
      <w:r>
        <w:rPr>
          <w:rFonts w:ascii="Times New Roman" w:hAnsi="Times New Roman"/>
          <w:sz w:val="19"/>
        </w:rPr>
        <w:t xml:space="preserve">.” On August 11, 2026, the last reported sale price of our common stock on the Nasdaq Global Select Market was $4.64 per share. </w:t>
      </w:r>
    </w:p>
    <w:p>
      <w:pPr>
        <w:pStyle w:val="TextBody"/>
        <w:bidi w:val="0"/>
        <w:spacing w:before="120" w:after="0"/>
        <w:jc w:val="left"/>
        <w:rPr>
          <w:rFonts w:ascii="Times New Roman" w:hAnsi="Times New Roman"/>
          <w:sz w:val="19"/>
        </w:rPr>
      </w:pPr>
      <w:r>
        <w:rPr>
          <w:rFonts w:ascii="Times New Roman" w:hAnsi="Times New Roman"/>
          <w:sz w:val="19"/>
        </w:rPr>
        <w:t xml:space="preserve">Sales of our common stock, if any, under this prospectus supplement will be made by any method permitted that is deemed an “at the market offering” as defined in Rule 415(a)(4) under the Securities Act of 1933, as amended, or the Securities Act, including sales made directly on or through the Nasdaq Global Select Market or any other existing trading market for our common stock. TD Cowen is not required to sell any specific amount, but will act as our sales agent using commercially reasonable efforts consistent with its normal trading and sales practices on mutually agreed terms between TD Cowen and us. There is no arrangement for funds to be received in any escrow, trust or similar arrangement. </w:t>
      </w:r>
    </w:p>
    <w:p>
      <w:pPr>
        <w:pStyle w:val="TextBody"/>
        <w:bidi w:val="0"/>
        <w:spacing w:before="120" w:after="0"/>
        <w:jc w:val="left"/>
        <w:rPr>
          <w:rFonts w:ascii="Times New Roman" w:hAnsi="Times New Roman"/>
          <w:sz w:val="19"/>
        </w:rPr>
      </w:pPr>
      <w:r>
        <w:rPr>
          <w:rFonts w:ascii="Times New Roman" w:hAnsi="Times New Roman"/>
          <w:sz w:val="19"/>
        </w:rPr>
        <w:t xml:space="preserve">The aggregate compensation payable to TD Cowen as sales agent will be an amount up to 3.0% of the gross proceeds of the shares of our common stock sold through it pursuant to the sales agreement. See “Plan of Distribution” beginning on page S-11 for additional information regarding the compensation to be paid to TD Cowen. In connection with the sale of the common stock on our behalf, TD Cowen may be deemed to be an “underwriter” within the meaning of the Securities Act and the compensation of TD Cowen may be deemed to be underwriting commissions or discounts. We have also agreed to provide indemnification and contribution to TD Cowen with respect to certain liabilities, including liabilities under the Securities Act. </w:t>
      </w:r>
    </w:p>
    <w:p>
      <w:pPr>
        <w:pStyle w:val="TextBody"/>
        <w:bidi w:val="0"/>
        <w:spacing w:before="120" w:after="0"/>
        <w:jc w:val="left"/>
        <w:rPr>
          <w:rFonts w:ascii="Times New Roman" w:hAnsi="Times New Roman"/>
          <w:sz w:val="19"/>
        </w:rPr>
      </w:pPr>
      <w:r>
        <w:rPr>
          <w:rFonts w:ascii="Times New Roman" w:hAnsi="Times New Roman"/>
          <w:sz w:val="19"/>
        </w:rPr>
        <w:t xml:space="preserve">The aggregate market value of our outstanding common stock held by non-affiliates pursuant to General Instruction I.B.6 of Form S-3 was $63,154,255.12, which was calculated based on 10,044,781 shares of common stock outstanding, as of August 11, 2026, of which 7,758,508 shares were held by non-affiliates, and a price per share of $8.14 which was the closing sale price of our common stock on the Nasdaq Global Select Market on July 7, 2026. Pursuant to General Instruction I.B.6. of Form S-3, in no event will we sell securities pursuant to the registration statement with a value more than one-third of the aggregate market value of our common stock held by non-affiliates in any 12-month period, so long as the aggregate market value of our common stock held by non-affiliates is less than $75.0 million. During the prior 12-calendar-month period that ends on, and includes, the date of this prospectus, we have not sold any securities pursuant to General Instruction I.B.6. of Form S-3.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19"/>
        </w:rPr>
        <w:t>INVESTING IN OUR SECURITIES INVOLVES RISKS. SEE THE “</w:t>
      </w:r>
      <w:hyperlink w:anchor="tocb215784_105">
        <w:r>
          <w:rPr>
            <w:rStyle w:val="InternetLink"/>
            <w:rFonts w:ascii="Times New Roman" w:hAnsi="Times New Roman"/>
            <w:b/>
            <w:sz w:val="19"/>
          </w:rPr>
          <w:t>RISK FACTORS</w:t>
        </w:r>
      </w:hyperlink>
      <w:r>
        <w:rPr>
          <w:rFonts w:ascii="Times New Roman" w:hAnsi="Times New Roman"/>
          <w:b/>
          <w:sz w:val="19"/>
        </w:rPr>
        <w:t xml:space="preserve">” ON PAGE S-7 OF THIS PROSPECTUS SUPPLEMENT AND IN THE DOCUMENTS INCORPORATED BY REFERENCE IN THIS PROSPECTUS SUPPLEMENT CONCERNING FACTORS YOU SHOULD CONSIDER BEFORE INVESTING IN OUR COMMON STOCK. </w:t>
      </w:r>
    </w:p>
    <w:p>
      <w:pPr>
        <w:pStyle w:val="TextBody"/>
        <w:bidi w:val="0"/>
        <w:spacing w:before="120" w:after="0"/>
        <w:jc w:val="left"/>
        <w:rPr>
          <w:rFonts w:ascii="Times New Roman" w:hAnsi="Times New Roman"/>
          <w:b/>
          <w:sz w:val="19"/>
        </w:rPr>
      </w:pPr>
      <w:r>
        <w:rPr>
          <w:rFonts w:ascii="Times New Roman" w:hAnsi="Times New Roman"/>
          <w:b/>
          <w:sz w:val="19"/>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8"/>
        </w:rPr>
      </w:pPr>
      <w:r>
        <w:rPr>
          <w:rFonts w:ascii="Times New Roman" w:hAnsi="Times New Roman"/>
          <w:b/>
          <w:sz w:val="28"/>
        </w:rPr>
        <w:t xml:space="preserve">TD Cowen </w:t>
      </w:r>
    </w:p>
    <w:p>
      <w:pPr>
        <w:pStyle w:val="TextBody"/>
        <w:bidi w:val="0"/>
        <w:spacing w:before="120" w:after="0"/>
        <w:jc w:val="center"/>
        <w:rPr>
          <w:rFonts w:ascii="Times New Roman" w:hAnsi="Times New Roman"/>
          <w:sz w:val="19"/>
        </w:rPr>
      </w:pPr>
      <w:r>
        <w:rPr>
          <w:rFonts w:ascii="Times New Roman" w:hAnsi="Times New Roman"/>
          <w:sz w:val="19"/>
        </w:rPr>
        <w:t xml:space="preserve">,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240" w:after="0"/>
        <w:jc w:val="center"/>
        <w:rPr>
          <w:rFonts w:ascii="Times New Roman" w:hAnsi="Times New Roman"/>
          <w:sz w:val="20"/>
        </w:rPr>
      </w:pPr>
      <w:r>
        <w:rPr>
          <w:rFonts w:ascii="Times New Roman" w:hAnsi="Times New Roman"/>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tcPr>
          <w:p>
            <w:pPr>
              <w:pStyle w:val="TableContents"/>
              <w:bidi w:val="0"/>
              <w:spacing w:before="0" w:after="0"/>
              <w:jc w:val="left"/>
              <w:rPr/>
            </w:pPr>
            <w:hyperlink w:anchor="tocb215784_101">
              <w:r>
                <w:rPr>
                  <w:rStyle w:val="InternetLink"/>
                  <w:rFonts w:ascii="Times New Roman" w:hAnsi="Times New Roman"/>
                  <w:sz w:val="20"/>
                </w:rPr>
                <w:t xml:space="preserve">ABOUT THIS PROSPECTUS SUPPLEMENT </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ocb215784_102">
              <w:r>
                <w:rPr>
                  <w:rStyle w:val="InternetLink"/>
                  <w:rFonts w:ascii="Times New Roman" w:hAnsi="Times New Roman"/>
                  <w:sz w:val="20"/>
                </w:rPr>
                <w:t>WHERE YOU CAN FIND MORE INFORMATION; 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ocb215784_103">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ocb215784_104">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S-6</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ocb215784_10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ocb215784_106">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ocb215784_107">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ocb215784_108">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ocb215784_109">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ocb215784_110">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ocb215784_111">
              <w:r>
                <w:rPr>
                  <w:rStyle w:val="InternetLink"/>
                  <w:rFonts w:ascii="Times New Roman" w:hAnsi="Times New Roman"/>
                  <w:sz w:val="20"/>
                </w:rPr>
                <w:t>MATERIAL U.S. FEDERAL INCOME TAX CONSEQUENCES TO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ocb215784_112">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tocb215784_113">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6" w:name="tocb215784_101"/>
      <w:bookmarkEnd w:id="16"/>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that we have filed with the Securities and Exchange Commission, or the SEC, utilizing a “shelf” registration process. By using a shelf registration statement, we may offer shares of our common stock having an aggregate offering price of up to $100,000,000 from time to time under this prospectus supplement at prices and on terms to be determined by market conditions at the time of offering. </w:t>
      </w:r>
    </w:p>
    <w:p>
      <w:pPr>
        <w:pStyle w:val="TextBody"/>
        <w:bidi w:val="0"/>
        <w:spacing w:before="240" w:after="0"/>
        <w:jc w:val="left"/>
        <w:rPr>
          <w:rFonts w:ascii="Times New Roman" w:hAnsi="Times New Roman"/>
          <w:sz w:val="20"/>
        </w:rPr>
      </w:pPr>
      <w:r>
        <w:rPr>
          <w:rFonts w:ascii="Times New Roman" w:hAnsi="Times New Roman"/>
          <w:sz w:val="20"/>
        </w:rPr>
        <w:t xml:space="preserve">We provide information to you about this offering of our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supplement,”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and TD Cowen has not, authorized anyone to provide you with information other than that contained in this prospectus supplement, the accompanying base prospectus and any free writing prospectus. We are not, and TD Cowen is not, making an offer to sell or soliciting any offer to buy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the accompanying base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Before buying any of the common stock that we are offering, we urge you to carefully read this prospectus supplement, the accompanying base prospectus and all of the documents incorporated by reference herein and therein, as well as the additional information described under the heading “Where You Can Find More Information; Incorporation by Reference.” These documents contain important information that you should consider when making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shares of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When we refer to “Seres,” “we,” “our” and “us” in this prospectus supplement, we mean Seres Therapeutics, Inc. and its consolidated subsidiaries, unless otherwise specified. </w:t>
      </w:r>
    </w:p>
    <w:p>
      <w:pPr>
        <w:pStyle w:val="TextBody"/>
        <w:bidi w:val="0"/>
        <w:spacing w:before="240" w:after="0"/>
        <w:jc w:val="left"/>
        <w:rPr>
          <w:rFonts w:ascii="Times New Roman" w:hAnsi="Times New Roman"/>
          <w:sz w:val="20"/>
        </w:rPr>
      </w:pPr>
      <w:r>
        <w:rPr>
          <w:rFonts w:ascii="Times New Roman" w:hAnsi="Times New Roman"/>
          <w:sz w:val="20"/>
        </w:rPr>
        <w:t xml:space="preserve">We have proprietary rights to trademarks that are used in this prospectus supplement, the accompanying base prospectus and the documents incorporated by reference herein and therein, which are important to our business and many of which are registered under applicable intellectual property laws. Solely for convenience, the trademarks, service marks, logos and trade names referred to in this prospectus supplement,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accompanying base prospectus and the documents incorporated by reference herein and therein may be without the ® and  symbols, but such references are not intended to indicate, in any way, that we will not assert, to the fullest extent under applicable law, our rights to these trademarks, service marks and trade names. This prospectus supplement, the accompanying base prospectus and the documents incorporated by reference herein and therein contain additional trademarks, service </w:t>
      </w:r>
    </w:p>
    <w:p>
      <w:pPr>
        <w:pStyle w:val="TextBody"/>
        <w:bidi w:val="0"/>
        <w:spacing w:before="240" w:after="0"/>
        <w:jc w:val="left"/>
        <w:rPr>
          <w:rFonts w:ascii="Times New Roman" w:hAnsi="Times New Roman"/>
          <w:sz w:val="20"/>
        </w:rPr>
      </w:pPr>
      <w:r>
        <w:rPr>
          <w:rFonts w:ascii="Times New Roman" w:hAnsi="Times New Roman"/>
          <w:sz w:val="20"/>
        </w:rPr>
        <w:t xml:space="preserve">marks and trade names of others, which are the property of their respective owners. All trademarks, service marks and trade names appearing in this prospectus supplement, the accompanying base prospectus and the documents incorporated by reference herein and therein are, to our knowledge, the property of their respective owners. We do not intend our use or display of other companies’ trademarks, service marks, copyrights or trade names to imply a relationship with, or endorsement or sponsorship of us by, any other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ocb215784_102"/>
      <w:bookmarkEnd w:id="17"/>
      <w:r>
        <w:rPr>
          <w:rFonts w:ascii="Times New Roman" w:hAnsi="Times New Roman"/>
          <w:b/>
          <w:sz w:val="20"/>
        </w:rPr>
        <w:t xml:space="preserve">WHERE YOU CAN FIND MORE INFORMATION; INCORPORATION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Available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t>
      </w:r>
      <w:r>
        <w:rPr>
          <w:rFonts w:ascii="Times New Roman" w:hAnsi="Times New Roman"/>
          <w:i/>
          <w:sz w:val="20"/>
        </w:rPr>
        <w:t>www.serestherapeutics.com</w:t>
      </w:r>
      <w:r>
        <w:rPr>
          <w:rFonts w:ascii="Times New Roman" w:hAnsi="Times New Roman"/>
          <w:sz w:val="20"/>
        </w:rPr>
        <w:t xml:space="preserve">. The information on our website, however, is not, and should not be deemed to be,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base prospectus are part of a registration statement that we filed with the SEC and do not contain all of the information in the registration statement. The full registration statement may be obtained from the SEC or us, as provided below. Documents establishing the terms of the offered securities are or may be filed as exhibits to the registration statement. Statements in this prospectus supplement or the accompanying base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Incorporation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SEC’s rules allow us to “incorporate by reference” information in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a previously filed document incorporated by reference will be deemed to be modified or superseded for purposes of this prospectus supplement to the extent that a statement contained in this prospectus supplement modifies or replaces that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incorporates by reference the documents set forth below that have previously been filed with the SEC. We are not incorporating by reference any documents or portions thereof that are not deemed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5">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12,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from our </w:t>
            </w:r>
            <w:hyperlink r:id="rId16">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27,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17">
              <w:r>
                <w:rPr>
                  <w:rStyle w:val="InternetLink"/>
                  <w:rFonts w:ascii="Times New Roman" w:hAnsi="Times New Roman"/>
                  <w:sz w:val="20"/>
                </w:rPr>
                <w:t>May  5, 2026</w:t>
              </w:r>
            </w:hyperlink>
            <w:r>
              <w:rPr>
                <w:rFonts w:ascii="Times New Roman" w:hAnsi="Times New Roman"/>
                <w:sz w:val="20"/>
              </w:rPr>
              <w:t xml:space="preserve"> and </w:t>
            </w:r>
            <w:hyperlink r:id="rId18">
              <w:r>
                <w:rPr>
                  <w:rStyle w:val="InternetLink"/>
                  <w:rFonts w:ascii="Times New Roman" w:hAnsi="Times New Roman"/>
                  <w:sz w:val="20"/>
                </w:rPr>
                <w:t>August 5,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9">
              <w:r>
                <w:rPr>
                  <w:rStyle w:val="InternetLink"/>
                  <w:rFonts w:ascii="Times New Roman" w:hAnsi="Times New Roman"/>
                  <w:sz w:val="20"/>
                </w:rPr>
                <w:t>March 2, 2026</w:t>
              </w:r>
            </w:hyperlink>
            <w:r>
              <w:rPr>
                <w:rFonts w:ascii="Times New Roman" w:hAnsi="Times New Roman"/>
                <w:sz w:val="20"/>
              </w:rPr>
              <w:t xml:space="preserve">, </w:t>
            </w:r>
            <w:hyperlink r:id="rId20">
              <w:r>
                <w:rPr>
                  <w:rStyle w:val="InternetLink"/>
                  <w:rFonts w:ascii="Times New Roman" w:hAnsi="Times New Roman"/>
                  <w:sz w:val="20"/>
                </w:rPr>
                <w:t>March  16, 2026</w:t>
              </w:r>
            </w:hyperlink>
            <w:r>
              <w:rPr>
                <w:rFonts w:ascii="Times New Roman" w:hAnsi="Times New Roman"/>
                <w:sz w:val="20"/>
              </w:rPr>
              <w:t xml:space="preserve">, </w:t>
            </w:r>
            <w:hyperlink r:id="rId21">
              <w:r>
                <w:rPr>
                  <w:rStyle w:val="InternetLink"/>
                  <w:rFonts w:ascii="Times New Roman" w:hAnsi="Times New Roman"/>
                  <w:sz w:val="20"/>
                </w:rPr>
                <w:t>June  1, 2026</w:t>
              </w:r>
            </w:hyperlink>
            <w:r>
              <w:rPr>
                <w:rFonts w:ascii="Times New Roman" w:hAnsi="Times New Roman"/>
                <w:sz w:val="20"/>
              </w:rPr>
              <w:t xml:space="preserve">, </w:t>
            </w:r>
            <w:hyperlink r:id="rId22">
              <w:r>
                <w:rPr>
                  <w:rStyle w:val="InternetLink"/>
                  <w:rFonts w:ascii="Times New Roman" w:hAnsi="Times New Roman"/>
                  <w:sz w:val="20"/>
                </w:rPr>
                <w:t>June  5, 2026</w:t>
              </w:r>
            </w:hyperlink>
            <w:r>
              <w:rPr>
                <w:rFonts w:ascii="Times New Roman" w:hAnsi="Times New Roman"/>
                <w:sz w:val="20"/>
              </w:rPr>
              <w:t xml:space="preserve">, </w:t>
            </w:r>
            <w:hyperlink r:id="rId23">
              <w:r>
                <w:rPr>
                  <w:rStyle w:val="InternetLink"/>
                  <w:rFonts w:ascii="Times New Roman" w:hAnsi="Times New Roman"/>
                  <w:sz w:val="20"/>
                </w:rPr>
                <w:t>July  8, 2026</w:t>
              </w:r>
            </w:hyperlink>
            <w:r>
              <w:rPr>
                <w:rFonts w:ascii="Times New Roman" w:hAnsi="Times New Roman"/>
                <w:sz w:val="20"/>
              </w:rPr>
              <w:t xml:space="preserve"> and </w:t>
            </w:r>
            <w:hyperlink r:id="rId24">
              <w:r>
                <w:rPr>
                  <w:rStyle w:val="InternetLink"/>
                  <w:rFonts w:ascii="Times New Roman" w:hAnsi="Times New Roman"/>
                  <w:sz w:val="20"/>
                </w:rPr>
                <w:t>August 4,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5">
              <w:r>
                <w:rPr>
                  <w:rStyle w:val="InternetLink"/>
                  <w:rFonts w:ascii="Times New Roman" w:hAnsi="Times New Roman"/>
                  <w:sz w:val="20"/>
                </w:rPr>
                <w:t>Form 8-A</w:t>
              </w:r>
            </w:hyperlink>
            <w:r>
              <w:rPr>
                <w:rFonts w:ascii="Times New Roman" w:hAnsi="Times New Roman"/>
                <w:sz w:val="20"/>
              </w:rPr>
              <w:t xml:space="preserve">, dated and filed with the SEC on June 22, 2015, and any amendment or report filed with the SEC for the purpose of updating the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we subsequently file pursuant to Section 13(a), 13(c), 14 or 15(d) of the Securities Exchange Act of 1934, as amended, which we refer to as the “Exchange Act” in this prospectus supplement,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supplement and deemed to be part of this prospectus supplement from the date of the filing of such reports and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You may request a free copy of any of the documents incorporated by reference in this prospectus supplement by writing or telephoning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Seres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101 Cambridgepark Drive </w:t>
      </w:r>
    </w:p>
    <w:p>
      <w:pPr>
        <w:pStyle w:val="TextBody"/>
        <w:bidi w:val="0"/>
        <w:spacing w:before="0" w:after="0"/>
        <w:jc w:val="center"/>
        <w:rPr>
          <w:rFonts w:ascii="Times New Roman" w:hAnsi="Times New Roman"/>
          <w:sz w:val="20"/>
        </w:rPr>
      </w:pPr>
      <w:r>
        <w:rPr>
          <w:rFonts w:ascii="Times New Roman" w:hAnsi="Times New Roman"/>
          <w:sz w:val="20"/>
        </w:rPr>
        <w:t xml:space="preserve">Cambridge, MA 02140 </w:t>
      </w:r>
    </w:p>
    <w:p>
      <w:pPr>
        <w:pStyle w:val="TextBody"/>
        <w:bidi w:val="0"/>
        <w:spacing w:before="0" w:after="0"/>
        <w:jc w:val="center"/>
        <w:rPr>
          <w:rFonts w:ascii="Times New Roman" w:hAnsi="Times New Roman"/>
          <w:sz w:val="20"/>
        </w:rPr>
      </w:pPr>
      <w:r>
        <w:rPr>
          <w:rFonts w:ascii="Times New Roman" w:hAnsi="Times New Roman"/>
          <w:sz w:val="20"/>
        </w:rPr>
        <w:t>(617) 945-9626</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8" w:name="tocb215784_103"/>
      <w:bookmarkEnd w:id="18"/>
      <w:r>
        <w:rPr>
          <w:rFonts w:ascii="Times New Roman" w:hAnsi="Times New Roman"/>
          <w:b/>
          <w:sz w:val="20"/>
        </w:rPr>
        <w:t xml:space="preserve">PROSPECTUS SUPPLEMENT SUMMARY </w:t>
      </w:r>
    </w:p>
    <w:p>
      <w:pPr>
        <w:pStyle w:val="TextBody"/>
        <w:bidi w:val="0"/>
        <w:spacing w:before="240" w:after="0"/>
        <w:jc w:val="left"/>
        <w:rPr>
          <w:rFonts w:ascii="Times New Roman" w:hAnsi="Times New Roman"/>
          <w:i/>
          <w:sz w:val="20"/>
        </w:rPr>
      </w:pPr>
      <w:r>
        <w:rPr>
          <w:rFonts w:ascii="Times New Roman" w:hAnsi="Times New Roman"/>
          <w:i/>
          <w:sz w:val="20"/>
        </w:rPr>
        <w:t xml:space="preserve">This summary provides a general overview of selected information and does not contain all of the information you should consider before buying our common stock. Therefore, you should read this entire prospectus supplement, the accompanying base prospectus and any free writing prospectus that we have authorized for use in connection with this offering carefully, including the documents incorporated by reference, before deciding to invest in our common stock. Investors should carefully consider the information set forth under “Risk Factors” beginning on page S-5 of this prospectus supplement and incorporated by reference to our annual report on Form 10-K and our quarterly reports on Form 10-Q.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a clinical-stage company focused on improving patient outcomes in medically compromised populations, including oncology patients and those suffering from inflammatory and immune, or I&amp;I, diseases through discovery and development of novel live biotherapeutic product, or LBP, candidates. We led the successful development and approval of VOWST, the first FDA-approved orally administered microbiome biotherapeutic and a Breakthrough Therapy designated drug, which was sold to Société des Produits Nestlé S.A. and with certain of its affiliates in September 2024. We have established field-leading capabilities and platforms that are powered by best-in-field human data sets to advance a portfolio of products that can uniquely address diseases by targeting host pathways that are modulated by microbes in the human body, and, in particular, diseases associated with mucosal barrier-immune interface targets. We believe clinical and nonclinical data across our programs support the development of LBPs to address unmet medical needs in oncology that can lead to interruption to patients’ cancer treatment and/or mortality (by targeting the prevention and treatment of a broad swath of infection risks faced by cancer patients and by treating immune checkpoint-related enterocolitis, or irEC), and to treat I&amp;I diseases. Our pipeline consists of SER-155, SER-603, SER-428, and SER-147, as well as other potential candidates in earlier development.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We were incorporated in the State of Delaware in 2010 under the name Newco LS21, Inc. In October 2011, we changed our name to Seres Health, Inc., and in May 2015, we changed our name to Seres Therapeutics, Inc. Our principal executive offices are located at 101 Cambridgepark Drive, Cambridge, Massachusetts 02140 and our telephone number is (617) 945-9626. Our website address is www.serestherapeutics.com. The information contained in, or accessible through, our website does not constitute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9" w:name="tocb215784_104"/>
      <w:bookmarkEnd w:id="19"/>
      <w:r>
        <w:rPr>
          <w:rFonts w:ascii="Times New Roman" w:hAnsi="Times New Roman"/>
          <w:b/>
          <w:sz w:val="20"/>
        </w:rPr>
        <w:t xml:space="preserve">THE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63"/>
        <w:gridCol w:w="203"/>
        <w:gridCol w:w="6839"/>
      </w:tblGrid>
      <w:tr>
        <w:trPr/>
        <w:tc>
          <w:tcPr>
            <w:tcW w:w="316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839" w:type="dxa"/>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Common stock offered by us</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Shares of our common stock having an aggregate offering price of up to $100,000,000.</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Manner of offering</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w:t>
            </w:r>
            <w:r>
              <w:rPr/>
              <w:t>At the market offering” that may be made from time to time on the Nasdaq Global Select Market or other existing trading market for our common stock through our agent, TD Cowen. See the section entitled “Plan of Distribution” on page S-11 of this prospectus supplement.</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Use of proceeds</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We intend to use the net proceeds of this offering to advance the development of our product candidates and for other general corporate and working capital purposes. See the section entitled “Use of Proceeds” on page S-8 of this prospectus supplement.</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Risk factors</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See “Risk Factors” beginning on page S-5 of this prospectus supplement and the other information included in, or incorporated by reference into, this prospectus supplement for a discussion of certain factors you should carefully consider before deciding to invest in shares of our common stock.</w:t>
            </w:r>
          </w:p>
        </w:tc>
      </w:tr>
      <w:tr>
        <w:trPr>
          <w:trHeight w:val="120" w:hRule="atLeast"/>
        </w:trPr>
        <w:tc>
          <w:tcPr>
            <w:tcW w:w="3163" w:type="dxa"/>
            <w:tcBorders/>
            <w:vAlign w:val="center"/>
          </w:tcPr>
          <w:p>
            <w:pPr>
              <w:pStyle w:val="TableContents"/>
              <w:bidi w:val="0"/>
              <w:spacing w:before="0" w:after="283"/>
              <w:jc w:val="left"/>
              <w:rPr>
                <w:sz w:val="4"/>
                <w:szCs w:val="4"/>
              </w:rPr>
            </w:pPr>
            <w:r>
              <w:rPr>
                <w:sz w:val="4"/>
                <w:szCs w:val="4"/>
              </w:rPr>
            </w:r>
          </w:p>
        </w:tc>
        <w:tc>
          <w:tcPr>
            <w:tcW w:w="7042" w:type="dxa"/>
            <w:gridSpan w:val="2"/>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t>Nasdaq Global Select Market symbol</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left"/>
              <w:rPr/>
            </w:pPr>
            <w:r>
              <w:rPr/>
              <w:t>MCRB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0" w:name="tocb215784_105"/>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Investment in any securities offered pursuant to this prospectus supplement and the accompanying base prospectus involves risks. You should carefully consider the risk factors described below and in our Quarterly Report on Form 10-Q for the three months ended June 30, 2026, incorporated by reference in this prospectus supplement, any amendment or update thereto reflected in subsequent filings with the SEC, including in our Annual Reports on Form 10-K or Quarterly Reports on Form 10-Q, and all other documents contained or incorporated by reference in this prospectus supplement, as updated by our subsequent filings under the Exchange Act. The risks and uncertainties we have described are not the only ones we face. Additional risks and uncertainties not presently known to us or that we currently deem immaterial may also affect our operations. The occurrence of any of these risks might cause you to lose all or part of your investment in the offered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shares of our common stock sold in this offering, you will experience immediate and substantial dilution in the net tangible book value of your shares. In addition, we may issue additional equity or convertible debt securities in the future, which may result in additional dilution to you. </w:t>
      </w:r>
    </w:p>
    <w:p>
      <w:pPr>
        <w:pStyle w:val="TextBody"/>
        <w:bidi w:val="0"/>
        <w:spacing w:before="120" w:after="0"/>
        <w:jc w:val="left"/>
        <w:rPr>
          <w:rFonts w:ascii="Times New Roman" w:hAnsi="Times New Roman"/>
          <w:sz w:val="20"/>
        </w:rPr>
      </w:pPr>
      <w:r>
        <w:rPr>
          <w:rFonts w:ascii="Times New Roman" w:hAnsi="Times New Roman"/>
          <w:sz w:val="20"/>
        </w:rPr>
        <w:t xml:space="preserve">The price per share of our common stock being offered may be higher than the net tangible book value per share of our outstanding common stock prior to this offering. Assuming that an aggregate of 21,551,724 shares of our common stock are sold at a price of $4.64 per share, the last reported sale price of our common stock on the Nasdaq Global Select Market on August 11, 2026, for aggregate gross proceeds of approximately $100 million, and after deducting commissions and estimated offering expenses payable by us, new investors in this offering will incur immediate dilution of $0.44 per share. For a more detailed discussion of the foregoing, see the section entitled “Dilution” below. To the extent outstanding stock options are exercised or outstanding restricted stock units vest,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may not use them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to advance the development of our product candidates and for other general corporate and working capital purposes. The failure by our management to apply these funds effectively could harm our business. Pending their use, we intend to invest the net proceeds of this offering in short-term, interest-bearing, investment-grade securities or certificates of deposit. These investments may not yield a favorable return to our stockholders. If we do not invest or apply the net proceeds from this offering in ways that enhance stockholder value, we may fail to achieve expected financial results, which could cause our stock price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sales or issuances of our common stock in the public markets, or the perception of such sales, could depress the trading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The actual number of shares we will issue under the sales agreement, at any one time or in total, is uncertain. </w:t>
      </w:r>
    </w:p>
    <w:p>
      <w:pPr>
        <w:pStyle w:val="TextBody"/>
        <w:bidi w:val="0"/>
        <w:spacing w:before="120" w:after="0"/>
        <w:jc w:val="left"/>
        <w:rPr>
          <w:rFonts w:ascii="Times New Roman" w:hAnsi="Times New Roman"/>
          <w:sz w:val="20"/>
        </w:rPr>
      </w:pPr>
      <w:r>
        <w:rPr>
          <w:rFonts w:ascii="Times New Roman" w:hAnsi="Times New Roman"/>
          <w:sz w:val="20"/>
        </w:rPr>
        <w:t xml:space="preserve">Subject to certain limitations in the sales agreement and compliance with applicable law, we have the discretion to deliver a placement notice to TD Cowen at any time throughout the term of the sales agreement. The number of shares that are sold by TD Cowen after delivering a placement notice will fluctuate based on the market price of our common stock during the sales period and limits we set with TD Cowen. Because the price per share of each share sold will fluctuate based on the market price of our common stock during the sales period, it is not possible at this stage to predict the number of shares that will be ultimately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common stock offered hereby will be sold in “at the market offerings,” and investors who buy shares at different times will likely pay different prices. </w:t>
      </w:r>
    </w:p>
    <w:p>
      <w:pPr>
        <w:pStyle w:val="TextBody"/>
        <w:bidi w:val="0"/>
        <w:spacing w:before="120" w:after="0"/>
        <w:jc w:val="left"/>
        <w:rPr>
          <w:rFonts w:ascii="Times New Roman" w:hAnsi="Times New Roman"/>
          <w:sz w:val="20"/>
        </w:rPr>
      </w:pPr>
      <w:r>
        <w:rPr>
          <w:rFonts w:ascii="Times New Roman" w:hAnsi="Times New Roman"/>
          <w:sz w:val="20"/>
        </w:rPr>
        <w:t xml:space="preserve">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ocb215784_106"/>
      <w:bookmarkEnd w:id="21"/>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base prospectus, and the documents that are incorporated by reference into this prospectus supplement and the accompanying base prospectus contain or incorporate by reference “forward-looking statements” within the meaning of the Private Securities Litigation Reform Act of 1995, Section 27A of the Securities Act and Section 21E of the Exchange Act. All statements other than statements of historical facts contained in this prospectus supplement, the accompanying base prospectus, and the documents that are incorporated by reference into this prospectus supplement and the accompanying base prospectus, including without limitation statements regarding our future results of operations and financial position, business strategy, prospective products, product approvals, research and development costs, enrollment and completion of clinical trials, timing and likelihood of success, manufacturing activities and related timing, commercialization efforts, plans and objectives of management for future operations, future results of anticipated products and our intended use of proceeds from this offering,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contained in this prospectus supplement, the accompanying base prospectus, and the documents that are incorporated by reference into this prospectus supplement and the accompanying base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supplement and are subject to a number of important factors that could cause actual results to differ materially from those in the forward-looking statements, including the risks, uncertainties and assumptions described under the sections titled “Risk Factors” and elsewhere in this prospectus supplement, the accompanying base prospectus, and the documents that are incorporated by reference into this prospectus supplement and the accompanying base prospectus. </w:t>
      </w:r>
    </w:p>
    <w:p>
      <w:pPr>
        <w:pStyle w:val="TextBody"/>
        <w:bidi w:val="0"/>
        <w:spacing w:before="240" w:after="0"/>
        <w:jc w:val="left"/>
        <w:rPr>
          <w:rFonts w:ascii="Times New Roman" w:hAnsi="Times New Roman"/>
          <w:sz w:val="20"/>
        </w:rPr>
      </w:pPr>
      <w:r>
        <w:rPr>
          <w:rFonts w:ascii="Times New Roman" w:hAnsi="Times New Roman"/>
          <w:sz w:val="20"/>
        </w:rPr>
        <w:t xml:space="preserve">Moreover, we operate in an evolving environment. New risk factors and uncertainties may emerge from time to time, and it is not possible for management to predict all risk factors and uncertainties.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accompanying base prospectus, and the documents that are incorporated by reference into this prospectus supplement and the accompanying base prospectus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ocb215784_107"/>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common stock having aggregate sales proceeds of up to $100,000,000 from time to time. Because there is no minimum offering amount required as a condition to close this offering, the actual total public offering amount, commissions and proceeds to us, if any, are not determinable at this time.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of this offering to advance the development of our product candidates and for other general corporate and working capital purposes. </w:t>
      </w:r>
    </w:p>
    <w:p>
      <w:pPr>
        <w:pStyle w:val="TextBody"/>
        <w:bidi w:val="0"/>
        <w:spacing w:before="240" w:after="0"/>
        <w:jc w:val="left"/>
        <w:rPr>
          <w:rFonts w:ascii="Times New Roman" w:hAnsi="Times New Roman"/>
          <w:sz w:val="20"/>
        </w:rPr>
      </w:pPr>
      <w:r>
        <w:rPr>
          <w:rFonts w:ascii="Times New Roman" w:hAnsi="Times New Roman"/>
          <w:sz w:val="20"/>
        </w:rPr>
        <w:t xml:space="preserve">The amounts and timing of our actual expenditures will depend on numerous factors, including the progress of our regulatory submissions, clinical trials and other development efforts and other factors described under “Risk Factors” in this prospectus supplement, the accompanying base prospectus and the documents incorporated by reference herein and therein, as well as the amount of cash used in our operations. We may find it necessary or advisable to use the net proceeds for other purposes, and we will have broad discretion in the application of the net proceeds. Pending use of the proceeds as described above, we intend to invest the net proceeds of this offering in short-term, interest-bearing, investment-grade securities or certificates of deposit.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ocb215784_108"/>
      <w:bookmarkEnd w:id="23"/>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ocb215784_109"/>
      <w:bookmarkEnd w:id="24"/>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your interest will be diluted to the extent of the difference between the price per share you pay in this offering and the net tangible book value per share of our common stock immediately after this offering. Our historical net tangible book value as of June 30, 2026 was approximately $34.5 million, or $3.51 per share of common stock. Net tangible book value per share is equal to our total tangible assets, less our total liabilities, divided by the total number of shares outstanding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our common stock in the aggregate amount of $100,000,000 at an assumed offering price of $4.64 per share, the last reported sale price of our common stock on the Nasdaq Global Select Market on August 11, 2026, and after deducting commissions and estimated offering expenses payable by us, our as adjusted net tangible book value as of June 30, 2026 would have been $131.7 million, or $4.20 per share of common stock. This represents an immediate increase in net tangible book value of $0.69 per share to our existing stockholders and an immediate dilution in net tangible book value of $0.44 per share to new investors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illustrates this calculation on a per share basis. The as adjusted information is illustrative only and will adjust based on the actual price to the public, the actual number of shares sold and other terms of the offering determined at the time shares of our common stock are sold pursuant to this prospectus supplement. The shares sold in this offering, if any, will be sold from time to time at various prices.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43"/>
        <w:gridCol w:w="397"/>
        <w:gridCol w:w="144"/>
        <w:gridCol w:w="445"/>
        <w:gridCol w:w="60"/>
        <w:gridCol w:w="397"/>
        <w:gridCol w:w="144"/>
        <w:gridCol w:w="445"/>
        <w:gridCol w:w="64"/>
      </w:tblGrid>
      <w:tr>
        <w:trPr/>
        <w:tc>
          <w:tcPr>
            <w:tcW w:w="4843"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public offering price per share</w:t>
            </w:r>
          </w:p>
        </w:tc>
        <w:tc>
          <w:tcPr>
            <w:tcW w:w="39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45" w:type="dxa"/>
            <w:tcBorders/>
            <w:shd w:fill="CCEEFF" w:val="clear"/>
            <w:vAlign w:val="bottom"/>
          </w:tcPr>
          <w:p>
            <w:pPr>
              <w:pStyle w:val="TableContents"/>
              <w:bidi w:val="0"/>
              <w:spacing w:before="0" w:after="283"/>
              <w:jc w:val="right"/>
              <w:rPr/>
            </w:pPr>
            <w:r>
              <w:rPr/>
              <w:t>4.64</w:t>
            </w:r>
          </w:p>
        </w:tc>
        <w:tc>
          <w:tcPr>
            <w:tcW w:w="64" w:type="dxa"/>
            <w:tcBorders/>
            <w:shd w:fill="CCEEFF" w:val="clear"/>
            <w:vAlign w:val="bottom"/>
          </w:tcPr>
          <w:p>
            <w:pPr>
              <w:pStyle w:val="TableContents"/>
              <w:bidi w:val="0"/>
              <w:spacing w:before="0" w:after="283"/>
              <w:jc w:val="left"/>
              <w:rPr/>
            </w:pPr>
            <w:r>
              <w:rPr/>
              <w:t> </w:t>
            </w:r>
          </w:p>
        </w:tc>
      </w:tr>
      <w:tr>
        <w:trPr/>
        <w:tc>
          <w:tcPr>
            <w:tcW w:w="4843" w:type="dxa"/>
            <w:tcBorders/>
          </w:tcPr>
          <w:p>
            <w:pPr>
              <w:pStyle w:val="TableContents"/>
              <w:bidi w:val="0"/>
              <w:spacing w:before="0" w:after="0"/>
              <w:jc w:val="left"/>
              <w:rPr>
                <w:rFonts w:ascii="Times New Roman" w:hAnsi="Times New Roman"/>
                <w:sz w:val="20"/>
              </w:rPr>
            </w:pPr>
            <w:r>
              <w:rPr>
                <w:rFonts w:ascii="Times New Roman" w:hAnsi="Times New Roman"/>
                <w:sz w:val="20"/>
              </w:rPr>
              <w:t>Net tangible book value per share as of June 30, 2026</w:t>
            </w:r>
          </w:p>
        </w:tc>
        <w:tc>
          <w:tcPr>
            <w:tcW w:w="39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445" w:type="dxa"/>
            <w:tcBorders/>
            <w:vAlign w:val="bottom"/>
          </w:tcPr>
          <w:p>
            <w:pPr>
              <w:pStyle w:val="TableContents"/>
              <w:bidi w:val="0"/>
              <w:spacing w:before="0" w:after="283"/>
              <w:jc w:val="right"/>
              <w:rPr/>
            </w:pPr>
            <w:r>
              <w:rPr/>
              <w:t>3.51</w:t>
            </w:r>
          </w:p>
        </w:tc>
        <w:tc>
          <w:tcPr>
            <w:tcW w:w="60"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the offering</w:t>
            </w:r>
          </w:p>
        </w:tc>
        <w:tc>
          <w:tcPr>
            <w:tcW w:w="39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45" w:type="dxa"/>
            <w:tcBorders/>
            <w:shd w:fill="CCEEFF" w:val="clear"/>
            <w:vAlign w:val="bottom"/>
          </w:tcPr>
          <w:p>
            <w:pPr>
              <w:pStyle w:val="TableContents"/>
              <w:bidi w:val="0"/>
              <w:spacing w:before="0" w:after="283"/>
              <w:jc w:val="right"/>
              <w:rPr/>
            </w:pPr>
            <w:r>
              <w:rPr/>
              <w:t>0.69</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4843"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44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843"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giving effect to the offering</w:t>
            </w:r>
          </w:p>
        </w:tc>
        <w:tc>
          <w:tcPr>
            <w:tcW w:w="39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w:t>
            </w:r>
          </w:p>
        </w:tc>
        <w:tc>
          <w:tcPr>
            <w:tcW w:w="445" w:type="dxa"/>
            <w:tcBorders/>
            <w:vAlign w:val="bottom"/>
          </w:tcPr>
          <w:p>
            <w:pPr>
              <w:pStyle w:val="TableContents"/>
              <w:bidi w:val="0"/>
              <w:spacing w:before="0" w:after="283"/>
              <w:jc w:val="right"/>
              <w:rPr/>
            </w:pPr>
            <w:r>
              <w:rPr/>
              <w:t>4.20</w:t>
            </w:r>
          </w:p>
        </w:tc>
        <w:tc>
          <w:tcPr>
            <w:tcW w:w="64" w:type="dxa"/>
            <w:tcBorders/>
            <w:vAlign w:val="bottom"/>
          </w:tcPr>
          <w:p>
            <w:pPr>
              <w:pStyle w:val="TableContents"/>
              <w:bidi w:val="0"/>
              <w:spacing w:before="0" w:after="283"/>
              <w:jc w:val="left"/>
              <w:rPr/>
            </w:pPr>
            <w:r>
              <w:rPr/>
              <w:t> </w:t>
            </w:r>
          </w:p>
        </w:tc>
      </w:tr>
      <w:tr>
        <w:trPr/>
        <w:tc>
          <w:tcPr>
            <w:tcW w:w="4843"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single" w:sz="2" w:space="1" w:color="000000"/>
              </w:pBdr>
              <w:bidi w:val="0"/>
              <w:spacing w:before="0" w:after="0"/>
              <w:jc w:val="left"/>
              <w:rPr/>
            </w:pPr>
            <w:r>
              <w:rPr/>
              <w:t> </w:t>
            </w:r>
          </w:p>
        </w:tc>
        <w:tc>
          <w:tcPr>
            <w:tcW w:w="445"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8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new investors participating in the offering</w:t>
            </w:r>
          </w:p>
        </w:tc>
        <w:tc>
          <w:tcPr>
            <w:tcW w:w="39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sz w:val="4"/>
                <w:szCs w:val="4"/>
              </w:rPr>
            </w:pPr>
            <w:r>
              <w:rPr>
                <w:sz w:val="4"/>
                <w:szCs w:val="4"/>
              </w:rPr>
            </w:r>
          </w:p>
        </w:tc>
        <w:tc>
          <w:tcPr>
            <w:tcW w:w="44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7"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w:t>
            </w:r>
          </w:p>
        </w:tc>
        <w:tc>
          <w:tcPr>
            <w:tcW w:w="445" w:type="dxa"/>
            <w:tcBorders/>
            <w:shd w:fill="CCEEFF" w:val="clear"/>
            <w:vAlign w:val="bottom"/>
          </w:tcPr>
          <w:p>
            <w:pPr>
              <w:pStyle w:val="TableContents"/>
              <w:bidi w:val="0"/>
              <w:spacing w:before="0" w:after="283"/>
              <w:jc w:val="right"/>
              <w:rPr/>
            </w:pPr>
            <w:r>
              <w:rPr/>
              <w:t>0.44</w:t>
            </w:r>
          </w:p>
        </w:tc>
        <w:tc>
          <w:tcPr>
            <w:tcW w:w="64" w:type="dxa"/>
            <w:tcBorders/>
            <w:shd w:fill="CCEEFF" w:val="clear"/>
            <w:vAlign w:val="bottom"/>
          </w:tcPr>
          <w:p>
            <w:pPr>
              <w:pStyle w:val="TableContents"/>
              <w:bidi w:val="0"/>
              <w:spacing w:before="0" w:after="283"/>
              <w:jc w:val="left"/>
              <w:rPr/>
            </w:pPr>
            <w:r>
              <w:rPr/>
              <w:t> </w:t>
            </w:r>
          </w:p>
        </w:tc>
      </w:tr>
      <w:tr>
        <w:trPr/>
        <w:tc>
          <w:tcPr>
            <w:tcW w:w="4843"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pPr>
            <w:r>
              <w:rPr/>
              <w:t>  </w:t>
            </w:r>
          </w:p>
        </w:tc>
        <w:tc>
          <w:tcPr>
            <w:tcW w:w="144" w:type="dxa"/>
            <w:tcBorders/>
            <w:vAlign w:val="bottom"/>
          </w:tcPr>
          <w:p>
            <w:pPr>
              <w:pStyle w:val="TableContents"/>
              <w:pBdr>
                <w:top w:val="double" w:sz="6" w:space="1" w:color="000000"/>
              </w:pBdr>
              <w:bidi w:val="0"/>
              <w:spacing w:before="0" w:after="0"/>
              <w:jc w:val="left"/>
              <w:rPr/>
            </w:pPr>
            <w:r>
              <w:rPr/>
              <w:t> </w:t>
            </w:r>
          </w:p>
        </w:tc>
        <w:tc>
          <w:tcPr>
            <w:tcW w:w="445"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above discussion and table are based on 9,827,569 shares of our common stock outstanding as of June 30, 2026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1,548,690 shares of common stock issuable upon exercise of stock options outstanding as of June 30, 2026, at a weighted average exercise price of $43.10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161,748 shares of common stock issuable upon vesting of restricted stock units outstanding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168,842 shares of common stock reserved for issuance under our 2025 Incentive Award Plan,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102,426 shares of common stock reserved for issuance under our 2015 Employee Stock Purchase Plan, as of June 30,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86,749 shares of common stock reserved for issuance under our 2022 Employment Inducement Award Plan as of June 30,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32,379 shares of common stock issuable upon exercise of warrants outstanding as of June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table does not give effect to the exercise of any of the outstanding options or warrants or the vesting of any of the restricted stock units described above. To the extent options or warrants are exercised or the restricted stock units vest, there may be further dilution to new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5" w:name="tocb215784_110"/>
      <w:bookmarkEnd w:id="25"/>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sales agreement with TD Cowen, as amended from time to time, under which we may issue and sell shares of our common stock from time to time up to an aggregate sales price of $100,000,000 through TD Cowen, or the ATM Program. The sales agreement is filed herewith. Sales of our common stock, if any, under this prospectus supplement will be made at market prices by any method that is deemed to be an “at the market offering” as defined in Rule 415(a)(4) under the Securities Act, including without limitation sales made directly on or through the Nasdaq Global Select Market or any other existing trading market for our common stock or through block trades. If authorized by us in writing, TD Cowen may purchase shares of our common stock as principal. Sales pursuant to the sales agreement may be made through an affiliate of TD Cowen. </w:t>
      </w:r>
    </w:p>
    <w:p>
      <w:pPr>
        <w:pStyle w:val="TextBody"/>
        <w:bidi w:val="0"/>
        <w:spacing w:before="240" w:after="0"/>
        <w:jc w:val="left"/>
        <w:rPr>
          <w:rFonts w:ascii="Times New Roman" w:hAnsi="Times New Roman"/>
          <w:sz w:val="20"/>
        </w:rPr>
      </w:pPr>
      <w:r>
        <w:rPr>
          <w:rFonts w:ascii="Times New Roman" w:hAnsi="Times New Roman"/>
          <w:sz w:val="20"/>
        </w:rPr>
        <w:t xml:space="preserve">When requested by us, TD Cowen will offer the shares of common stock subject to the terms and conditions of the sales agreement, which may be on a daily basis for periods of time, or as otherwise agreed upon by us and TD Cowen. We will designate the maximum amount of shares of common stock to be sold through TD Cowen when we request TD Cowen to do so. TD Cowen has agreed, subject to the terms and conditions of the sales agreement, to use commercially reasonable efforts to execute our orders to sell, as our sales agent and on our behalf, shares of our common stock submitted to TD Cowen from time to time by us, consistent with its normal sales and trading practices and applicable state and federal laws, rules and regulations and the rules of the Nasdaq Global Select Market, on mutually agreed terms between the sales agent and us. We may instruct TD Cowen not to sell common stock if the sales cannot be effected at or above a price designated by us in any such instruction. We or TD Cowen may suspend the offering of shares of common stock under the sales agreement upon proper notice to the other party. TD Cowen and we each have the right, by giving ten days’ written notice as specified in the sales agreement, to terminate the sales agreement in each party’s sole discretion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compensation payable to TD Cowen as sales agent will be an amount up to 3.0% of the gross proceeds of the shares of our common stock sold through it pursuant to the sales agreement. We have agreed to reimburse TD Cowen for reasonable out-of-pocket expenses, including the reasonable fees and disbursements of counsel incurred by TD Cowen, up to a maximum aggregate amount of $100,000 (inclusive of any amounts reimbursed for associated legal expenses of TD Cowen’s outside counsel for filings with FINRA). The estimated offering expenses payable by us, in addition to such commission and expenses, are approximately $250,000, which includes legal, accounting and printing costs and various other fees associated with registering the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remaining sales proceeds, after deducting any expenses payable by us and any transaction fees imposed by any governmental, regulatory, or self-regulatory organization in connection with the sales, will equal our net proceeds from the sale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TD Cowen will provide written confirmation to us no later than the opening of trading on the Nasdaq Global Select Market on the trading day following each day on which shares of common stock are sold under the sales agreement. Each confirmation will include the number of shares sold through TD Cowen as sales agent on that day, the volume weighted average price of the shares sold, the percentage of the daily trading volume and the net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We will report at least quarterly the number of shares of common stock sold through TD Cowen under the sales agreement and the net proceeds to us in connection with the sales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sales of our common stock on our behalf, TD Cowen may be deemed to be an “underwriter” within the meaning of the Securities Act and the compensation paid to TD Cowen may be deemed to be underwriting commissions or discounts.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in the sales agreement to provide indemnification and contribution to TD Cowen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As sales agent, TD Cowen will not engage in any transactions that stabilize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also agreed to contribute to payments TD Cowen may be required to make in respect of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and trades under the symbol “MCRB.” The transfer agent of our common stock is Equiniti Trust Company, LLC.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shares of common stock pursuant to the sales agreement will terminate upon the earliest of (i) the sale of all shares of common stock subject to the sales agreement and this prospectus supplement, and (ii) the termination of the sales agreement according to its terms by either TD Cowen or us. </w:t>
      </w:r>
    </w:p>
    <w:p>
      <w:pPr>
        <w:pStyle w:val="TextBody"/>
        <w:bidi w:val="0"/>
        <w:spacing w:before="240" w:after="0"/>
        <w:jc w:val="left"/>
        <w:rPr>
          <w:rFonts w:ascii="Times New Roman" w:hAnsi="Times New Roman"/>
          <w:sz w:val="20"/>
        </w:rPr>
      </w:pPr>
      <w:r>
        <w:rPr>
          <w:rFonts w:ascii="Times New Roman" w:hAnsi="Times New Roman"/>
          <w:sz w:val="20"/>
        </w:rPr>
        <w:t xml:space="preserve">TD Cowen and/or its affiliates have provided, and may in the future provide, various investment banking, commercial banking and other financial services to us and our affiliates for which services they have received, and may in the future receive, customary fees. TD Cowen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various business activities, TD Cowen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TD Cowen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ocb215784_111"/>
      <w:bookmarkEnd w:id="26"/>
      <w:r>
        <w:rPr>
          <w:rFonts w:ascii="Times New Roman" w:hAnsi="Times New Roman"/>
          <w:b/>
          <w:sz w:val="20"/>
        </w:rPr>
        <w:t xml:space="preserve">MATERIAL U.S. FEDERAL INCOME TAX CONSEQUENCES TO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the material U.S. federal income tax consequences to non-U.S. holders (as defined below) of the purchase, ownership, and disposition of our common stock,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or the Treasury Regulations, judicial decisions, and published rulings and administrative pronouncements of the U.S. Internal Revenue Service, or the IRS, in each case, as in effect as of the date hereof. These authorities may change or be subject to differing interpretations. Any such change or differing interpretation may be applied retroactively in a manner that could adversely affect a non-U.S. holder of our common stock. We have not sought and do not currently intend to seek any rulings from the IRS regarding the matters discussed below. There can be no assurance the IRS or a court will not take a contrary position to the discussion below regarding the tax consequences of the purchase, ownership, and disposition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the alternative minimum tax, or any item of gross income with respect to our common stock being taken into account in an “applicable financial statement” (as defined in the Code). In addition, it does not address consequences relevant to non-U.S.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common stock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real estate investment trusts or regulated investment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or currencies;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“foreign 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 corporations or partnerships or other entities or arrangements treated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for whom our common stock constitutes “qualified small business stock” under Section 1202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common stock pursuant to the exercise of any employee stock option or otherwise as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or arrangement treated as a partnership for U.S. federal income tax purposes) holds our common stock, the tax treatment of a partner in the partnership will depend on the status of the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activities of the partnership, and certain determinations made at the partner level. Accordingly, partnerships holding our common stock and the partners in such partnerships should consult their tax advisors regarding the U.S. federal income tax consequences to them. </w:t>
      </w:r>
    </w:p>
    <w:p>
      <w:pPr>
        <w:pStyle w:val="TextBody"/>
        <w:bidi w:val="0"/>
        <w:spacing w:before="240" w:after="0"/>
        <w:jc w:val="left"/>
        <w:rPr>
          <w:rFonts w:ascii="Times New Roman" w:hAnsi="Times New Roman"/>
          <w:b/>
          <w:sz w:val="20"/>
        </w:rPr>
      </w:pPr>
      <w:r>
        <w:rPr>
          <w:rFonts w:ascii="Times New Roman" w:hAnsi="Times New Roman"/>
          <w:b/>
          <w:sz w:val="20"/>
        </w:rPr>
        <w:t xml:space="preserve">THIS DISCUSSION IS NOT LEGAL OR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i/>
          <w:sz w:val="20"/>
        </w:rPr>
      </w:pPr>
      <w:r>
        <w:rPr>
          <w:rFonts w:ascii="Times New Roman" w:hAnsi="Times New Roman"/>
          <w:b/>
          <w:i/>
          <w:sz w:val="20"/>
        </w:rPr>
        <w:t xml:space="preserve">Definition of a Non-U.S. Holder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section entitled “Dividend Policy,” we do not anticipate paying any cash dividends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our common stock, but not below zero. Any excess will be treated as capital gain and will be treated as described below under “—Sale or Other Taxable Disposition.” Because we may not know the extent to which a distribution is a dividend for U.S. federal income tax purposes at the time it is made, for purposes of the withholding rules discussed below we or the applicable withholding agent may treat the entire distribution as a dividend.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such lower rate under an income tax treaty between the United States and the country in which the non-U.S. holder resides or is established). This certification must be provided to the applicable withholding agent prior to the payment of dividends and must be updated periodically.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then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This certification must be provided to the applicable withholding agent prior to the payment of dividends and must be updated periodically. Any such effectively connected dividends will be subject to U.S. federal income tax on a net income basis at the regular rates. In addition, a non-U.S. holder that is a corporation may be subject to a branch profits tax at a rate of 30% (or such lower rate specified by an applicable income tax treaty) on its effectively connected dividends, as adjusted for certain items. Non-U.S. holders should consult their tax advisors regarding their entitlement to benefits under any applicable tax treaties that may provide for different rules.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will not be subject to U.S. federal income tax on any gain realized upon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common stock constitutes a United States real property interest (“USRPI”) by reason of our status as a United States real property holding corporation (“USRPHC”)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will generally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any gain realized upon the sale or other taxable disposition of our common stock, which may be offset by certain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we believe we are not currently and do not anticipate becoming a USRPHC. Because the determination of whether we are a USRPHC depends on the fair market value of our USRPIs relative to the fair market value of our other business assets and our non-U.S. real property interests, however,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 for such common stock.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potentially applicable income tax treaties that may provide for different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 </w:t>
      </w:r>
    </w:p>
    <w:p>
      <w:pPr>
        <w:pStyle w:val="TextBody"/>
        <w:bidi w:val="0"/>
        <w:spacing w:before="240" w:after="0"/>
        <w:jc w:val="left"/>
        <w:rPr>
          <w:rFonts w:ascii="Times New Roman" w:hAnsi="Times New Roman"/>
          <w:sz w:val="20"/>
        </w:rPr>
      </w:pPr>
      <w:r>
        <w:rPr>
          <w:rFonts w:ascii="Times New Roman" w:hAnsi="Times New Roman"/>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proposed Treasury Regulations eliminate FATCA withholding on payments of gross proceeds entirely. Taxpayers generally may rely on these proposed Treasury Regulations until final Treasury Regulations are issued. Because we may not know the extent to which a distribution is a dividend for U.S. federal income tax purposes at the time it is made, for purposes of these withholding rules we or the applicable withholding agent may treat the entire distribution as a dividend. </w:t>
      </w:r>
    </w:p>
    <w:p>
      <w:pPr>
        <w:pStyle w:val="TextBody"/>
        <w:bidi w:val="0"/>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potential application of withholding under FATCA to their investment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tocb215784_112"/>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hereby will be passed upon for us by Latham &amp; Watkins LLP. Ropes &amp; Gray LLP is counsel to TD Cowen in connection with this offering. </w:t>
      </w:r>
    </w:p>
    <w:p>
      <w:pPr>
        <w:pStyle w:val="TextBody"/>
        <w:bidi w:val="0"/>
        <w:spacing w:before="240" w:after="0"/>
        <w:jc w:val="center"/>
        <w:rPr>
          <w:rFonts w:ascii="Times New Roman" w:hAnsi="Times New Roman"/>
          <w:b/>
          <w:sz w:val="20"/>
        </w:rPr>
      </w:pPr>
      <w:bookmarkStart w:id="28" w:name="tocb215784_113"/>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supplement by reference to the Annual Report on Form 10-K for the year ended December 31, 2025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$100,000,000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1790700" cy="704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6"/>
                    <a:stretch>
                      <a:fillRect/>
                    </a:stretch>
                  </pic:blipFill>
                  <pic:spPr bwMode="auto">
                    <a:xfrm>
                      <a:off x="0" y="0"/>
                      <a:ext cx="1790700" cy="70485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sz w:val="20"/>
        </w:rPr>
      </w:pPr>
      <w:r>
        <w:rPr>
          <w:rFonts w:ascii="Times New Roman" w:hAnsi="Times New Roman"/>
          <w:sz w:val="20"/>
        </w:rPr>
        <w:t xml:space="preserve">, 2026 </w:t>
      </w:r>
    </w:p>
    <w:p>
      <w:pPr>
        <w:pStyle w:val="TextBody"/>
        <w:bidi w:val="0"/>
        <w:spacing w:before="480" w:after="0"/>
        <w:jc w:val="center"/>
        <w:rPr>
          <w:rFonts w:ascii="Times New Roman" w:hAnsi="Times New Roman"/>
          <w:b/>
          <w:sz w:val="28"/>
        </w:rPr>
      </w:pPr>
      <w:r>
        <w:rPr>
          <w:rFonts w:ascii="Times New Roman" w:hAnsi="Times New Roman"/>
          <w:b/>
          <w:sz w:val="28"/>
        </w:rPr>
        <w:t xml:space="preserve">TD Cowen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PART II </w:t>
      </w:r>
    </w:p>
    <w:p>
      <w:pPr>
        <w:pStyle w:val="TextBody"/>
        <w:bidi w:val="0"/>
        <w:spacing w:before="48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14.</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b/>
                <w:i/>
                <w:sz w:val="20"/>
              </w:rPr>
              <w:t>Other Expenses of Issuance and Distribution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is an estimate of the expenses (all of which are to be paid by the registrant) that we may incur in connection with the securities being registered hereby.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88"/>
        <w:gridCol w:w="589"/>
        <w:gridCol w:w="140"/>
        <w:gridCol w:w="868"/>
        <w:gridCol w:w="354"/>
      </w:tblGrid>
      <w:tr>
        <w:trPr/>
        <w:tc>
          <w:tcPr>
            <w:tcW w:w="4988" w:type="dxa"/>
            <w:tcBorders/>
            <w:vAlign w:val="center"/>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5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9,026.84</w:t>
            </w:r>
          </w:p>
        </w:tc>
        <w:tc>
          <w:tcPr>
            <w:tcW w:w="354" w:type="dxa"/>
            <w:tcBorders/>
            <w:shd w:fill="CCEEFF" w:val="clear"/>
            <w:vAlign w:val="bottom"/>
          </w:tcPr>
          <w:p>
            <w:pPr>
              <w:pStyle w:val="TableContents"/>
              <w:bidi w:val="0"/>
              <w:spacing w:before="0" w:after="283"/>
              <w:jc w:val="left"/>
              <w:rPr/>
            </w:pPr>
            <w:r>
              <w:rPr/>
              <w:t>(1) </w:t>
            </w:r>
          </w:p>
        </w:tc>
      </w:tr>
      <w:tr>
        <w:trPr/>
        <w:tc>
          <w:tcPr>
            <w:tcW w:w="4988" w:type="dxa"/>
            <w:tcBorders/>
          </w:tcPr>
          <w:p>
            <w:pPr>
              <w:pStyle w:val="TableContents"/>
              <w:bidi w:val="0"/>
              <w:spacing w:before="0" w:after="0"/>
              <w:jc w:val="left"/>
              <w:rPr>
                <w:rFonts w:ascii="Times New Roman" w:hAnsi="Times New Roman"/>
                <w:sz w:val="20"/>
              </w:rPr>
            </w:pPr>
            <w:r>
              <w:rPr>
                <w:rFonts w:ascii="Times New Roman" w:hAnsi="Times New Roman"/>
                <w:sz w:val="20"/>
              </w:rPr>
              <w:t>FINRA filing fee</w:t>
            </w:r>
          </w:p>
        </w:tc>
        <w:tc>
          <w:tcPr>
            <w:tcW w:w="5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8" w:type="dxa"/>
            <w:tcBorders/>
            <w:vAlign w:val="bottom"/>
          </w:tcPr>
          <w:p>
            <w:pPr>
              <w:pStyle w:val="TableContents"/>
              <w:bidi w:val="0"/>
              <w:spacing w:before="0" w:after="283"/>
              <w:jc w:val="right"/>
              <w:rPr/>
            </w:pPr>
            <w:r>
              <w:rPr/>
              <w:t>(2</w:t>
            </w:r>
          </w:p>
        </w:tc>
        <w:tc>
          <w:tcPr>
            <w:tcW w:w="354" w:type="dxa"/>
            <w:tcBorders/>
            <w:vAlign w:val="bottom"/>
          </w:tcPr>
          <w:p>
            <w:pPr>
              <w:pStyle w:val="TableContents"/>
              <w:bidi w:val="0"/>
              <w:spacing w:before="0" w:after="283"/>
              <w:jc w:val="left"/>
              <w:rPr/>
            </w:pPr>
            <w:r>
              <w:rPr/>
              <w:t>) </w:t>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Printing expenses</w:t>
            </w:r>
          </w:p>
        </w:tc>
        <w:tc>
          <w:tcPr>
            <w:tcW w:w="5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(2</w:t>
            </w:r>
          </w:p>
        </w:tc>
        <w:tc>
          <w:tcPr>
            <w:tcW w:w="354" w:type="dxa"/>
            <w:tcBorders/>
            <w:shd w:fill="CCEEFF" w:val="clear"/>
            <w:vAlign w:val="bottom"/>
          </w:tcPr>
          <w:p>
            <w:pPr>
              <w:pStyle w:val="TableContents"/>
              <w:bidi w:val="0"/>
              <w:spacing w:before="0" w:after="283"/>
              <w:jc w:val="left"/>
              <w:rPr/>
            </w:pPr>
            <w:r>
              <w:rPr/>
              <w:t>) </w:t>
            </w:r>
          </w:p>
        </w:tc>
      </w:tr>
      <w:tr>
        <w:trPr/>
        <w:tc>
          <w:tcPr>
            <w:tcW w:w="4988"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5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8" w:type="dxa"/>
            <w:tcBorders/>
            <w:vAlign w:val="bottom"/>
          </w:tcPr>
          <w:p>
            <w:pPr>
              <w:pStyle w:val="TableContents"/>
              <w:bidi w:val="0"/>
              <w:spacing w:before="0" w:after="283"/>
              <w:jc w:val="right"/>
              <w:rPr/>
            </w:pPr>
            <w:r>
              <w:rPr/>
              <w:t>(2</w:t>
            </w:r>
          </w:p>
        </w:tc>
        <w:tc>
          <w:tcPr>
            <w:tcW w:w="354" w:type="dxa"/>
            <w:tcBorders/>
            <w:vAlign w:val="bottom"/>
          </w:tcPr>
          <w:p>
            <w:pPr>
              <w:pStyle w:val="TableContents"/>
              <w:bidi w:val="0"/>
              <w:spacing w:before="0" w:after="283"/>
              <w:jc w:val="left"/>
              <w:rPr/>
            </w:pPr>
            <w:r>
              <w:rPr/>
              <w:t>) </w:t>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5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(2</w:t>
            </w:r>
          </w:p>
        </w:tc>
        <w:tc>
          <w:tcPr>
            <w:tcW w:w="354" w:type="dxa"/>
            <w:tcBorders/>
            <w:shd w:fill="CCEEFF" w:val="clear"/>
            <w:vAlign w:val="bottom"/>
          </w:tcPr>
          <w:p>
            <w:pPr>
              <w:pStyle w:val="TableContents"/>
              <w:bidi w:val="0"/>
              <w:spacing w:before="0" w:after="283"/>
              <w:jc w:val="left"/>
              <w:rPr/>
            </w:pPr>
            <w:r>
              <w:rPr/>
              <w:t>) </w:t>
            </w:r>
          </w:p>
        </w:tc>
      </w:tr>
      <w:tr>
        <w:trPr/>
        <w:tc>
          <w:tcPr>
            <w:tcW w:w="4988" w:type="dxa"/>
            <w:tcBorders/>
          </w:tcPr>
          <w:p>
            <w:pPr>
              <w:pStyle w:val="TableContents"/>
              <w:bidi w:val="0"/>
              <w:spacing w:before="0" w:after="0"/>
              <w:jc w:val="left"/>
              <w:rPr>
                <w:rFonts w:ascii="Times New Roman" w:hAnsi="Times New Roman"/>
                <w:sz w:val="20"/>
              </w:rPr>
            </w:pPr>
            <w:r>
              <w:rPr>
                <w:rFonts w:ascii="Times New Roman" w:hAnsi="Times New Roman"/>
                <w:sz w:val="20"/>
              </w:rPr>
              <w:t>Blue Sky, qualification fees and expenses</w:t>
            </w:r>
          </w:p>
        </w:tc>
        <w:tc>
          <w:tcPr>
            <w:tcW w:w="5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8" w:type="dxa"/>
            <w:tcBorders/>
            <w:vAlign w:val="bottom"/>
          </w:tcPr>
          <w:p>
            <w:pPr>
              <w:pStyle w:val="TableContents"/>
              <w:bidi w:val="0"/>
              <w:spacing w:before="0" w:after="283"/>
              <w:jc w:val="right"/>
              <w:rPr/>
            </w:pPr>
            <w:r>
              <w:rPr/>
              <w:t>(2</w:t>
            </w:r>
          </w:p>
        </w:tc>
        <w:tc>
          <w:tcPr>
            <w:tcW w:w="354" w:type="dxa"/>
            <w:tcBorders/>
            <w:vAlign w:val="bottom"/>
          </w:tcPr>
          <w:p>
            <w:pPr>
              <w:pStyle w:val="TableContents"/>
              <w:bidi w:val="0"/>
              <w:spacing w:before="0" w:after="283"/>
              <w:jc w:val="left"/>
              <w:rPr/>
            </w:pPr>
            <w:r>
              <w:rPr/>
              <w:t>) </w:t>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 fees and expenses</w:t>
            </w:r>
          </w:p>
        </w:tc>
        <w:tc>
          <w:tcPr>
            <w:tcW w:w="5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(2</w:t>
            </w:r>
          </w:p>
        </w:tc>
        <w:tc>
          <w:tcPr>
            <w:tcW w:w="354" w:type="dxa"/>
            <w:tcBorders/>
            <w:shd w:fill="CCEEFF" w:val="clear"/>
            <w:vAlign w:val="bottom"/>
          </w:tcPr>
          <w:p>
            <w:pPr>
              <w:pStyle w:val="TableContents"/>
              <w:bidi w:val="0"/>
              <w:spacing w:before="0" w:after="283"/>
              <w:jc w:val="left"/>
              <w:rPr/>
            </w:pPr>
            <w:r>
              <w:rPr/>
              <w:t>) </w:t>
            </w:r>
          </w:p>
        </w:tc>
      </w:tr>
      <w:tr>
        <w:trPr/>
        <w:tc>
          <w:tcPr>
            <w:tcW w:w="4988" w:type="dxa"/>
            <w:tcBorders/>
          </w:tcPr>
          <w:p>
            <w:pPr>
              <w:pStyle w:val="TableContents"/>
              <w:bidi w:val="0"/>
              <w:spacing w:before="0" w:after="0"/>
              <w:jc w:val="left"/>
              <w:rPr>
                <w:rFonts w:ascii="Times New Roman" w:hAnsi="Times New Roman"/>
                <w:sz w:val="20"/>
              </w:rPr>
            </w:pPr>
            <w:r>
              <w:rPr>
                <w:rFonts w:ascii="Times New Roman" w:hAnsi="Times New Roman"/>
                <w:sz w:val="20"/>
              </w:rPr>
              <w:t>Trustee fees and expenses</w:t>
            </w:r>
          </w:p>
        </w:tc>
        <w:tc>
          <w:tcPr>
            <w:tcW w:w="5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8" w:type="dxa"/>
            <w:tcBorders/>
            <w:vAlign w:val="bottom"/>
          </w:tcPr>
          <w:p>
            <w:pPr>
              <w:pStyle w:val="TableContents"/>
              <w:bidi w:val="0"/>
              <w:spacing w:before="0" w:after="283"/>
              <w:jc w:val="right"/>
              <w:rPr/>
            </w:pPr>
            <w:r>
              <w:rPr/>
              <w:t>(2</w:t>
            </w:r>
          </w:p>
        </w:tc>
        <w:tc>
          <w:tcPr>
            <w:tcW w:w="354" w:type="dxa"/>
            <w:tcBorders/>
            <w:vAlign w:val="bottom"/>
          </w:tcPr>
          <w:p>
            <w:pPr>
              <w:pStyle w:val="TableContents"/>
              <w:bidi w:val="0"/>
              <w:spacing w:before="0" w:after="283"/>
              <w:jc w:val="left"/>
              <w:rPr/>
            </w:pPr>
            <w:r>
              <w:rPr/>
              <w:t>) </w:t>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Warrant agent fees and expenses</w:t>
            </w:r>
          </w:p>
        </w:tc>
        <w:tc>
          <w:tcPr>
            <w:tcW w:w="5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(2</w:t>
            </w:r>
          </w:p>
        </w:tc>
        <w:tc>
          <w:tcPr>
            <w:tcW w:w="354" w:type="dxa"/>
            <w:tcBorders/>
            <w:shd w:fill="CCEEFF" w:val="clear"/>
            <w:vAlign w:val="bottom"/>
          </w:tcPr>
          <w:p>
            <w:pPr>
              <w:pStyle w:val="TableContents"/>
              <w:bidi w:val="0"/>
              <w:spacing w:before="0" w:after="283"/>
              <w:jc w:val="left"/>
              <w:rPr/>
            </w:pPr>
            <w:r>
              <w:rPr/>
              <w:t>) </w:t>
            </w:r>
          </w:p>
        </w:tc>
      </w:tr>
      <w:tr>
        <w:trPr/>
        <w:tc>
          <w:tcPr>
            <w:tcW w:w="4988"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5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8" w:type="dxa"/>
            <w:tcBorders/>
            <w:vAlign w:val="bottom"/>
          </w:tcPr>
          <w:p>
            <w:pPr>
              <w:pStyle w:val="TableContents"/>
              <w:bidi w:val="0"/>
              <w:spacing w:before="0" w:after="283"/>
              <w:jc w:val="right"/>
              <w:rPr/>
            </w:pPr>
            <w:r>
              <w:rPr/>
              <w:t>(2</w:t>
            </w:r>
          </w:p>
        </w:tc>
        <w:tc>
          <w:tcPr>
            <w:tcW w:w="354" w:type="dxa"/>
            <w:tcBorders/>
            <w:vAlign w:val="bottom"/>
          </w:tcPr>
          <w:p>
            <w:pPr>
              <w:pStyle w:val="TableContents"/>
              <w:bidi w:val="0"/>
              <w:spacing w:before="0" w:after="283"/>
              <w:jc w:val="left"/>
              <w:rPr/>
            </w:pPr>
            <w:r>
              <w:rPr/>
              <w:t>) </w:t>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(2</w:t>
            </w:r>
          </w:p>
        </w:tc>
        <w:tc>
          <w:tcPr>
            <w:tcW w:w="354" w:type="dxa"/>
            <w:tcBorders/>
            <w:shd w:fill="CCEEFF" w:val="clear"/>
            <w:vAlign w:val="bottom"/>
          </w:tcPr>
          <w:p>
            <w:pPr>
              <w:pStyle w:val="TableContents"/>
              <w:bidi w:val="0"/>
              <w:spacing w:before="0" w:after="283"/>
              <w:jc w:val="left"/>
              <w:rPr/>
            </w:pPr>
            <w:r>
              <w:rPr/>
              <w:t>) </w:t>
            </w:r>
          </w:p>
        </w:tc>
      </w:tr>
      <w:tr>
        <w:trPr/>
        <w:tc>
          <w:tcPr>
            <w:tcW w:w="4988" w:type="dxa"/>
            <w:tcBorders/>
            <w:vAlign w:val="bottom"/>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68" w:type="dxa"/>
            <w:tcBorders/>
            <w:vAlign w:val="bottom"/>
          </w:tcPr>
          <w:p>
            <w:pPr>
              <w:pStyle w:val="TableContents"/>
              <w:pBdr>
                <w:top w:val="double" w:sz="6"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$300,000,000 of securities registered pursuant to this registration statement includes $234,635,462.52 of securities, or the Unsold Securities, registered pursuant to the Registration Statement on Form S-3 (No. 333-273794), which became effective on August 15, 2023. Pursuant to Rule 415(a)(6) under the Securities Act of 1933, as amended, the filing fees previously paid in connection with the Unsold Securities will continue to be applied to the Unsold Securities.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Indemnification of Directors and Officers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Any underwriting agreement or distribution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to the fullest extent permitted by the DGCL, none of our directors shall be liable to our company or our stockholders for monetary damages arising from a breach of fiduciary duty owed to our company or our stockholders. In addition, our amended and restated bylaws provide that we must indemnify our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in which we have agreed to indemnify, defend and hold harmless, and also advance expenses as incurred, to the fullest extent permitted under applicable law, from damages arising from the fact that such person is or was an officer or director of our company or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indemnification rights set forth above shall not be exclusive of any other right which an indemnified person may have or hereafter acquire under any statute, our amended and restated certificate of incorporation, our amended and restated bylaws, any agreement, any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We maintain standard policies of insurance that provide coverage (1) to our directors and officers against loss arising from claims made by reason of breach of duty or other wrongful act and (2) to us with respect to indemnification payments that we may make to such directors and officers.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have purchased and intend to maintain insurance on behalf of Seres Therapeutics and any person who is or was a director or officer against any loss arising from any claim asserted against him or her and incurred by him or her in that capacity, subject to certain exclusions and limits of the amount of coverage.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sz w:val="20"/>
              </w:rPr>
            </w:pPr>
            <w:r>
              <w:rPr>
                <w:rFonts w:ascii="Times New Roman" w:hAnsi="Times New Roman"/>
                <w:b/>
                <w:i/>
                <w:sz w:val="20"/>
              </w:rPr>
              <w:t>Exhibits</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3"/>
        <w:gridCol w:w="101"/>
        <w:gridCol w:w="9391"/>
      </w:tblGrid>
      <w:tr>
        <w:trPr/>
        <w:tc>
          <w:tcPr>
            <w:tcW w:w="71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391" w:type="dxa"/>
            <w:tcBorders/>
            <w:vAlign w:val="center"/>
          </w:tcPr>
          <w:p>
            <w:pPr>
              <w:pStyle w:val="TableContents"/>
              <w:bidi w:val="0"/>
              <w:spacing w:before="0" w:after="283"/>
              <w:jc w:val="left"/>
              <w:rPr>
                <w:sz w:val="4"/>
                <w:szCs w:val="4"/>
              </w:rPr>
            </w:pPr>
            <w:r>
              <w:rPr>
                <w:sz w:val="4"/>
                <w:szCs w:val="4"/>
              </w:rPr>
            </w:r>
          </w:p>
        </w:tc>
      </w:tr>
      <w:tr>
        <w:trPr/>
        <w:tc>
          <w:tcPr>
            <w:tcW w:w="713"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01" w:type="dxa"/>
            <w:tcBorders/>
            <w:vAlign w:val="bottom"/>
          </w:tcPr>
          <w:p>
            <w:pPr>
              <w:pStyle w:val="TableContents"/>
              <w:bidi w:val="0"/>
              <w:spacing w:before="0" w:after="283"/>
              <w:jc w:val="left"/>
              <w:rPr/>
            </w:pPr>
            <w:r>
              <w:rPr/>
              <w:t> </w:t>
            </w:r>
          </w:p>
        </w:tc>
        <w:tc>
          <w:tcPr>
            <w:tcW w:w="9391" w:type="dxa"/>
            <w:tcBorders/>
            <w:vAlign w:val="bottom"/>
          </w:tcPr>
          <w:p>
            <w:pPr>
              <w:pStyle w:val="TableContents"/>
              <w:bidi w:val="0"/>
              <w:spacing w:before="0" w:after="283"/>
              <w:jc w:val="center"/>
              <w:rPr>
                <w:b/>
              </w:rPr>
            </w:pPr>
            <w:r>
              <w:rPr>
                <w:b/>
              </w:rPr>
              <w:t>Description</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pPr>
            <w:r>
              <w:rPr/>
              <w:t> </w:t>
            </w:r>
            <w:r>
              <w:rPr>
                <w:rFonts w:ascii="Times New Roman" w:hAnsi="Times New Roman"/>
                <w:sz w:val="20"/>
              </w:rPr>
              <w:t>1.1**</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Form of Underwriting Agreement.</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pPr>
            <w:r>
              <w:rPr/>
              <w:t> </w:t>
            </w:r>
            <w:r>
              <w:rPr>
                <w:rFonts w:ascii="Times New Roman" w:hAnsi="Times New Roman"/>
                <w:sz w:val="20"/>
              </w:rPr>
              <w:t>1.2*</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hyperlink w:anchor="d215784dex12.htm">
              <w:r>
                <w:rPr>
                  <w:rStyle w:val="InternetLink"/>
                </w:rPr>
                <w:t xml:space="preserve">Sales Agreement, dated as of August 13, 2026, by and between Seres Therapeutics, Inc. and TD Securities (USA) LLC.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pPr>
            <w:r>
              <w:rPr/>
              <w:t> </w:t>
            </w:r>
            <w:r>
              <w:rPr>
                <w:rFonts w:ascii="Times New Roman" w:hAnsi="Times New Roman"/>
                <w:sz w:val="20"/>
              </w:rPr>
              <w:t>3.1</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hyperlink r:id="rId27">
              <w:r>
                <w:rPr>
                  <w:rStyle w:val="InternetLink"/>
                </w:rPr>
                <w:t xml:space="preserve">Restated Certificate of Incorporation of Seres Therapeutics, Inc. (incorporated by reference to Exhibit  3.1 of the Company’s Current Report on Form 8-K filed with the SEC on July 1, 2015) (File No. 001-37465).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pPr>
            <w:r>
              <w:rPr/>
              <w:t> </w:t>
            </w:r>
            <w:r>
              <w:rPr>
                <w:rFonts w:ascii="Times New Roman" w:hAnsi="Times New Roman"/>
                <w:sz w:val="20"/>
              </w:rPr>
              <w:t>3.2</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hyperlink r:id="rId28">
              <w:r>
                <w:rPr>
                  <w:rStyle w:val="InternetLink"/>
                </w:rPr>
                <w:t xml:space="preserve">Certificate of Amendment to Restated Certificate of Incorporation of Seres Therapeutics, Inc. (incorporated by reference to Exhibit 3.1 of the Company’s Current Report on Form 8-K filed with the SEC on June 28, 2023) (File No. 001-37465).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pPr>
            <w:r>
              <w:rPr/>
              <w:t> </w:t>
            </w:r>
            <w:r>
              <w:rPr>
                <w:rFonts w:ascii="Times New Roman" w:hAnsi="Times New Roman"/>
                <w:sz w:val="20"/>
              </w:rPr>
              <w:t>3.3</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hyperlink r:id="rId29">
              <w:r>
                <w:rPr>
                  <w:rStyle w:val="InternetLink"/>
                </w:rPr>
                <w:t xml:space="preserve">Certificate of Amendment to Restated Certificate of Incorporation of Seres Therapeutics, Inc. (incorporated by reference to Exhibit 3.1 of the Company’s Current Report on Form 8-K filed with the SEC on April 8, 2024) (File No. 001-37465).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pPr>
            <w:r>
              <w:rPr/>
              <w:t> </w:t>
            </w:r>
            <w:r>
              <w:rPr>
                <w:rFonts w:ascii="Times New Roman" w:hAnsi="Times New Roman"/>
                <w:sz w:val="20"/>
              </w:rPr>
              <w:t>3.4</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hyperlink r:id="rId30">
              <w:r>
                <w:rPr>
                  <w:rStyle w:val="InternetLink"/>
                </w:rPr>
                <w:t xml:space="preserve">Certificate of Amendment to Restated Certificate of Incorporation of Seres Therapeutics, Inc. (incorporated by reference to Exhibit 3.1 of the Company’s Current Report on Form 8-K filed with the SEC on April 22, 2025) (File No. 001-37465).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pPr>
            <w:r>
              <w:rPr/>
              <w:t> </w:t>
            </w:r>
            <w:r>
              <w:rPr>
                <w:rFonts w:ascii="Times New Roman" w:hAnsi="Times New Roman"/>
                <w:sz w:val="20"/>
              </w:rPr>
              <w:t>3.5</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hyperlink r:id="rId31">
              <w:r>
                <w:rPr>
                  <w:rStyle w:val="InternetLink"/>
                </w:rPr>
                <w:t xml:space="preserve">Amended and Restated Bylaws of Seres Therapeutics, Inc. (incorporated by reference to Exhibit 3.1 of  the Company’s Current Report on Form 8-K filed with the SEC on January 2, 2024) (File No. 001-37465).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pPr>
            <w:r>
              <w:rPr/>
              <w:t> </w:t>
            </w:r>
            <w:r>
              <w:rPr>
                <w:rFonts w:ascii="Times New Roman" w:hAnsi="Times New Roman"/>
                <w:sz w:val="20"/>
              </w:rPr>
              <w:t>4.1</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hyperlink r:id="rId32">
              <w:r>
                <w:rPr>
                  <w:rStyle w:val="InternetLink"/>
                </w:rPr>
                <w:t xml:space="preserve">Form of Specimen Certificate Representing Common Stock (incorporated by reference to the Company’s Registration Statement on Form S-1 filed on June 16, 2015) (Reg. No. 333-204484).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pPr>
            <w:r>
              <w:rPr/>
              <w:t> </w:t>
            </w:r>
            <w:r>
              <w:rPr>
                <w:rFonts w:ascii="Times New Roman" w:hAnsi="Times New Roman"/>
                <w:sz w:val="20"/>
              </w:rPr>
              <w:t>4.2**</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Form of Specimen Certificate Representing Preferred Stock.</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pPr>
            <w:r>
              <w:rPr/>
              <w:t> </w:t>
            </w:r>
            <w:r>
              <w:rPr>
                <w:rFonts w:ascii="Times New Roman" w:hAnsi="Times New Roman"/>
                <w:sz w:val="20"/>
              </w:rPr>
              <w:t>4.3*</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hyperlink w:anchor="d215784dex43.htm">
              <w:r>
                <w:rPr>
                  <w:rStyle w:val="InternetLink"/>
                </w:rPr>
                <w:t xml:space="preserve">Form of Indenture.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pPr>
            <w:r>
              <w:rPr/>
              <w:t> </w:t>
            </w:r>
            <w:r>
              <w:rPr>
                <w:rFonts w:ascii="Times New Roman" w:hAnsi="Times New Roman"/>
                <w:sz w:val="20"/>
              </w:rPr>
              <w:t>4.4**</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Form of Debt Security.</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pPr>
            <w:r>
              <w:rPr/>
              <w:t> </w:t>
            </w:r>
            <w:r>
              <w:rPr>
                <w:rFonts w:ascii="Times New Roman" w:hAnsi="Times New Roman"/>
                <w:sz w:val="20"/>
              </w:rPr>
              <w:t>4.5**</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Form of Warrant.</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pPr>
            <w:r>
              <w:rPr/>
              <w:t> </w:t>
            </w:r>
            <w:r>
              <w:rPr>
                <w:rFonts w:ascii="Times New Roman" w:hAnsi="Times New Roman"/>
                <w:sz w:val="20"/>
              </w:rPr>
              <w:t>4.6**</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Form of Warrant Agreement.</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pPr>
            <w:r>
              <w:rPr/>
              <w:t> </w:t>
            </w:r>
            <w:r>
              <w:rPr>
                <w:rFonts w:ascii="Times New Roman" w:hAnsi="Times New Roman"/>
                <w:sz w:val="20"/>
              </w:rPr>
              <w:t>4.7**</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Form of Unit Agreement.</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pPr>
            <w:r>
              <w:rPr/>
              <w:t> </w:t>
            </w:r>
            <w:r>
              <w:rPr>
                <w:rFonts w:ascii="Times New Roman" w:hAnsi="Times New Roman"/>
                <w:sz w:val="20"/>
              </w:rPr>
              <w:t>5.1*</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hyperlink w:anchor="d215784dex51.htm">
              <w:r>
                <w:rPr>
                  <w:rStyle w:val="InternetLink"/>
                </w:rPr>
                <w:t xml:space="preserve">Opinion of Latham &amp; Watkins LLP.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23.1*</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 xml:space="preserve">Consent of Latham &amp; Watkins LLP (included in </w:t>
            </w:r>
            <w:hyperlink w:anchor="d215784dex51.htm">
              <w:r>
                <w:rPr>
                  <w:rStyle w:val="InternetLink"/>
                </w:rPr>
                <w:t>Exhibit 5.1</w:t>
              </w:r>
            </w:hyperlink>
            <w:r>
              <w:rPr/>
              <w:t>).</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23.2*</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hyperlink w:anchor="d215784dex232.htm">
              <w:r>
                <w:rPr>
                  <w:rStyle w:val="InternetLink"/>
                </w:rPr>
                <w:t xml:space="preserve">Consent of PricewaterhouseCoopers LLP, independent registered public accounting firm.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24.1*</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hyperlink w:anchor="sig">
              <w:r>
                <w:rPr>
                  <w:rStyle w:val="InternetLink"/>
                </w:rPr>
                <w:t xml:space="preserve">Powers of Attorney (incorporated by reference to the signature page hereto). </w:t>
              </w:r>
            </w:hyperlink>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25.1***</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r>
              <w:rPr/>
              <w:t>Statement of Eligibility on Form T-1 under the Trust Indenture Act of 1939, as amended, of Debt Trustee, as trustee under the indenture filed as Exhibit 4.3 above (to be filed prior to any issuance of Debt Securities).</w:t>
            </w:r>
          </w:p>
        </w:tc>
      </w:tr>
      <w:tr>
        <w:trPr>
          <w:trHeight w:val="120" w:hRule="atLeast"/>
        </w:trPr>
        <w:tc>
          <w:tcPr>
            <w:tcW w:w="713" w:type="dxa"/>
            <w:tcBorders/>
            <w:vAlign w:val="center"/>
          </w:tcPr>
          <w:p>
            <w:pPr>
              <w:pStyle w:val="TableContents"/>
              <w:bidi w:val="0"/>
              <w:spacing w:before="0" w:after="283"/>
              <w:jc w:val="left"/>
              <w:rPr>
                <w:sz w:val="4"/>
                <w:szCs w:val="4"/>
              </w:rPr>
            </w:pPr>
            <w:r>
              <w:rPr>
                <w:sz w:val="4"/>
                <w:szCs w:val="4"/>
              </w:rPr>
            </w:r>
          </w:p>
        </w:tc>
        <w:tc>
          <w:tcPr>
            <w:tcW w:w="9492" w:type="dxa"/>
            <w:gridSpan w:val="2"/>
            <w:tcBorders/>
            <w:vAlign w:val="center"/>
          </w:tcPr>
          <w:p>
            <w:pPr>
              <w:pStyle w:val="TableContents"/>
              <w:bidi w:val="0"/>
              <w:spacing w:before="0" w:after="283"/>
              <w:jc w:val="left"/>
              <w:rPr>
                <w:sz w:val="4"/>
                <w:szCs w:val="4"/>
              </w:rPr>
            </w:pPr>
            <w:r>
              <w:rPr>
                <w:sz w:val="4"/>
                <w:szCs w:val="4"/>
              </w:rPr>
            </w:r>
          </w:p>
        </w:tc>
      </w:tr>
      <w:tr>
        <w:trPr/>
        <w:tc>
          <w:tcPr>
            <w:tcW w:w="713" w:type="dxa"/>
            <w:tcBorders/>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101" w:type="dxa"/>
            <w:tcBorders/>
            <w:vAlign w:val="bottom"/>
          </w:tcPr>
          <w:p>
            <w:pPr>
              <w:pStyle w:val="TableContents"/>
              <w:bidi w:val="0"/>
              <w:spacing w:before="0" w:after="283"/>
              <w:jc w:val="left"/>
              <w:rPr/>
            </w:pPr>
            <w:r>
              <w:rPr/>
              <w:t> </w:t>
            </w:r>
          </w:p>
        </w:tc>
        <w:tc>
          <w:tcPr>
            <w:tcW w:w="9391" w:type="dxa"/>
            <w:tcBorders/>
          </w:tcPr>
          <w:p>
            <w:pPr>
              <w:pStyle w:val="TableContents"/>
              <w:bidi w:val="0"/>
              <w:spacing w:before="0" w:after="283"/>
              <w:jc w:val="left"/>
              <w:rPr/>
            </w:pPr>
            <w:hyperlink w:anchor="d215784dexfilingfees.htm">
              <w:r>
                <w:rPr>
                  <w:rStyle w:val="InternetLink"/>
                </w:rPr>
                <w:t xml:space="preserve">Filing Fee Table.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by amendment or incorporated by reference in connection with the offering of the securities.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in accordance with the requirements of Section 305(b)(2) of the Trust Indenture Act of 1939.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sz w:val="20"/>
              </w:rPr>
            </w:pPr>
            <w:r>
              <w:rPr>
                <w:rFonts w:ascii="Times New Roman" w:hAnsi="Times New Roman"/>
                <w:b/>
                <w:i/>
                <w:sz w:val="20"/>
              </w:rPr>
              <w:t>Undertakings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of 1933;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above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(5) That, for the purpose of determining liability under the Securities Act of 1933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(A)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(6) That, for the purpose of determining liability of the registrant under the Securities Act of 1933 to any purchaser in the initial distribution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p>
      <w:pPr>
        <w:pStyle w:val="TextBody"/>
        <w:bidi w:val="0"/>
        <w:spacing w:before="120" w:after="0"/>
        <w:jc w:val="left"/>
        <w:rPr>
          <w:rFonts w:ascii="Times New Roman" w:hAnsi="Times New Roman"/>
          <w:sz w:val="20"/>
        </w:rPr>
      </w:pPr>
      <w:r>
        <w:rPr>
          <w:rFonts w:ascii="Times New Roman" w:hAnsi="Times New Roman"/>
          <w:sz w:val="20"/>
        </w:rPr>
        <w:t xml:space="preserve">(i) Any preliminary prospectus or prospectus of the undersigned registrant relating to the offering required to be filed pursuant to Rule 424; </w:t>
      </w:r>
    </w:p>
    <w:p>
      <w:pPr>
        <w:pStyle w:val="TextBody"/>
        <w:bidi w:val="0"/>
        <w:spacing w:before="120" w:after="0"/>
        <w:jc w:val="left"/>
        <w:rPr>
          <w:rFonts w:ascii="Times New Roman" w:hAnsi="Times New Roman"/>
          <w:sz w:val="20"/>
        </w:rPr>
      </w:pPr>
      <w:r>
        <w:rPr>
          <w:rFonts w:ascii="Times New Roman" w:hAnsi="Times New Roman"/>
          <w:sz w:val="20"/>
        </w:rPr>
        <w:t xml:space="preserve">(ii) Any free writing prospectus relating to the offering prepared by or on behalf of the undersigned registrant or used or referred to by the undersigned registrant; </w:t>
      </w:r>
    </w:p>
    <w:p>
      <w:pPr>
        <w:pStyle w:val="TextBody"/>
        <w:bidi w:val="0"/>
        <w:spacing w:before="120" w:after="0"/>
        <w:jc w:val="left"/>
        <w:rPr>
          <w:rFonts w:ascii="Times New Roman" w:hAnsi="Times New Roman"/>
          <w:sz w:val="20"/>
        </w:rPr>
      </w:pPr>
      <w:r>
        <w:rPr>
          <w:rFonts w:ascii="Times New Roman" w:hAnsi="Times New Roman"/>
          <w:sz w:val="20"/>
        </w:rPr>
        <w:t xml:space="preserve">(iii) The portion of any other free writing prospectus relating to the offering containing material information about the undersigned registrant or its securities provided by or on behalf of the undersigned registrant; and </w:t>
      </w:r>
    </w:p>
    <w:p>
      <w:pPr>
        <w:pStyle w:val="TextBody"/>
        <w:bidi w:val="0"/>
        <w:spacing w:before="120" w:after="0"/>
        <w:jc w:val="left"/>
        <w:rPr>
          <w:rFonts w:ascii="Times New Roman" w:hAnsi="Times New Roman"/>
          <w:sz w:val="20"/>
        </w:rPr>
      </w:pPr>
      <w:r>
        <w:rPr>
          <w:rFonts w:ascii="Times New Roman" w:hAnsi="Times New Roman"/>
          <w:sz w:val="20"/>
        </w:rPr>
        <w:t xml:space="preserve">(iv) Any other communication that is an offer in the offering made by the undersigned registrant to the purchaser. </w:t>
      </w:r>
    </w:p>
    <w:p>
      <w:pPr>
        <w:pStyle w:val="TextBody"/>
        <w:bidi w:val="0"/>
        <w:spacing w:before="12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(h)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120" w:after="0"/>
        <w:jc w:val="left"/>
        <w:rPr>
          <w:rFonts w:ascii="Times New Roman" w:hAnsi="Times New Roman"/>
          <w:sz w:val="20"/>
        </w:rPr>
      </w:pPr>
      <w:r>
        <w:rPr>
          <w:rFonts w:ascii="Times New Roman" w:hAnsi="Times New Roman"/>
          <w:sz w:val="20"/>
        </w:rPr>
        <w:t xml:space="preserve">(j) The undersigned registrant hereby undertakes to file an application for the purpose of determining the eligibility of the trustee to act under subsection (a) of Section 310 of the Trust Indenture Act, or the Act, in accordance with the rules and regulations prescribed by the SEC under section 305(b)(2) of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Cambridge, Commonwealth of Massachusetts, on August 13th,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SERES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N. Kender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Richard N. Kender</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Executive Chair and Interim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9" w:name="sig"/>
      <w:bookmarkEnd w:id="29"/>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of the undersigned officers and directors of the registrant hereby severally constitutes and appoints Richard N. Kender and Marella Thorell,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below by the following persons on behalf of the registrant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290"/>
        <w:gridCol w:w="120"/>
        <w:gridCol w:w="3750"/>
        <w:gridCol w:w="202"/>
        <w:gridCol w:w="1843"/>
      </w:tblGrid>
      <w:tr>
        <w:trPr/>
        <w:tc>
          <w:tcPr>
            <w:tcW w:w="42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50"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429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bottom"/>
          </w:tcPr>
          <w:p>
            <w:pPr>
              <w:pStyle w:val="TableContents"/>
              <w:bidi w:val="0"/>
              <w:spacing w:before="0" w:after="283"/>
              <w:jc w:val="left"/>
              <w:rPr/>
            </w:pPr>
            <w:r>
              <w:rPr/>
              <w:t>  </w:t>
            </w:r>
          </w:p>
        </w:tc>
        <w:tc>
          <w:tcPr>
            <w:tcW w:w="37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2" w:type="dxa"/>
            <w:tcBorders/>
            <w:vAlign w:val="bottom"/>
          </w:tcPr>
          <w:p>
            <w:pPr>
              <w:pStyle w:val="TableContents"/>
              <w:bidi w:val="0"/>
              <w:spacing w:before="0" w:after="283"/>
              <w:jc w:val="left"/>
              <w:rPr/>
            </w:pPr>
            <w:r>
              <w:rPr/>
              <w:t> </w:t>
            </w:r>
          </w:p>
        </w:tc>
        <w:tc>
          <w:tcPr>
            <w:tcW w:w="184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c>
          <w:tcPr>
            <w:tcW w:w="4290"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Richard N. Kender</w:t>
            </w:r>
          </w:p>
        </w:tc>
        <w:tc>
          <w:tcPr>
            <w:tcW w:w="120" w:type="dxa"/>
            <w:vMerge w:val="restart"/>
            <w:tcBorders/>
            <w:vAlign w:val="bottom"/>
          </w:tcPr>
          <w:p>
            <w:pPr>
              <w:pStyle w:val="TableContents"/>
              <w:bidi w:val="0"/>
              <w:spacing w:before="0" w:after="283"/>
              <w:jc w:val="left"/>
              <w:rPr/>
            </w:pPr>
            <w:r>
              <w:rPr/>
              <w:t>  </w:t>
            </w:r>
          </w:p>
        </w:tc>
        <w:tc>
          <w:tcPr>
            <w:tcW w:w="3750" w:type="dxa"/>
            <w:vMerge w:val="restart"/>
            <w:tcBorders/>
            <w:vAlign w:val="center"/>
          </w:tcPr>
          <w:p>
            <w:pPr>
              <w:pStyle w:val="TableContents"/>
              <w:bidi w:val="0"/>
              <w:spacing w:before="0" w:after="283"/>
              <w:jc w:val="center"/>
              <w:rPr/>
            </w:pPr>
            <w:r>
              <w:rPr/>
              <w:t>Executive Chair and Interim Chief Executive Officer (Principal Executive Officer)</w:t>
            </w:r>
          </w:p>
        </w:tc>
        <w:tc>
          <w:tcPr>
            <w:tcW w:w="202" w:type="dxa"/>
            <w:vMerge w:val="restart"/>
            <w:tcBorders/>
            <w:vAlign w:val="bottom"/>
          </w:tcPr>
          <w:p>
            <w:pPr>
              <w:pStyle w:val="TableContents"/>
              <w:bidi w:val="0"/>
              <w:spacing w:before="0" w:after="283"/>
              <w:jc w:val="left"/>
              <w:rPr/>
            </w:pPr>
            <w:r>
              <w:rPr/>
              <w:t> </w:t>
            </w:r>
          </w:p>
        </w:tc>
        <w:tc>
          <w:tcPr>
            <w:tcW w:w="1843" w:type="dxa"/>
            <w:vMerge w:val="restart"/>
            <w:tcBorders/>
          </w:tcPr>
          <w:p>
            <w:pPr>
              <w:pStyle w:val="TableContents"/>
              <w:bidi w:val="0"/>
              <w:spacing w:before="0" w:after="283"/>
              <w:jc w:val="left"/>
              <w:rPr/>
            </w:pPr>
            <w:r>
              <w:rPr/>
              <w:t>August 13, 2026</w:t>
            </w:r>
          </w:p>
        </w:tc>
      </w:tr>
      <w:tr>
        <w:trPr/>
        <w:tc>
          <w:tcPr>
            <w:tcW w:w="4290" w:type="dxa"/>
            <w:tcBorders/>
          </w:tcPr>
          <w:p>
            <w:pPr>
              <w:pStyle w:val="TableContents"/>
              <w:bidi w:val="0"/>
              <w:spacing w:before="0" w:after="283"/>
              <w:jc w:val="center"/>
              <w:rPr/>
            </w:pPr>
            <w:r>
              <w:rPr/>
              <w:t>Richard N. Kender</w:t>
            </w:r>
          </w:p>
        </w:tc>
        <w:tc>
          <w:tcPr>
            <w:tcW w:w="120" w:type="dxa"/>
            <w:vMerge w:val="continue"/>
            <w:tcBorders/>
            <w:vAlign w:val="bottom"/>
          </w:tcPr>
          <w:p>
            <w:pPr>
              <w:pStyle w:val="Normal"/>
              <w:bidi w:val="0"/>
              <w:jc w:val="left"/>
              <w:rPr/>
            </w:pPr>
            <w:r>
              <w:rPr/>
            </w:r>
          </w:p>
        </w:tc>
        <w:tc>
          <w:tcPr>
            <w:tcW w:w="3750" w:type="dxa"/>
            <w:vMerge w:val="continue"/>
            <w:tcBorders/>
            <w:vAlign w:val="center"/>
          </w:tcPr>
          <w:p>
            <w:pPr>
              <w:pStyle w:val="Normal"/>
              <w:bidi w:val="0"/>
              <w:jc w:val="left"/>
              <w:rPr/>
            </w:pPr>
            <w:r>
              <w:rPr/>
            </w:r>
          </w:p>
        </w:tc>
        <w:tc>
          <w:tcPr>
            <w:tcW w:w="202" w:type="dxa"/>
            <w:vMerge w:val="continue"/>
            <w:tcBorders/>
            <w:vAlign w:val="bottom"/>
          </w:tcPr>
          <w:p>
            <w:pPr>
              <w:pStyle w:val="Normal"/>
              <w:bidi w:val="0"/>
              <w:jc w:val="left"/>
              <w:rPr/>
            </w:pPr>
            <w:r>
              <w:rPr/>
            </w:r>
          </w:p>
        </w:tc>
        <w:tc>
          <w:tcPr>
            <w:tcW w:w="1843" w:type="dxa"/>
            <w:vMerge w:val="continue"/>
            <w:tcBorders/>
          </w:tcPr>
          <w:p>
            <w:pPr>
              <w:pStyle w:val="Normal"/>
              <w:bidi w:val="0"/>
              <w:jc w:val="left"/>
              <w:rPr/>
            </w:pPr>
            <w:r>
              <w:rPr/>
            </w:r>
          </w:p>
        </w:tc>
      </w:tr>
      <w:tr>
        <w:trPr>
          <w:trHeight w:val="240" w:hRule="atLeast"/>
        </w:trPr>
        <w:tc>
          <w:tcPr>
            <w:tcW w:w="4290" w:type="dxa"/>
            <w:tcBorders/>
            <w:vAlign w:val="center"/>
          </w:tcPr>
          <w:p>
            <w:pPr>
              <w:pStyle w:val="TableContents"/>
              <w:bidi w:val="0"/>
              <w:spacing w:before="0" w:after="283"/>
              <w:jc w:val="left"/>
              <w:rPr>
                <w:sz w:val="4"/>
                <w:szCs w:val="4"/>
              </w:rPr>
            </w:pPr>
            <w:r>
              <w:rPr>
                <w:sz w:val="4"/>
                <w:szCs w:val="4"/>
              </w:rPr>
            </w:r>
          </w:p>
        </w:tc>
        <w:tc>
          <w:tcPr>
            <w:tcW w:w="3870" w:type="dxa"/>
            <w:gridSpan w:val="2"/>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r>
      <w:tr>
        <w:trPr/>
        <w:tc>
          <w:tcPr>
            <w:tcW w:w="4290" w:type="dxa"/>
            <w:tcBorders/>
            <w:vAlign w:val="bottom"/>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Marella Thorell</w:t>
            </w:r>
          </w:p>
        </w:tc>
        <w:tc>
          <w:tcPr>
            <w:tcW w:w="120" w:type="dxa"/>
            <w:vMerge w:val="restart"/>
            <w:tcBorders/>
            <w:vAlign w:val="bottom"/>
          </w:tcPr>
          <w:p>
            <w:pPr>
              <w:pStyle w:val="TableContents"/>
              <w:bidi w:val="0"/>
              <w:spacing w:before="0" w:after="283"/>
              <w:jc w:val="left"/>
              <w:rPr/>
            </w:pPr>
            <w:r>
              <w:rPr/>
              <w:t>  </w:t>
            </w:r>
          </w:p>
        </w:tc>
        <w:tc>
          <w:tcPr>
            <w:tcW w:w="3750" w:type="dxa"/>
            <w:vMerge w:val="restart"/>
            <w:tcBorders/>
            <w:vAlign w:val="center"/>
          </w:tcPr>
          <w:p>
            <w:pPr>
              <w:pStyle w:val="TableContents"/>
              <w:bidi w:val="0"/>
              <w:spacing w:before="0" w:after="283"/>
              <w:jc w:val="center"/>
              <w:rPr/>
            </w:pPr>
            <w:r>
              <w:rPr/>
              <w:t>Executive Vice President, Chief Financial Officer and Treasurer (Principal Financial and Accounting Officer)</w:t>
            </w:r>
          </w:p>
        </w:tc>
        <w:tc>
          <w:tcPr>
            <w:tcW w:w="202" w:type="dxa"/>
            <w:vMerge w:val="restart"/>
            <w:tcBorders/>
            <w:vAlign w:val="bottom"/>
          </w:tcPr>
          <w:p>
            <w:pPr>
              <w:pStyle w:val="TableContents"/>
              <w:bidi w:val="0"/>
              <w:spacing w:before="0" w:after="283"/>
              <w:jc w:val="left"/>
              <w:rPr/>
            </w:pPr>
            <w:r>
              <w:rPr/>
              <w:t> </w:t>
            </w:r>
          </w:p>
        </w:tc>
        <w:tc>
          <w:tcPr>
            <w:tcW w:w="1843" w:type="dxa"/>
            <w:vMerge w:val="restart"/>
            <w:tcBorders/>
          </w:tcPr>
          <w:p>
            <w:pPr>
              <w:pStyle w:val="TableContents"/>
              <w:bidi w:val="0"/>
              <w:spacing w:before="0" w:after="283"/>
              <w:jc w:val="left"/>
              <w:rPr/>
            </w:pPr>
            <w:r>
              <w:rPr/>
              <w:t>August 13, 2026</w:t>
            </w:r>
          </w:p>
        </w:tc>
      </w:tr>
      <w:tr>
        <w:trPr/>
        <w:tc>
          <w:tcPr>
            <w:tcW w:w="4290" w:type="dxa"/>
            <w:tcBorders/>
          </w:tcPr>
          <w:p>
            <w:pPr>
              <w:pStyle w:val="TableContents"/>
              <w:bidi w:val="0"/>
              <w:spacing w:before="0" w:after="283"/>
              <w:jc w:val="center"/>
              <w:rPr/>
            </w:pPr>
            <w:r>
              <w:rPr/>
              <w:t>Marella Thorell</w:t>
            </w:r>
          </w:p>
        </w:tc>
        <w:tc>
          <w:tcPr>
            <w:tcW w:w="120" w:type="dxa"/>
            <w:vMerge w:val="continue"/>
            <w:tcBorders/>
            <w:vAlign w:val="bottom"/>
          </w:tcPr>
          <w:p>
            <w:pPr>
              <w:pStyle w:val="Normal"/>
              <w:bidi w:val="0"/>
              <w:jc w:val="left"/>
              <w:rPr/>
            </w:pPr>
            <w:r>
              <w:rPr/>
            </w:r>
          </w:p>
        </w:tc>
        <w:tc>
          <w:tcPr>
            <w:tcW w:w="3750" w:type="dxa"/>
            <w:vMerge w:val="continue"/>
            <w:tcBorders/>
            <w:vAlign w:val="center"/>
          </w:tcPr>
          <w:p>
            <w:pPr>
              <w:pStyle w:val="Normal"/>
              <w:bidi w:val="0"/>
              <w:jc w:val="left"/>
              <w:rPr/>
            </w:pPr>
            <w:r>
              <w:rPr/>
            </w:r>
          </w:p>
        </w:tc>
        <w:tc>
          <w:tcPr>
            <w:tcW w:w="202" w:type="dxa"/>
            <w:vMerge w:val="continue"/>
            <w:tcBorders/>
            <w:vAlign w:val="bottom"/>
          </w:tcPr>
          <w:p>
            <w:pPr>
              <w:pStyle w:val="Normal"/>
              <w:bidi w:val="0"/>
              <w:jc w:val="left"/>
              <w:rPr/>
            </w:pPr>
            <w:r>
              <w:rPr/>
            </w:r>
          </w:p>
        </w:tc>
        <w:tc>
          <w:tcPr>
            <w:tcW w:w="1843" w:type="dxa"/>
            <w:vMerge w:val="continue"/>
            <w:tcBorders/>
          </w:tcPr>
          <w:p>
            <w:pPr>
              <w:pStyle w:val="Normal"/>
              <w:bidi w:val="0"/>
              <w:jc w:val="left"/>
              <w:rPr/>
            </w:pPr>
            <w:r>
              <w:rPr/>
            </w:r>
          </w:p>
        </w:tc>
      </w:tr>
      <w:tr>
        <w:trPr>
          <w:trHeight w:val="240" w:hRule="atLeast"/>
        </w:trPr>
        <w:tc>
          <w:tcPr>
            <w:tcW w:w="4290" w:type="dxa"/>
            <w:tcBorders/>
            <w:vAlign w:val="center"/>
          </w:tcPr>
          <w:p>
            <w:pPr>
              <w:pStyle w:val="TableContents"/>
              <w:bidi w:val="0"/>
              <w:spacing w:before="0" w:after="283"/>
              <w:jc w:val="left"/>
              <w:rPr>
                <w:sz w:val="4"/>
                <w:szCs w:val="4"/>
              </w:rPr>
            </w:pPr>
            <w:r>
              <w:rPr>
                <w:sz w:val="4"/>
                <w:szCs w:val="4"/>
              </w:rPr>
            </w:r>
          </w:p>
        </w:tc>
        <w:tc>
          <w:tcPr>
            <w:tcW w:w="3870" w:type="dxa"/>
            <w:gridSpan w:val="2"/>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r>
      <w:tr>
        <w:trPr/>
        <w:tc>
          <w:tcPr>
            <w:tcW w:w="4290"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Stephen A. Berenson</w:t>
            </w:r>
          </w:p>
        </w:tc>
        <w:tc>
          <w:tcPr>
            <w:tcW w:w="120" w:type="dxa"/>
            <w:vMerge w:val="restart"/>
            <w:tcBorders/>
            <w:vAlign w:val="bottom"/>
          </w:tcPr>
          <w:p>
            <w:pPr>
              <w:pStyle w:val="TableContents"/>
              <w:bidi w:val="0"/>
              <w:spacing w:before="0" w:after="283"/>
              <w:jc w:val="left"/>
              <w:rPr/>
            </w:pPr>
            <w:r>
              <w:rPr/>
              <w:t>  </w:t>
            </w:r>
          </w:p>
        </w:tc>
        <w:tc>
          <w:tcPr>
            <w:tcW w:w="3750" w:type="dxa"/>
            <w:vMerge w:val="restart"/>
            <w:tcBorders/>
            <w:vAlign w:val="center"/>
          </w:tcPr>
          <w:p>
            <w:pPr>
              <w:pStyle w:val="TableContents"/>
              <w:bidi w:val="0"/>
              <w:spacing w:before="0" w:after="283"/>
              <w:jc w:val="center"/>
              <w:rPr/>
            </w:pPr>
            <w:r>
              <w:rPr/>
              <w:t>Director</w:t>
            </w:r>
          </w:p>
        </w:tc>
        <w:tc>
          <w:tcPr>
            <w:tcW w:w="202" w:type="dxa"/>
            <w:vMerge w:val="restart"/>
            <w:tcBorders/>
            <w:vAlign w:val="bottom"/>
          </w:tcPr>
          <w:p>
            <w:pPr>
              <w:pStyle w:val="TableContents"/>
              <w:bidi w:val="0"/>
              <w:spacing w:before="0" w:after="283"/>
              <w:jc w:val="left"/>
              <w:rPr/>
            </w:pPr>
            <w:r>
              <w:rPr/>
              <w:t> </w:t>
            </w:r>
          </w:p>
        </w:tc>
        <w:tc>
          <w:tcPr>
            <w:tcW w:w="1843" w:type="dxa"/>
            <w:vMerge w:val="restart"/>
            <w:tcBorders/>
          </w:tcPr>
          <w:p>
            <w:pPr>
              <w:pStyle w:val="TableContents"/>
              <w:bidi w:val="0"/>
              <w:spacing w:before="0" w:after="283"/>
              <w:jc w:val="left"/>
              <w:rPr/>
            </w:pPr>
            <w:r>
              <w:rPr/>
              <w:t>August 13, 2026</w:t>
            </w:r>
          </w:p>
        </w:tc>
      </w:tr>
      <w:tr>
        <w:trPr/>
        <w:tc>
          <w:tcPr>
            <w:tcW w:w="4290" w:type="dxa"/>
            <w:tcBorders/>
          </w:tcPr>
          <w:p>
            <w:pPr>
              <w:pStyle w:val="TableContents"/>
              <w:bidi w:val="0"/>
              <w:spacing w:before="0" w:after="283"/>
              <w:jc w:val="center"/>
              <w:rPr/>
            </w:pPr>
            <w:r>
              <w:rPr/>
              <w:t>Stephen A. Berenson</w:t>
            </w:r>
          </w:p>
        </w:tc>
        <w:tc>
          <w:tcPr>
            <w:tcW w:w="120" w:type="dxa"/>
            <w:vMerge w:val="continue"/>
            <w:tcBorders/>
            <w:vAlign w:val="bottom"/>
          </w:tcPr>
          <w:p>
            <w:pPr>
              <w:pStyle w:val="Normal"/>
              <w:bidi w:val="0"/>
              <w:jc w:val="left"/>
              <w:rPr/>
            </w:pPr>
            <w:r>
              <w:rPr/>
            </w:r>
          </w:p>
        </w:tc>
        <w:tc>
          <w:tcPr>
            <w:tcW w:w="3750" w:type="dxa"/>
            <w:vMerge w:val="continue"/>
            <w:tcBorders/>
            <w:vAlign w:val="center"/>
          </w:tcPr>
          <w:p>
            <w:pPr>
              <w:pStyle w:val="Normal"/>
              <w:bidi w:val="0"/>
              <w:jc w:val="left"/>
              <w:rPr/>
            </w:pPr>
            <w:r>
              <w:rPr/>
            </w:r>
          </w:p>
        </w:tc>
        <w:tc>
          <w:tcPr>
            <w:tcW w:w="202" w:type="dxa"/>
            <w:vMerge w:val="continue"/>
            <w:tcBorders/>
            <w:vAlign w:val="bottom"/>
          </w:tcPr>
          <w:p>
            <w:pPr>
              <w:pStyle w:val="Normal"/>
              <w:bidi w:val="0"/>
              <w:jc w:val="left"/>
              <w:rPr/>
            </w:pPr>
            <w:r>
              <w:rPr/>
            </w:r>
          </w:p>
        </w:tc>
        <w:tc>
          <w:tcPr>
            <w:tcW w:w="1843" w:type="dxa"/>
            <w:vMerge w:val="continue"/>
            <w:tcBorders/>
          </w:tcPr>
          <w:p>
            <w:pPr>
              <w:pStyle w:val="Normal"/>
              <w:bidi w:val="0"/>
              <w:jc w:val="left"/>
              <w:rPr/>
            </w:pPr>
            <w:r>
              <w:rPr/>
            </w:r>
          </w:p>
        </w:tc>
      </w:tr>
      <w:tr>
        <w:trPr>
          <w:trHeight w:val="240" w:hRule="atLeast"/>
        </w:trPr>
        <w:tc>
          <w:tcPr>
            <w:tcW w:w="4290" w:type="dxa"/>
            <w:tcBorders/>
            <w:vAlign w:val="center"/>
          </w:tcPr>
          <w:p>
            <w:pPr>
              <w:pStyle w:val="TableContents"/>
              <w:bidi w:val="0"/>
              <w:spacing w:before="0" w:after="283"/>
              <w:jc w:val="left"/>
              <w:rPr>
                <w:sz w:val="4"/>
                <w:szCs w:val="4"/>
              </w:rPr>
            </w:pPr>
            <w:r>
              <w:rPr>
                <w:sz w:val="4"/>
                <w:szCs w:val="4"/>
              </w:rPr>
            </w:r>
          </w:p>
        </w:tc>
        <w:tc>
          <w:tcPr>
            <w:tcW w:w="3870" w:type="dxa"/>
            <w:gridSpan w:val="2"/>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r>
      <w:tr>
        <w:trPr/>
        <w:tc>
          <w:tcPr>
            <w:tcW w:w="4290"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Dennis A. Ausiello, M.D.</w:t>
            </w:r>
          </w:p>
        </w:tc>
        <w:tc>
          <w:tcPr>
            <w:tcW w:w="120" w:type="dxa"/>
            <w:vMerge w:val="restart"/>
            <w:tcBorders/>
            <w:vAlign w:val="bottom"/>
          </w:tcPr>
          <w:p>
            <w:pPr>
              <w:pStyle w:val="TableContents"/>
              <w:bidi w:val="0"/>
              <w:spacing w:before="0" w:after="283"/>
              <w:jc w:val="left"/>
              <w:rPr/>
            </w:pPr>
            <w:r>
              <w:rPr/>
              <w:t>  </w:t>
            </w:r>
          </w:p>
        </w:tc>
        <w:tc>
          <w:tcPr>
            <w:tcW w:w="3750" w:type="dxa"/>
            <w:vMerge w:val="restart"/>
            <w:tcBorders/>
            <w:vAlign w:val="center"/>
          </w:tcPr>
          <w:p>
            <w:pPr>
              <w:pStyle w:val="TableContents"/>
              <w:bidi w:val="0"/>
              <w:spacing w:before="0" w:after="283"/>
              <w:jc w:val="center"/>
              <w:rPr/>
            </w:pPr>
            <w:r>
              <w:rPr/>
              <w:t>Director</w:t>
            </w:r>
          </w:p>
        </w:tc>
        <w:tc>
          <w:tcPr>
            <w:tcW w:w="202" w:type="dxa"/>
            <w:vMerge w:val="restart"/>
            <w:tcBorders/>
            <w:vAlign w:val="bottom"/>
          </w:tcPr>
          <w:p>
            <w:pPr>
              <w:pStyle w:val="TableContents"/>
              <w:bidi w:val="0"/>
              <w:spacing w:before="0" w:after="283"/>
              <w:jc w:val="left"/>
              <w:rPr/>
            </w:pPr>
            <w:r>
              <w:rPr/>
              <w:t> </w:t>
            </w:r>
          </w:p>
        </w:tc>
        <w:tc>
          <w:tcPr>
            <w:tcW w:w="1843" w:type="dxa"/>
            <w:vMerge w:val="restart"/>
            <w:tcBorders/>
          </w:tcPr>
          <w:p>
            <w:pPr>
              <w:pStyle w:val="TableContents"/>
              <w:bidi w:val="0"/>
              <w:spacing w:before="0" w:after="283"/>
              <w:jc w:val="left"/>
              <w:rPr/>
            </w:pPr>
            <w:r>
              <w:rPr/>
              <w:t>August 13, 2026</w:t>
            </w:r>
          </w:p>
        </w:tc>
      </w:tr>
      <w:tr>
        <w:trPr/>
        <w:tc>
          <w:tcPr>
            <w:tcW w:w="4290" w:type="dxa"/>
            <w:tcBorders/>
          </w:tcPr>
          <w:p>
            <w:pPr>
              <w:pStyle w:val="TableContents"/>
              <w:bidi w:val="0"/>
              <w:spacing w:before="0" w:after="283"/>
              <w:jc w:val="center"/>
              <w:rPr/>
            </w:pPr>
            <w:r>
              <w:rPr/>
              <w:t>Dennis A. Ausiello, M.D.</w:t>
            </w:r>
          </w:p>
        </w:tc>
        <w:tc>
          <w:tcPr>
            <w:tcW w:w="120" w:type="dxa"/>
            <w:vMerge w:val="continue"/>
            <w:tcBorders/>
            <w:vAlign w:val="bottom"/>
          </w:tcPr>
          <w:p>
            <w:pPr>
              <w:pStyle w:val="Normal"/>
              <w:bidi w:val="0"/>
              <w:jc w:val="left"/>
              <w:rPr/>
            </w:pPr>
            <w:r>
              <w:rPr/>
            </w:r>
          </w:p>
        </w:tc>
        <w:tc>
          <w:tcPr>
            <w:tcW w:w="3750" w:type="dxa"/>
            <w:vMerge w:val="continue"/>
            <w:tcBorders/>
            <w:vAlign w:val="center"/>
          </w:tcPr>
          <w:p>
            <w:pPr>
              <w:pStyle w:val="Normal"/>
              <w:bidi w:val="0"/>
              <w:jc w:val="left"/>
              <w:rPr/>
            </w:pPr>
            <w:r>
              <w:rPr/>
            </w:r>
          </w:p>
        </w:tc>
        <w:tc>
          <w:tcPr>
            <w:tcW w:w="202" w:type="dxa"/>
            <w:vMerge w:val="continue"/>
            <w:tcBorders/>
            <w:vAlign w:val="bottom"/>
          </w:tcPr>
          <w:p>
            <w:pPr>
              <w:pStyle w:val="Normal"/>
              <w:bidi w:val="0"/>
              <w:jc w:val="left"/>
              <w:rPr/>
            </w:pPr>
            <w:r>
              <w:rPr/>
            </w:r>
          </w:p>
        </w:tc>
        <w:tc>
          <w:tcPr>
            <w:tcW w:w="1843" w:type="dxa"/>
            <w:vMerge w:val="continue"/>
            <w:tcBorders/>
          </w:tcPr>
          <w:p>
            <w:pPr>
              <w:pStyle w:val="Normal"/>
              <w:bidi w:val="0"/>
              <w:jc w:val="left"/>
              <w:rPr/>
            </w:pPr>
            <w:r>
              <w:rPr/>
            </w:r>
          </w:p>
        </w:tc>
      </w:tr>
      <w:tr>
        <w:trPr>
          <w:trHeight w:val="240" w:hRule="atLeast"/>
        </w:trPr>
        <w:tc>
          <w:tcPr>
            <w:tcW w:w="4290" w:type="dxa"/>
            <w:tcBorders/>
            <w:vAlign w:val="center"/>
          </w:tcPr>
          <w:p>
            <w:pPr>
              <w:pStyle w:val="TableContents"/>
              <w:bidi w:val="0"/>
              <w:spacing w:before="0" w:after="283"/>
              <w:jc w:val="left"/>
              <w:rPr>
                <w:sz w:val="4"/>
                <w:szCs w:val="4"/>
              </w:rPr>
            </w:pPr>
            <w:r>
              <w:rPr>
                <w:sz w:val="4"/>
                <w:szCs w:val="4"/>
              </w:rPr>
            </w:r>
          </w:p>
        </w:tc>
        <w:tc>
          <w:tcPr>
            <w:tcW w:w="3870" w:type="dxa"/>
            <w:gridSpan w:val="2"/>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r>
      <w:tr>
        <w:trPr/>
        <w:tc>
          <w:tcPr>
            <w:tcW w:w="4290"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Rob Rosiello</w:t>
            </w:r>
          </w:p>
        </w:tc>
        <w:tc>
          <w:tcPr>
            <w:tcW w:w="120" w:type="dxa"/>
            <w:vMerge w:val="restart"/>
            <w:tcBorders/>
            <w:vAlign w:val="bottom"/>
          </w:tcPr>
          <w:p>
            <w:pPr>
              <w:pStyle w:val="TableContents"/>
              <w:bidi w:val="0"/>
              <w:spacing w:before="0" w:after="283"/>
              <w:jc w:val="left"/>
              <w:rPr/>
            </w:pPr>
            <w:r>
              <w:rPr/>
              <w:t>  </w:t>
            </w:r>
          </w:p>
        </w:tc>
        <w:tc>
          <w:tcPr>
            <w:tcW w:w="3750" w:type="dxa"/>
            <w:vMerge w:val="restart"/>
            <w:tcBorders/>
            <w:vAlign w:val="center"/>
          </w:tcPr>
          <w:p>
            <w:pPr>
              <w:pStyle w:val="TableContents"/>
              <w:bidi w:val="0"/>
              <w:spacing w:before="0" w:after="283"/>
              <w:jc w:val="center"/>
              <w:rPr/>
            </w:pPr>
            <w:r>
              <w:rPr/>
              <w:t>Director</w:t>
            </w:r>
          </w:p>
        </w:tc>
        <w:tc>
          <w:tcPr>
            <w:tcW w:w="202" w:type="dxa"/>
            <w:vMerge w:val="restart"/>
            <w:tcBorders/>
            <w:vAlign w:val="bottom"/>
          </w:tcPr>
          <w:p>
            <w:pPr>
              <w:pStyle w:val="TableContents"/>
              <w:bidi w:val="0"/>
              <w:spacing w:before="0" w:after="283"/>
              <w:jc w:val="left"/>
              <w:rPr/>
            </w:pPr>
            <w:r>
              <w:rPr/>
              <w:t> </w:t>
            </w:r>
          </w:p>
        </w:tc>
        <w:tc>
          <w:tcPr>
            <w:tcW w:w="1843" w:type="dxa"/>
            <w:vMerge w:val="restart"/>
            <w:tcBorders/>
          </w:tcPr>
          <w:p>
            <w:pPr>
              <w:pStyle w:val="TableContents"/>
              <w:bidi w:val="0"/>
              <w:spacing w:before="0" w:after="283"/>
              <w:jc w:val="left"/>
              <w:rPr/>
            </w:pPr>
            <w:r>
              <w:rPr/>
              <w:t>August 13, 2026</w:t>
            </w:r>
          </w:p>
        </w:tc>
      </w:tr>
      <w:tr>
        <w:trPr/>
        <w:tc>
          <w:tcPr>
            <w:tcW w:w="4290" w:type="dxa"/>
            <w:tcBorders/>
          </w:tcPr>
          <w:p>
            <w:pPr>
              <w:pStyle w:val="TableContents"/>
              <w:bidi w:val="0"/>
              <w:spacing w:before="0" w:after="283"/>
              <w:jc w:val="center"/>
              <w:rPr/>
            </w:pPr>
            <w:r>
              <w:rPr/>
              <w:t>Rob Rosiello</w:t>
            </w:r>
          </w:p>
        </w:tc>
        <w:tc>
          <w:tcPr>
            <w:tcW w:w="120" w:type="dxa"/>
            <w:vMerge w:val="continue"/>
            <w:tcBorders/>
            <w:vAlign w:val="bottom"/>
          </w:tcPr>
          <w:p>
            <w:pPr>
              <w:pStyle w:val="Normal"/>
              <w:bidi w:val="0"/>
              <w:jc w:val="left"/>
              <w:rPr/>
            </w:pPr>
            <w:r>
              <w:rPr/>
            </w:r>
          </w:p>
        </w:tc>
        <w:tc>
          <w:tcPr>
            <w:tcW w:w="3750" w:type="dxa"/>
            <w:vMerge w:val="continue"/>
            <w:tcBorders/>
            <w:vAlign w:val="center"/>
          </w:tcPr>
          <w:p>
            <w:pPr>
              <w:pStyle w:val="Normal"/>
              <w:bidi w:val="0"/>
              <w:jc w:val="left"/>
              <w:rPr/>
            </w:pPr>
            <w:r>
              <w:rPr/>
            </w:r>
          </w:p>
        </w:tc>
        <w:tc>
          <w:tcPr>
            <w:tcW w:w="202" w:type="dxa"/>
            <w:vMerge w:val="continue"/>
            <w:tcBorders/>
            <w:vAlign w:val="bottom"/>
          </w:tcPr>
          <w:p>
            <w:pPr>
              <w:pStyle w:val="Normal"/>
              <w:bidi w:val="0"/>
              <w:jc w:val="left"/>
              <w:rPr/>
            </w:pPr>
            <w:r>
              <w:rPr/>
            </w:r>
          </w:p>
        </w:tc>
        <w:tc>
          <w:tcPr>
            <w:tcW w:w="1843" w:type="dxa"/>
            <w:vMerge w:val="continue"/>
            <w:tcBorders/>
          </w:tcPr>
          <w:p>
            <w:pPr>
              <w:pStyle w:val="Normal"/>
              <w:bidi w:val="0"/>
              <w:jc w:val="left"/>
              <w:rPr/>
            </w:pPr>
            <w:r>
              <w:rPr/>
            </w:r>
          </w:p>
        </w:tc>
      </w:tr>
      <w:tr>
        <w:trPr>
          <w:trHeight w:val="240" w:hRule="atLeast"/>
        </w:trPr>
        <w:tc>
          <w:tcPr>
            <w:tcW w:w="4290" w:type="dxa"/>
            <w:tcBorders/>
            <w:vAlign w:val="center"/>
          </w:tcPr>
          <w:p>
            <w:pPr>
              <w:pStyle w:val="TableContents"/>
              <w:bidi w:val="0"/>
              <w:spacing w:before="0" w:after="283"/>
              <w:jc w:val="left"/>
              <w:rPr>
                <w:sz w:val="4"/>
                <w:szCs w:val="4"/>
              </w:rPr>
            </w:pPr>
            <w:r>
              <w:rPr>
                <w:sz w:val="4"/>
                <w:szCs w:val="4"/>
              </w:rPr>
            </w:r>
          </w:p>
        </w:tc>
        <w:tc>
          <w:tcPr>
            <w:tcW w:w="3870" w:type="dxa"/>
            <w:gridSpan w:val="2"/>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r>
      <w:tr>
        <w:trPr/>
        <w:tc>
          <w:tcPr>
            <w:tcW w:w="4290"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Willard H. Dere, M.D., FACP</w:t>
            </w:r>
          </w:p>
        </w:tc>
        <w:tc>
          <w:tcPr>
            <w:tcW w:w="120" w:type="dxa"/>
            <w:vMerge w:val="restart"/>
            <w:tcBorders/>
            <w:vAlign w:val="bottom"/>
          </w:tcPr>
          <w:p>
            <w:pPr>
              <w:pStyle w:val="TableContents"/>
              <w:bidi w:val="0"/>
              <w:spacing w:before="0" w:after="283"/>
              <w:jc w:val="left"/>
              <w:rPr/>
            </w:pPr>
            <w:r>
              <w:rPr/>
              <w:t>  </w:t>
            </w:r>
          </w:p>
        </w:tc>
        <w:tc>
          <w:tcPr>
            <w:tcW w:w="3750" w:type="dxa"/>
            <w:vMerge w:val="restart"/>
            <w:tcBorders/>
            <w:vAlign w:val="center"/>
          </w:tcPr>
          <w:p>
            <w:pPr>
              <w:pStyle w:val="TableContents"/>
              <w:bidi w:val="0"/>
              <w:spacing w:before="0" w:after="283"/>
              <w:jc w:val="center"/>
              <w:rPr/>
            </w:pPr>
            <w:r>
              <w:rPr/>
              <w:t>Director</w:t>
            </w:r>
          </w:p>
        </w:tc>
        <w:tc>
          <w:tcPr>
            <w:tcW w:w="202" w:type="dxa"/>
            <w:vMerge w:val="restart"/>
            <w:tcBorders/>
            <w:vAlign w:val="bottom"/>
          </w:tcPr>
          <w:p>
            <w:pPr>
              <w:pStyle w:val="TableContents"/>
              <w:bidi w:val="0"/>
              <w:spacing w:before="0" w:after="283"/>
              <w:jc w:val="left"/>
              <w:rPr/>
            </w:pPr>
            <w:r>
              <w:rPr/>
              <w:t> </w:t>
            </w:r>
          </w:p>
        </w:tc>
        <w:tc>
          <w:tcPr>
            <w:tcW w:w="1843" w:type="dxa"/>
            <w:vMerge w:val="restart"/>
            <w:tcBorders/>
          </w:tcPr>
          <w:p>
            <w:pPr>
              <w:pStyle w:val="TableContents"/>
              <w:bidi w:val="0"/>
              <w:spacing w:before="0" w:after="283"/>
              <w:jc w:val="left"/>
              <w:rPr/>
            </w:pPr>
            <w:r>
              <w:rPr/>
              <w:t>August 13, 2026</w:t>
            </w:r>
          </w:p>
        </w:tc>
      </w:tr>
      <w:tr>
        <w:trPr/>
        <w:tc>
          <w:tcPr>
            <w:tcW w:w="4290" w:type="dxa"/>
            <w:tcBorders/>
          </w:tcPr>
          <w:p>
            <w:pPr>
              <w:pStyle w:val="TableContents"/>
              <w:bidi w:val="0"/>
              <w:spacing w:before="0" w:after="283"/>
              <w:jc w:val="center"/>
              <w:rPr/>
            </w:pPr>
            <w:r>
              <w:rPr/>
              <w:t>Willard H. Dere, M.D., FACP</w:t>
            </w:r>
          </w:p>
        </w:tc>
        <w:tc>
          <w:tcPr>
            <w:tcW w:w="120" w:type="dxa"/>
            <w:vMerge w:val="continue"/>
            <w:tcBorders/>
            <w:vAlign w:val="bottom"/>
          </w:tcPr>
          <w:p>
            <w:pPr>
              <w:pStyle w:val="Normal"/>
              <w:bidi w:val="0"/>
              <w:jc w:val="left"/>
              <w:rPr/>
            </w:pPr>
            <w:r>
              <w:rPr/>
            </w:r>
          </w:p>
        </w:tc>
        <w:tc>
          <w:tcPr>
            <w:tcW w:w="3750" w:type="dxa"/>
            <w:vMerge w:val="continue"/>
            <w:tcBorders/>
            <w:vAlign w:val="center"/>
          </w:tcPr>
          <w:p>
            <w:pPr>
              <w:pStyle w:val="Normal"/>
              <w:bidi w:val="0"/>
              <w:jc w:val="left"/>
              <w:rPr/>
            </w:pPr>
            <w:r>
              <w:rPr/>
            </w:r>
          </w:p>
        </w:tc>
        <w:tc>
          <w:tcPr>
            <w:tcW w:w="202" w:type="dxa"/>
            <w:vMerge w:val="continue"/>
            <w:tcBorders/>
            <w:vAlign w:val="bottom"/>
          </w:tcPr>
          <w:p>
            <w:pPr>
              <w:pStyle w:val="Normal"/>
              <w:bidi w:val="0"/>
              <w:jc w:val="left"/>
              <w:rPr/>
            </w:pPr>
            <w:r>
              <w:rPr/>
            </w:r>
          </w:p>
        </w:tc>
        <w:tc>
          <w:tcPr>
            <w:tcW w:w="1843" w:type="dxa"/>
            <w:vMerge w:val="continue"/>
            <w:tcBorders/>
          </w:tcPr>
          <w:p>
            <w:pPr>
              <w:pStyle w:val="Normal"/>
              <w:bidi w:val="0"/>
              <w:jc w:val="left"/>
              <w:rPr/>
            </w:pPr>
            <w:r>
              <w:rPr/>
            </w:r>
          </w:p>
        </w:tc>
      </w:tr>
      <w:tr>
        <w:trPr>
          <w:trHeight w:val="240" w:hRule="atLeast"/>
        </w:trPr>
        <w:tc>
          <w:tcPr>
            <w:tcW w:w="4290" w:type="dxa"/>
            <w:tcBorders/>
            <w:vAlign w:val="center"/>
          </w:tcPr>
          <w:p>
            <w:pPr>
              <w:pStyle w:val="TableContents"/>
              <w:bidi w:val="0"/>
              <w:spacing w:before="0" w:after="283"/>
              <w:jc w:val="left"/>
              <w:rPr>
                <w:sz w:val="4"/>
                <w:szCs w:val="4"/>
              </w:rPr>
            </w:pPr>
            <w:r>
              <w:rPr>
                <w:sz w:val="4"/>
                <w:szCs w:val="4"/>
              </w:rPr>
            </w:r>
          </w:p>
        </w:tc>
        <w:tc>
          <w:tcPr>
            <w:tcW w:w="3870" w:type="dxa"/>
            <w:gridSpan w:val="2"/>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r>
      <w:tr>
        <w:trPr/>
        <w:tc>
          <w:tcPr>
            <w:tcW w:w="4290"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Claire M. Fraser, Ph.D.</w:t>
            </w:r>
          </w:p>
        </w:tc>
        <w:tc>
          <w:tcPr>
            <w:tcW w:w="120" w:type="dxa"/>
            <w:vMerge w:val="restart"/>
            <w:tcBorders/>
            <w:vAlign w:val="bottom"/>
          </w:tcPr>
          <w:p>
            <w:pPr>
              <w:pStyle w:val="TableContents"/>
              <w:bidi w:val="0"/>
              <w:spacing w:before="0" w:after="283"/>
              <w:jc w:val="left"/>
              <w:rPr/>
            </w:pPr>
            <w:r>
              <w:rPr/>
              <w:t>  </w:t>
            </w:r>
          </w:p>
        </w:tc>
        <w:tc>
          <w:tcPr>
            <w:tcW w:w="3750" w:type="dxa"/>
            <w:vMerge w:val="restart"/>
            <w:tcBorders/>
            <w:vAlign w:val="center"/>
          </w:tcPr>
          <w:p>
            <w:pPr>
              <w:pStyle w:val="TableContents"/>
              <w:bidi w:val="0"/>
              <w:spacing w:before="0" w:after="283"/>
              <w:jc w:val="center"/>
              <w:rPr/>
            </w:pPr>
            <w:r>
              <w:rPr/>
              <w:t>Director</w:t>
            </w:r>
          </w:p>
        </w:tc>
        <w:tc>
          <w:tcPr>
            <w:tcW w:w="202" w:type="dxa"/>
            <w:vMerge w:val="restart"/>
            <w:tcBorders/>
            <w:vAlign w:val="bottom"/>
          </w:tcPr>
          <w:p>
            <w:pPr>
              <w:pStyle w:val="TableContents"/>
              <w:bidi w:val="0"/>
              <w:spacing w:before="0" w:after="283"/>
              <w:jc w:val="left"/>
              <w:rPr/>
            </w:pPr>
            <w:r>
              <w:rPr/>
              <w:t> </w:t>
            </w:r>
          </w:p>
        </w:tc>
        <w:tc>
          <w:tcPr>
            <w:tcW w:w="1843" w:type="dxa"/>
            <w:vMerge w:val="restart"/>
            <w:tcBorders/>
          </w:tcPr>
          <w:p>
            <w:pPr>
              <w:pStyle w:val="TableContents"/>
              <w:bidi w:val="0"/>
              <w:spacing w:before="0" w:after="283"/>
              <w:jc w:val="left"/>
              <w:rPr/>
            </w:pPr>
            <w:r>
              <w:rPr/>
              <w:t>August 13, 2026</w:t>
            </w:r>
          </w:p>
        </w:tc>
      </w:tr>
      <w:tr>
        <w:trPr/>
        <w:tc>
          <w:tcPr>
            <w:tcW w:w="4290" w:type="dxa"/>
            <w:tcBorders/>
          </w:tcPr>
          <w:p>
            <w:pPr>
              <w:pStyle w:val="TableContents"/>
              <w:bidi w:val="0"/>
              <w:spacing w:before="0" w:after="283"/>
              <w:jc w:val="center"/>
              <w:rPr/>
            </w:pPr>
            <w:r>
              <w:rPr/>
              <w:t>Claire M. Fraser, Ph.D.</w:t>
            </w:r>
          </w:p>
        </w:tc>
        <w:tc>
          <w:tcPr>
            <w:tcW w:w="120" w:type="dxa"/>
            <w:vMerge w:val="continue"/>
            <w:tcBorders/>
            <w:vAlign w:val="bottom"/>
          </w:tcPr>
          <w:p>
            <w:pPr>
              <w:pStyle w:val="Normal"/>
              <w:bidi w:val="0"/>
              <w:jc w:val="left"/>
              <w:rPr/>
            </w:pPr>
            <w:r>
              <w:rPr/>
            </w:r>
          </w:p>
        </w:tc>
        <w:tc>
          <w:tcPr>
            <w:tcW w:w="3750" w:type="dxa"/>
            <w:vMerge w:val="continue"/>
            <w:tcBorders/>
            <w:vAlign w:val="center"/>
          </w:tcPr>
          <w:p>
            <w:pPr>
              <w:pStyle w:val="Normal"/>
              <w:bidi w:val="0"/>
              <w:jc w:val="left"/>
              <w:rPr/>
            </w:pPr>
            <w:r>
              <w:rPr/>
            </w:r>
          </w:p>
        </w:tc>
        <w:tc>
          <w:tcPr>
            <w:tcW w:w="202" w:type="dxa"/>
            <w:vMerge w:val="continue"/>
            <w:tcBorders/>
            <w:vAlign w:val="bottom"/>
          </w:tcPr>
          <w:p>
            <w:pPr>
              <w:pStyle w:val="Normal"/>
              <w:bidi w:val="0"/>
              <w:jc w:val="left"/>
              <w:rPr/>
            </w:pPr>
            <w:r>
              <w:rPr/>
            </w:r>
          </w:p>
        </w:tc>
        <w:tc>
          <w:tcPr>
            <w:tcW w:w="1843" w:type="dxa"/>
            <w:vMerge w:val="continue"/>
            <w:tcBorders/>
          </w:tcPr>
          <w:p>
            <w:pPr>
              <w:pStyle w:val="Normal"/>
              <w:bidi w:val="0"/>
              <w:jc w:val="left"/>
              <w:rPr/>
            </w:pPr>
            <w:r>
              <w:rPr/>
            </w:r>
          </w:p>
        </w:tc>
      </w:tr>
      <w:tr>
        <w:trPr>
          <w:trHeight w:val="240" w:hRule="atLeast"/>
        </w:trPr>
        <w:tc>
          <w:tcPr>
            <w:tcW w:w="4290" w:type="dxa"/>
            <w:tcBorders/>
            <w:vAlign w:val="center"/>
          </w:tcPr>
          <w:p>
            <w:pPr>
              <w:pStyle w:val="TableContents"/>
              <w:bidi w:val="0"/>
              <w:spacing w:before="0" w:after="283"/>
              <w:jc w:val="left"/>
              <w:rPr>
                <w:sz w:val="4"/>
                <w:szCs w:val="4"/>
              </w:rPr>
            </w:pPr>
            <w:r>
              <w:rPr>
                <w:sz w:val="4"/>
                <w:szCs w:val="4"/>
              </w:rPr>
            </w:r>
          </w:p>
        </w:tc>
        <w:tc>
          <w:tcPr>
            <w:tcW w:w="3870" w:type="dxa"/>
            <w:gridSpan w:val="2"/>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r>
      <w:tr>
        <w:trPr/>
        <w:tc>
          <w:tcPr>
            <w:tcW w:w="4290"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Kurt C. Graves</w:t>
            </w:r>
          </w:p>
        </w:tc>
        <w:tc>
          <w:tcPr>
            <w:tcW w:w="120" w:type="dxa"/>
            <w:vMerge w:val="restart"/>
            <w:tcBorders/>
            <w:vAlign w:val="bottom"/>
          </w:tcPr>
          <w:p>
            <w:pPr>
              <w:pStyle w:val="TableContents"/>
              <w:bidi w:val="0"/>
              <w:spacing w:before="0" w:after="283"/>
              <w:jc w:val="left"/>
              <w:rPr/>
            </w:pPr>
            <w:r>
              <w:rPr/>
              <w:t>  </w:t>
            </w:r>
          </w:p>
        </w:tc>
        <w:tc>
          <w:tcPr>
            <w:tcW w:w="3750" w:type="dxa"/>
            <w:vMerge w:val="restart"/>
            <w:tcBorders/>
            <w:vAlign w:val="center"/>
          </w:tcPr>
          <w:p>
            <w:pPr>
              <w:pStyle w:val="TableContents"/>
              <w:bidi w:val="0"/>
              <w:spacing w:before="0" w:after="283"/>
              <w:jc w:val="center"/>
              <w:rPr/>
            </w:pPr>
            <w:r>
              <w:rPr/>
              <w:t>Director</w:t>
            </w:r>
          </w:p>
        </w:tc>
        <w:tc>
          <w:tcPr>
            <w:tcW w:w="202" w:type="dxa"/>
            <w:vMerge w:val="restart"/>
            <w:tcBorders/>
            <w:vAlign w:val="bottom"/>
          </w:tcPr>
          <w:p>
            <w:pPr>
              <w:pStyle w:val="TableContents"/>
              <w:bidi w:val="0"/>
              <w:spacing w:before="0" w:after="283"/>
              <w:jc w:val="left"/>
              <w:rPr/>
            </w:pPr>
            <w:r>
              <w:rPr/>
              <w:t> </w:t>
            </w:r>
          </w:p>
        </w:tc>
        <w:tc>
          <w:tcPr>
            <w:tcW w:w="1843" w:type="dxa"/>
            <w:vMerge w:val="restart"/>
            <w:tcBorders/>
          </w:tcPr>
          <w:p>
            <w:pPr>
              <w:pStyle w:val="TableContents"/>
              <w:bidi w:val="0"/>
              <w:spacing w:before="0" w:after="283"/>
              <w:jc w:val="left"/>
              <w:rPr/>
            </w:pPr>
            <w:r>
              <w:rPr/>
              <w:t>August 13, 2026</w:t>
            </w:r>
          </w:p>
        </w:tc>
      </w:tr>
      <w:tr>
        <w:trPr/>
        <w:tc>
          <w:tcPr>
            <w:tcW w:w="4290" w:type="dxa"/>
            <w:tcBorders/>
          </w:tcPr>
          <w:p>
            <w:pPr>
              <w:pStyle w:val="TableContents"/>
              <w:bidi w:val="0"/>
              <w:spacing w:before="0" w:after="283"/>
              <w:jc w:val="center"/>
              <w:rPr/>
            </w:pPr>
            <w:r>
              <w:rPr/>
              <w:t>Kurt C. Graves</w:t>
            </w:r>
          </w:p>
        </w:tc>
        <w:tc>
          <w:tcPr>
            <w:tcW w:w="120" w:type="dxa"/>
            <w:vMerge w:val="continue"/>
            <w:tcBorders/>
            <w:vAlign w:val="bottom"/>
          </w:tcPr>
          <w:p>
            <w:pPr>
              <w:pStyle w:val="Normal"/>
              <w:bidi w:val="0"/>
              <w:jc w:val="left"/>
              <w:rPr/>
            </w:pPr>
            <w:r>
              <w:rPr/>
            </w:r>
          </w:p>
        </w:tc>
        <w:tc>
          <w:tcPr>
            <w:tcW w:w="3750" w:type="dxa"/>
            <w:vMerge w:val="continue"/>
            <w:tcBorders/>
            <w:vAlign w:val="center"/>
          </w:tcPr>
          <w:p>
            <w:pPr>
              <w:pStyle w:val="Normal"/>
              <w:bidi w:val="0"/>
              <w:jc w:val="left"/>
              <w:rPr/>
            </w:pPr>
            <w:r>
              <w:rPr/>
            </w:r>
          </w:p>
        </w:tc>
        <w:tc>
          <w:tcPr>
            <w:tcW w:w="202" w:type="dxa"/>
            <w:vMerge w:val="continue"/>
            <w:tcBorders/>
            <w:vAlign w:val="bottom"/>
          </w:tcPr>
          <w:p>
            <w:pPr>
              <w:pStyle w:val="Normal"/>
              <w:bidi w:val="0"/>
              <w:jc w:val="left"/>
              <w:rPr/>
            </w:pPr>
            <w:r>
              <w:rPr/>
            </w:r>
          </w:p>
        </w:tc>
        <w:tc>
          <w:tcPr>
            <w:tcW w:w="1843" w:type="dxa"/>
            <w:vMerge w:val="continue"/>
            <w:tcBorders/>
          </w:tcPr>
          <w:p>
            <w:pPr>
              <w:pStyle w:val="Normal"/>
              <w:bidi w:val="0"/>
              <w:jc w:val="left"/>
              <w:rPr/>
            </w:pPr>
            <w:r>
              <w:rPr/>
            </w:r>
          </w:p>
        </w:tc>
      </w:tr>
      <w:tr>
        <w:trPr>
          <w:trHeight w:val="240" w:hRule="atLeast"/>
        </w:trPr>
        <w:tc>
          <w:tcPr>
            <w:tcW w:w="4290" w:type="dxa"/>
            <w:tcBorders/>
            <w:vAlign w:val="center"/>
          </w:tcPr>
          <w:p>
            <w:pPr>
              <w:pStyle w:val="TableContents"/>
              <w:bidi w:val="0"/>
              <w:spacing w:before="0" w:after="283"/>
              <w:jc w:val="left"/>
              <w:rPr>
                <w:sz w:val="4"/>
                <w:szCs w:val="4"/>
              </w:rPr>
            </w:pPr>
            <w:r>
              <w:rPr>
                <w:sz w:val="4"/>
                <w:szCs w:val="4"/>
              </w:rPr>
            </w:r>
          </w:p>
        </w:tc>
        <w:tc>
          <w:tcPr>
            <w:tcW w:w="3870" w:type="dxa"/>
            <w:gridSpan w:val="2"/>
            <w:tcBorders/>
            <w:vAlign w:val="center"/>
          </w:tcPr>
          <w:p>
            <w:pPr>
              <w:pStyle w:val="TableContents"/>
              <w:bidi w:val="0"/>
              <w:spacing w:before="0" w:after="283"/>
              <w:jc w:val="left"/>
              <w:rPr>
                <w:sz w:val="4"/>
                <w:szCs w:val="4"/>
              </w:rPr>
            </w:pPr>
            <w:r>
              <w:rPr>
                <w:sz w:val="4"/>
                <w:szCs w:val="4"/>
              </w:rPr>
            </w:r>
          </w:p>
        </w:tc>
        <w:tc>
          <w:tcPr>
            <w:tcW w:w="2045" w:type="dxa"/>
            <w:gridSpan w:val="2"/>
            <w:tcBorders/>
            <w:vAlign w:val="center"/>
          </w:tcPr>
          <w:p>
            <w:pPr>
              <w:pStyle w:val="TableContents"/>
              <w:bidi w:val="0"/>
              <w:spacing w:before="0" w:after="283"/>
              <w:jc w:val="left"/>
              <w:rPr>
                <w:sz w:val="4"/>
                <w:szCs w:val="4"/>
              </w:rPr>
            </w:pPr>
            <w:r>
              <w:rPr>
                <w:sz w:val="4"/>
                <w:szCs w:val="4"/>
              </w:rPr>
            </w:r>
          </w:p>
        </w:tc>
      </w:tr>
      <w:tr>
        <w:trPr/>
        <w:tc>
          <w:tcPr>
            <w:tcW w:w="4290"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Eric D. Shaff</w:t>
            </w:r>
          </w:p>
        </w:tc>
        <w:tc>
          <w:tcPr>
            <w:tcW w:w="120" w:type="dxa"/>
            <w:vMerge w:val="restart"/>
            <w:tcBorders/>
            <w:vAlign w:val="bottom"/>
          </w:tcPr>
          <w:p>
            <w:pPr>
              <w:pStyle w:val="TableContents"/>
              <w:bidi w:val="0"/>
              <w:spacing w:before="0" w:after="283"/>
              <w:jc w:val="left"/>
              <w:rPr/>
            </w:pPr>
            <w:r>
              <w:rPr/>
              <w:t>  </w:t>
            </w:r>
          </w:p>
        </w:tc>
        <w:tc>
          <w:tcPr>
            <w:tcW w:w="3750" w:type="dxa"/>
            <w:vMerge w:val="restart"/>
            <w:tcBorders/>
            <w:vAlign w:val="center"/>
          </w:tcPr>
          <w:p>
            <w:pPr>
              <w:pStyle w:val="TableContents"/>
              <w:bidi w:val="0"/>
              <w:spacing w:before="0" w:after="283"/>
              <w:jc w:val="center"/>
              <w:rPr/>
            </w:pPr>
            <w:r>
              <w:rPr/>
              <w:t>Director</w:t>
            </w:r>
          </w:p>
        </w:tc>
        <w:tc>
          <w:tcPr>
            <w:tcW w:w="202" w:type="dxa"/>
            <w:vMerge w:val="restart"/>
            <w:tcBorders/>
            <w:vAlign w:val="bottom"/>
          </w:tcPr>
          <w:p>
            <w:pPr>
              <w:pStyle w:val="TableContents"/>
              <w:bidi w:val="0"/>
              <w:spacing w:before="0" w:after="283"/>
              <w:jc w:val="left"/>
              <w:rPr/>
            </w:pPr>
            <w:r>
              <w:rPr/>
              <w:t> </w:t>
            </w:r>
          </w:p>
        </w:tc>
        <w:tc>
          <w:tcPr>
            <w:tcW w:w="1843" w:type="dxa"/>
            <w:vMerge w:val="restart"/>
            <w:tcBorders/>
          </w:tcPr>
          <w:p>
            <w:pPr>
              <w:pStyle w:val="TableContents"/>
              <w:bidi w:val="0"/>
              <w:spacing w:before="0" w:after="283"/>
              <w:jc w:val="left"/>
              <w:rPr/>
            </w:pPr>
            <w:r>
              <w:rPr/>
              <w:t>August 13, 2026</w:t>
            </w:r>
          </w:p>
        </w:tc>
      </w:tr>
      <w:tr>
        <w:trPr/>
        <w:tc>
          <w:tcPr>
            <w:tcW w:w="4290" w:type="dxa"/>
            <w:tcBorders/>
          </w:tcPr>
          <w:p>
            <w:pPr>
              <w:pStyle w:val="TableContents"/>
              <w:bidi w:val="0"/>
              <w:spacing w:before="0" w:after="283"/>
              <w:jc w:val="center"/>
              <w:rPr/>
            </w:pPr>
            <w:r>
              <w:rPr/>
              <w:t>Eric D. Shaff</w:t>
            </w:r>
          </w:p>
        </w:tc>
        <w:tc>
          <w:tcPr>
            <w:tcW w:w="120" w:type="dxa"/>
            <w:vMerge w:val="continue"/>
            <w:tcBorders/>
            <w:vAlign w:val="bottom"/>
          </w:tcPr>
          <w:p>
            <w:pPr>
              <w:pStyle w:val="Normal"/>
              <w:bidi w:val="0"/>
              <w:jc w:val="left"/>
              <w:rPr/>
            </w:pPr>
            <w:r>
              <w:rPr/>
            </w:r>
          </w:p>
        </w:tc>
        <w:tc>
          <w:tcPr>
            <w:tcW w:w="3750" w:type="dxa"/>
            <w:vMerge w:val="continue"/>
            <w:tcBorders/>
            <w:vAlign w:val="center"/>
          </w:tcPr>
          <w:p>
            <w:pPr>
              <w:pStyle w:val="Normal"/>
              <w:bidi w:val="0"/>
              <w:jc w:val="left"/>
              <w:rPr/>
            </w:pPr>
            <w:r>
              <w:rPr/>
            </w:r>
          </w:p>
        </w:tc>
        <w:tc>
          <w:tcPr>
            <w:tcW w:w="202" w:type="dxa"/>
            <w:vMerge w:val="continue"/>
            <w:tcBorders/>
            <w:vAlign w:val="bottom"/>
          </w:tcPr>
          <w:p>
            <w:pPr>
              <w:pStyle w:val="Normal"/>
              <w:bidi w:val="0"/>
              <w:jc w:val="left"/>
              <w:rPr/>
            </w:pPr>
            <w:r>
              <w:rPr/>
            </w:r>
          </w:p>
        </w:tc>
        <w:tc>
          <w:tcPr>
            <w:tcW w:w="1843" w:type="dxa"/>
            <w:vMerge w:val="continue"/>
            <w:tcBorders/>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30" w:name="d215784dex12.htm"/>
      <w:bookmarkStart w:id="31" w:name="ksd215784dex12"/>
      <w:bookmarkEnd w:id="30"/>
      <w:bookmarkEnd w:id="31"/>
      <w:r>
        <w:rPr>
          <w:rFonts w:ascii="Times New Roman" w:hAnsi="Times New Roman"/>
          <w:b/>
          <w:sz w:val="20"/>
        </w:rPr>
        <w:t xml:space="preserve">Exhibit 1.2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SERES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$100,000,000 </w:t>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COMMON STOCK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SALES AGREEMENT </w:t>
      </w:r>
    </w:p>
    <w:p>
      <w:pPr>
        <w:pStyle w:val="TextBody"/>
        <w:bidi w:val="0"/>
        <w:spacing w:before="240" w:after="0"/>
        <w:jc w:val="right"/>
        <w:rPr>
          <w:rFonts w:ascii="Times New Roman" w:hAnsi="Times New Roman"/>
          <w:sz w:val="20"/>
        </w:rPr>
      </w:pPr>
      <w:r>
        <w:rPr>
          <w:rFonts w:ascii="Times New Roman" w:hAnsi="Times New Roman"/>
          <w:sz w:val="20"/>
        </w:rPr>
        <w:t xml:space="preserve">August 13, 2026 </w:t>
      </w:r>
    </w:p>
    <w:p>
      <w:pPr>
        <w:pStyle w:val="TextBody"/>
        <w:bidi w:val="0"/>
        <w:spacing w:before="240" w:after="0"/>
        <w:jc w:val="left"/>
        <w:rPr>
          <w:rFonts w:ascii="Times New Roman" w:hAnsi="Times New Roman"/>
          <w:sz w:val="20"/>
        </w:rPr>
      </w:pPr>
      <w:r>
        <w:rPr>
          <w:rFonts w:ascii="Times New Roman" w:hAnsi="Times New Roman"/>
          <w:sz w:val="20"/>
        </w:rPr>
        <w:t xml:space="preserve">TD Securities (USA) LLC </w:t>
      </w:r>
    </w:p>
    <w:p>
      <w:pPr>
        <w:pStyle w:val="TextBody"/>
        <w:bidi w:val="0"/>
        <w:spacing w:before="0" w:after="0"/>
        <w:jc w:val="left"/>
        <w:rPr>
          <w:rFonts w:ascii="Times New Roman" w:hAnsi="Times New Roman"/>
          <w:sz w:val="20"/>
        </w:rPr>
      </w:pPr>
      <w:r>
        <w:rPr>
          <w:rFonts w:ascii="Times New Roman" w:hAnsi="Times New Roman"/>
          <w:sz w:val="20"/>
        </w:rPr>
        <w:t xml:space="preserve">1 Vanderbilt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Seres Therapeutics, Inc. (the “</w:t>
      </w:r>
      <w:r>
        <w:rPr>
          <w:rFonts w:ascii="Times New Roman" w:hAnsi="Times New Roman"/>
          <w:b/>
          <w:sz w:val="20"/>
          <w:u w:val="single"/>
        </w:rPr>
        <w:t>Company</w:t>
      </w:r>
      <w:r>
        <w:rPr>
          <w:rFonts w:ascii="Times New Roman" w:hAnsi="Times New Roman"/>
          <w:sz w:val="20"/>
        </w:rPr>
        <w:t>”), confirms its agreement (this “</w:t>
      </w:r>
      <w:r>
        <w:rPr>
          <w:rFonts w:ascii="Times New Roman" w:hAnsi="Times New Roman"/>
          <w:b/>
          <w:sz w:val="20"/>
          <w:u w:val="single"/>
        </w:rPr>
        <w:t>Agreement</w:t>
      </w:r>
      <w:r>
        <w:rPr>
          <w:rFonts w:ascii="Times New Roman" w:hAnsi="Times New Roman"/>
          <w:sz w:val="20"/>
        </w:rPr>
        <w:t>”) with TD Securities (USA) LLC (“</w:t>
      </w:r>
      <w:r>
        <w:rPr>
          <w:rFonts w:ascii="Times New Roman" w:hAnsi="Times New Roman"/>
          <w:b/>
          <w:sz w:val="20"/>
          <w:u w:val="single"/>
        </w:rPr>
        <w:t>TD Cowen</w:t>
      </w:r>
      <w:r>
        <w:rPr>
          <w:rFonts w:ascii="Times New Roman" w:hAnsi="Times New Roman"/>
          <w:sz w:val="20"/>
        </w:rPr>
        <w:t xml:space="preserve">”), as follows: </w:t>
      </w:r>
    </w:p>
    <w:p>
      <w:pPr>
        <w:pStyle w:val="TextBody"/>
        <w:bidi w:val="0"/>
        <w:spacing w:before="120" w:after="0"/>
        <w:jc w:val="left"/>
        <w:rPr>
          <w:rFonts w:ascii="Times New Roman" w:hAnsi="Times New Roman"/>
          <w:sz w:val="20"/>
        </w:rPr>
      </w:pPr>
      <w:r>
        <w:rPr>
          <w:rFonts w:ascii="Times New Roman" w:hAnsi="Times New Roman"/>
          <w:sz w:val="20"/>
        </w:rPr>
        <w:t>1. </w:t>
      </w:r>
      <w:r>
        <w:rPr>
          <w:rFonts w:ascii="Times New Roman" w:hAnsi="Times New Roman"/>
          <w:sz w:val="20"/>
          <w:u w:val="single"/>
        </w:rPr>
        <w:t>Issuance and Sale of Shares</w:t>
      </w:r>
      <w:r>
        <w:rPr>
          <w:rFonts w:ascii="Times New Roman" w:hAnsi="Times New Roman"/>
          <w:sz w:val="20"/>
        </w:rPr>
        <w:t>. The Company agrees that, from time to time during the term of this Agreement, on the terms and subject to the conditions set forth herein, it may issue and sell through TD Cowen, acting as agent and/or principal, shares (the “</w:t>
      </w:r>
      <w:r>
        <w:rPr>
          <w:rFonts w:ascii="Times New Roman" w:hAnsi="Times New Roman"/>
          <w:b/>
          <w:sz w:val="20"/>
          <w:u w:val="single"/>
        </w:rPr>
        <w:t>Placement Shares</w:t>
      </w:r>
      <w:r>
        <w:rPr>
          <w:rFonts w:ascii="Times New Roman" w:hAnsi="Times New Roman"/>
          <w:sz w:val="20"/>
        </w:rPr>
        <w:t>”) of the Company’s common stock, par value $0.001 per share (the “</w:t>
      </w:r>
      <w:r>
        <w:rPr>
          <w:rFonts w:ascii="Times New Roman" w:hAnsi="Times New Roman"/>
          <w:b/>
          <w:sz w:val="20"/>
          <w:u w:val="single"/>
        </w:rPr>
        <w:t>Common Stock</w:t>
      </w:r>
      <w:r>
        <w:rPr>
          <w:rFonts w:ascii="Times New Roman" w:hAnsi="Times New Roman"/>
          <w:sz w:val="20"/>
        </w:rPr>
        <w:t>”), having an aggregate offering price of up to $100,000,000 (the “</w:t>
      </w:r>
      <w:r>
        <w:rPr>
          <w:rFonts w:ascii="Times New Roman" w:hAnsi="Times New Roman"/>
          <w:b/>
          <w:sz w:val="20"/>
          <w:u w:val="single"/>
        </w:rPr>
        <w:t>Maximum Amount</w:t>
      </w:r>
      <w:r>
        <w:rPr>
          <w:rFonts w:ascii="Times New Roman" w:hAnsi="Times New Roman"/>
          <w:sz w:val="20"/>
        </w:rPr>
        <w:t xml:space="preserve">”). Notwithstanding anything to the contrary contained herein, the parties hereto agree that compliance with the limitation set forth in this </w:t>
      </w:r>
      <w:r>
        <w:rPr>
          <w:rFonts w:ascii="Times New Roman" w:hAnsi="Times New Roman"/>
          <w:sz w:val="20"/>
          <w:u w:val="single"/>
        </w:rPr>
        <w:t>Section 1</w:t>
      </w:r>
      <w:r>
        <w:rPr>
          <w:rFonts w:ascii="Times New Roman" w:hAnsi="Times New Roman"/>
          <w:sz w:val="20"/>
        </w:rPr>
        <w:t xml:space="preserve"> on the number of shares of Common Stock issued and sold under this Agreement shall be the sole responsibility of the Company, and TD Cowen shall have no obligation in connection with such compliance. The issuance and sale of Common Stock through TD Cowen will be effected pursuant to the Registration Statement (as defined below) filed by the Company and after such Registration Statement (as defined below) has been declared effective by the Securities and Exchange Commission (the “</w:t>
      </w:r>
      <w:r>
        <w:rPr>
          <w:rFonts w:ascii="Times New Roman" w:hAnsi="Times New Roman"/>
          <w:b/>
          <w:sz w:val="20"/>
          <w:u w:val="single"/>
        </w:rPr>
        <w:t>Commission</w:t>
      </w:r>
      <w:r>
        <w:rPr>
          <w:rFonts w:ascii="Times New Roman" w:hAnsi="Times New Roman"/>
          <w:sz w:val="20"/>
        </w:rPr>
        <w:t xml:space="preserve">”), although nothing in this Agreement shall be construed as requiring the Company to use the Registration Statement (as defined below) to issue the Common Stock. The Company acknowledges and agrees that sales of Common Stock under this Agreement may be made through affiliates of TD Cowen, and that TD Cowen may otherwise fulfill its obligations pursuant to this Agreement to or through an affiliated broker-dealer. </w:t>
      </w:r>
    </w:p>
    <w:p>
      <w:pPr>
        <w:pStyle w:val="TextBody"/>
        <w:bidi w:val="0"/>
        <w:spacing w:before="240" w:after="0"/>
        <w:jc w:val="left"/>
        <w:rPr>
          <w:rFonts w:ascii="Times New Roman" w:hAnsi="Times New Roman"/>
          <w:sz w:val="20"/>
        </w:rPr>
      </w:pPr>
      <w:r>
        <w:rPr>
          <w:rFonts w:ascii="Times New Roman" w:hAnsi="Times New Roman"/>
          <w:sz w:val="20"/>
        </w:rPr>
        <w:t>The Company shall file, in accordance with the provisions of the Securities Act of 1933, as amended, and the rules and regulations thereunder (collectively, the “</w:t>
      </w:r>
      <w:r>
        <w:rPr>
          <w:rFonts w:ascii="Times New Roman" w:hAnsi="Times New Roman"/>
          <w:b/>
          <w:sz w:val="20"/>
          <w:u w:val="single"/>
        </w:rPr>
        <w:t>Securities Act</w:t>
      </w:r>
      <w:r>
        <w:rPr>
          <w:rFonts w:ascii="Times New Roman" w:hAnsi="Times New Roman"/>
          <w:sz w:val="20"/>
        </w:rPr>
        <w:t>”), with the Commission a registration statement on Form S-3, including a base prospectus, relating to certain securities, including the Common Stock, to be issued from time to time by the Company, and which incorporates by reference documents that the Company has filed or will file in accordance with the provisions of the Securities Exchange Act of 1934, as amended, and the rules and regulations thereunder (collectively, the “</w:t>
      </w:r>
      <w:r>
        <w:rPr>
          <w:rFonts w:ascii="Times New Roman" w:hAnsi="Times New Roman"/>
          <w:b/>
          <w:sz w:val="20"/>
          <w:u w:val="single"/>
        </w:rPr>
        <w:t>Exchange Act</w:t>
      </w:r>
      <w:r>
        <w:rPr>
          <w:rFonts w:ascii="Times New Roman" w:hAnsi="Times New Roman"/>
          <w:sz w:val="20"/>
        </w:rPr>
        <w:t>”). The Company has prepared a prospectus specifically relating to the Placement Shares (the “</w:t>
      </w:r>
      <w:r>
        <w:rPr>
          <w:rFonts w:ascii="Times New Roman" w:hAnsi="Times New Roman"/>
          <w:b/>
          <w:sz w:val="20"/>
          <w:u w:val="single"/>
        </w:rPr>
        <w:t>ATM Prospectus</w:t>
      </w:r>
      <w:r>
        <w:rPr>
          <w:rFonts w:ascii="Times New Roman" w:hAnsi="Times New Roman"/>
          <w:sz w:val="20"/>
        </w:rPr>
        <w:t xml:space="preserve">”) to the base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prospectus included as part of such registration statement, and shall, if necessary, prepare a prospectus supplement specifically relating to the Placement Shares (the “</w:t>
      </w:r>
      <w:r>
        <w:rPr>
          <w:rFonts w:ascii="Times New Roman" w:hAnsi="Times New Roman"/>
          <w:b/>
          <w:sz w:val="20"/>
          <w:u w:val="single"/>
        </w:rPr>
        <w:t>Prospectus Supplement</w:t>
      </w:r>
      <w:r>
        <w:rPr>
          <w:rFonts w:ascii="Times New Roman" w:hAnsi="Times New Roman"/>
          <w:sz w:val="20"/>
        </w:rPr>
        <w:t>”) to the base prospectus included as part of such registration statement. The Company shall furnish to TD Cowen, for use by TD Cowen, copies of the prospectus included as part of such registration statement, as supplemented by the Prospectus Supplement, if any, relating to the Placement Shares. Except where the context otherwise requires, such registration statement, and any post-effective amendment thereto, as amended when it becomes effective,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or 462(b) of the Securities Act, or any subsequent registration statement on Form S-3 filed pursuant to Rule 415(a)(6) under the Securities Act by the Company to cover any Placement Shares, is herein called the “</w:t>
      </w:r>
      <w:r>
        <w:rPr>
          <w:rFonts w:ascii="Times New Roman" w:hAnsi="Times New Roman"/>
          <w:b/>
          <w:sz w:val="20"/>
          <w:u w:val="single"/>
        </w:rPr>
        <w:t>Registration Statement.</w:t>
      </w:r>
      <w:r>
        <w:rPr>
          <w:rFonts w:ascii="Times New Roman" w:hAnsi="Times New Roman"/>
          <w:sz w:val="20"/>
        </w:rPr>
        <w:t>” Any registration statement and amendments thereto filed pursuant to Rule 462(b) of the Securities Act and relating to the offering covered by the Registration Statement is herein called a “</w:t>
      </w:r>
      <w:r>
        <w:rPr>
          <w:rFonts w:ascii="Times New Roman" w:hAnsi="Times New Roman"/>
          <w:b/>
          <w:sz w:val="20"/>
        </w:rPr>
        <w:t>Rule 462(b) Registration Statement</w:t>
      </w:r>
      <w:r>
        <w:rPr>
          <w:rFonts w:ascii="Times New Roman" w:hAnsi="Times New Roman"/>
          <w:sz w:val="20"/>
        </w:rPr>
        <w:t>” and, after such filing, the “Registration Statement” shall include any Rule 462(b) Registration Statement. The base prospectus, including all documents incorporated therein by reference, included in the Registration Statement, as it may be supplemented by the ATM Prospectus and the Prospectus Supplement, if any, in the form in which such prospectus, ATM Prospectus and/or Prospectus Supplement have most recently been filed by the Company with the Commission pursuant to Rule 424(b) under the Securities Act, together with any “issuer free writing prospectus,” as defined in Rule 433 of the Securities Act regulations (“</w:t>
      </w:r>
      <w:r>
        <w:rPr>
          <w:rFonts w:ascii="Times New Roman" w:hAnsi="Times New Roman"/>
          <w:b/>
          <w:sz w:val="20"/>
          <w:u w:val="single"/>
        </w:rPr>
        <w:t>Rule 433</w:t>
      </w:r>
      <w:r>
        <w:rPr>
          <w:rFonts w:ascii="Times New Roman" w:hAnsi="Times New Roman"/>
          <w:sz w:val="20"/>
        </w:rPr>
        <w:t>”), relating to the Placement Shares that (i) is consented to by TD Cowen, hereinafter referred to as a “</w:t>
      </w:r>
      <w:r>
        <w:rPr>
          <w:rFonts w:ascii="Times New Roman" w:hAnsi="Times New Roman"/>
          <w:b/>
          <w:sz w:val="20"/>
          <w:u w:val="single"/>
        </w:rPr>
        <w:t>Permitted Free Writing Prospectus</w:t>
      </w:r>
      <w:r>
        <w:rPr>
          <w:rFonts w:ascii="Times New Roman" w:hAnsi="Times New Roman"/>
          <w:sz w:val="20"/>
        </w:rPr>
        <w:t>,” (ii) is required to be filed with the Commission by the Company or (iii)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hAnsi="Times New Roman"/>
          <w:b/>
          <w:sz w:val="20"/>
          <w:u w:val="single"/>
        </w:rPr>
        <w:t>Prospectus</w:t>
      </w:r>
      <w:r>
        <w:rPr>
          <w:rFonts w:ascii="Times New Roman" w:hAnsi="Times New Roman"/>
          <w:sz w:val="20"/>
        </w:rPr>
        <w:t>.” Any reference herein to the Registration Statement, the Prospectus or any amendment or supplement thereto shall be deemed to refer to and include the documents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For purposes of this Agreement, all references to the Registration Statement, the Prospectus or to any amendment or supplement thereto shall be deemed to include any copy filed with the Commission pursuant to the Electronic Data Gathering Analysis and Retrieval System (“</w:t>
      </w:r>
      <w:r>
        <w:rPr>
          <w:rFonts w:ascii="Times New Roman" w:hAnsi="Times New Roman"/>
          <w:b/>
          <w:sz w:val="20"/>
          <w:u w:val="single"/>
        </w:rPr>
        <w:t>EDGAR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2. </w:t>
      </w:r>
      <w:r>
        <w:rPr>
          <w:rFonts w:ascii="Times New Roman" w:hAnsi="Times New Roman"/>
          <w:sz w:val="20"/>
          <w:u w:val="single"/>
        </w:rPr>
        <w:t>Placements</w:t>
      </w:r>
      <w:r>
        <w:rPr>
          <w:rFonts w:ascii="Times New Roman" w:hAnsi="Times New Roman"/>
          <w:sz w:val="20"/>
        </w:rPr>
        <w:t>. Each time that the Company wishes to issue and sell the Placement Shares hereunder (each, a “</w:t>
      </w:r>
      <w:r>
        <w:rPr>
          <w:rFonts w:ascii="Times New Roman" w:hAnsi="Times New Roman"/>
          <w:b/>
          <w:sz w:val="20"/>
          <w:u w:val="single"/>
        </w:rPr>
        <w:t>Placement</w:t>
      </w:r>
      <w:r>
        <w:rPr>
          <w:rFonts w:ascii="Times New Roman" w:hAnsi="Times New Roman"/>
          <w:sz w:val="20"/>
        </w:rPr>
        <w:t>”), it will notify TD Cowen by email notice (or other method mutually agreed to in writing by the parties) (a “</w:t>
      </w:r>
      <w:r>
        <w:rPr>
          <w:rFonts w:ascii="Times New Roman" w:hAnsi="Times New Roman"/>
          <w:b/>
          <w:sz w:val="20"/>
          <w:u w:val="single"/>
        </w:rPr>
        <w:t>Placement Notice</w:t>
      </w:r>
      <w:r>
        <w:rPr>
          <w:rFonts w:ascii="Times New Roman" w:hAnsi="Times New Roman"/>
          <w:sz w:val="20"/>
        </w:rPr>
        <w:t xml:space="preserve">”) containing the parameters in accordance with which it desires the Placement Shares to be sold, which shall at a minimum include the number of Placement Shares to be issued, the time period during which sales are requested to be made, any limitation on the number of Placement Shares that may be sold in any one Trading Day (as defined in Section 3) and any minimum price below which sales may not be made, a form of which, containing such minimum sales parameters necessary, is attached hereto as </w:t>
      </w:r>
      <w:r>
        <w:rPr>
          <w:rFonts w:ascii="Times New Roman" w:hAnsi="Times New Roman"/>
          <w:b/>
          <w:sz w:val="20"/>
          <w:u w:val="single"/>
        </w:rPr>
        <w:t>Schedule 1</w:t>
      </w:r>
      <w:r>
        <w:rPr>
          <w:rFonts w:ascii="Times New Roman" w:hAnsi="Times New Roman"/>
          <w:sz w:val="20"/>
        </w:rPr>
        <w:t xml:space="preserve">. The Placement Notice shall originate from any of the individuals from the Company set forth on </w:t>
      </w:r>
      <w:r>
        <w:rPr>
          <w:rFonts w:ascii="Times New Roman" w:hAnsi="Times New Roman"/>
          <w:b/>
          <w:sz w:val="20"/>
          <w:u w:val="single"/>
        </w:rPr>
        <w:t>Schedule 2</w:t>
      </w:r>
      <w:r>
        <w:rPr>
          <w:rFonts w:ascii="Times New Roman" w:hAnsi="Times New Roman"/>
          <w:sz w:val="20"/>
        </w:rPr>
        <w:t xml:space="preserve"> (with a copy to each of the other individuals from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listed on such schedule), and shall be addressed to each of the individuals from TD Cowen set forth on </w:t>
      </w:r>
      <w:r>
        <w:rPr>
          <w:rFonts w:ascii="Times New Roman" w:hAnsi="Times New Roman"/>
          <w:b/>
          <w:sz w:val="20"/>
          <w:u w:val="single"/>
        </w:rPr>
        <w:t>Schedule 2</w:t>
      </w:r>
      <w:r>
        <w:rPr>
          <w:rFonts w:ascii="Times New Roman" w:hAnsi="Times New Roman"/>
          <w:sz w:val="20"/>
        </w:rPr>
        <w:t xml:space="preserve">, as such </w:t>
      </w:r>
      <w:r>
        <w:rPr>
          <w:rFonts w:ascii="Times New Roman" w:hAnsi="Times New Roman"/>
          <w:b/>
          <w:sz w:val="20"/>
          <w:u w:val="single"/>
        </w:rPr>
        <w:t>Schedule 2</w:t>
      </w:r>
      <w:r>
        <w:rPr>
          <w:rFonts w:ascii="Times New Roman" w:hAnsi="Times New Roman"/>
          <w:sz w:val="20"/>
        </w:rPr>
        <w:t xml:space="preserve"> may be amended from time to time. The Placement Notice shall be effective upon receipt by TD Cowen unless and until (i) in accordance with the notice requirements set forth in Section 4, TD Cowen declines to accept the terms contained therein for any reason, in its sole discretion, (ii) the entire amount of the Placement Shares has been sold, (iii) in accordance with the notice requirements set forth in Section 4, the Company suspends or terminates the Placement Notice for any reason in its sole discretion, (iv) the Company issues a subsequent Placement Notice with parameters superseding those on the earlier dated Placement Notice, or (v) this Agreement has been terminated under the provisions of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11</w:t>
      </w:r>
      <w:r>
        <w:rPr>
          <w:rFonts w:ascii="Times New Roman" w:hAnsi="Times New Roman"/>
          <w:sz w:val="20"/>
        </w:rPr>
        <w:t xml:space="preserve">. The amount of any discount, commission or other compensation to be paid by the Company to TD Cowen in connection with the sale of the Placement Shares shall be calculated in accordance with the terms set forth in </w:t>
      </w:r>
      <w:r>
        <w:rPr>
          <w:rFonts w:ascii="Times New Roman" w:hAnsi="Times New Roman"/>
          <w:b/>
          <w:sz w:val="20"/>
          <w:u w:val="single"/>
        </w:rPr>
        <w:t>Schedule 3</w:t>
      </w:r>
      <w:r>
        <w:rPr>
          <w:rFonts w:ascii="Times New Roman" w:hAnsi="Times New Roman"/>
          <w:b/>
          <w:sz w:val="20"/>
        </w:rPr>
        <w:t>.</w:t>
      </w:r>
      <w:r>
        <w:rPr>
          <w:rFonts w:ascii="Times New Roman" w:hAnsi="Times New Roman"/>
          <w:sz w:val="20"/>
        </w:rPr>
        <w:t xml:space="preserve"> It is expressly acknowledged and agreed that neither the Company nor TD Cowen will have any obligation whatsoever with respect to a Placement or any Placement Shares unless and until the Company delivers a Placement Notice to TD Cowen and TD Cowen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t>
      </w:r>
    </w:p>
    <w:p>
      <w:pPr>
        <w:pStyle w:val="TextBody"/>
        <w:bidi w:val="0"/>
        <w:spacing w:before="120" w:after="0"/>
        <w:jc w:val="left"/>
        <w:rPr>
          <w:rFonts w:ascii="Times New Roman" w:hAnsi="Times New Roman"/>
          <w:sz w:val="20"/>
        </w:rPr>
      </w:pPr>
      <w:r>
        <w:rPr>
          <w:rFonts w:ascii="Times New Roman" w:hAnsi="Times New Roman"/>
          <w:sz w:val="20"/>
        </w:rPr>
        <w:t>3. </w:t>
      </w:r>
      <w:r>
        <w:rPr>
          <w:rFonts w:ascii="Times New Roman" w:hAnsi="Times New Roman"/>
          <w:sz w:val="20"/>
          <w:u w:val="single"/>
        </w:rPr>
        <w:t>Sale of Placement Shares by</w:t>
      </w:r>
      <w:r>
        <w:rPr>
          <w:rFonts w:ascii="Times New Roman" w:hAnsi="Times New Roman"/>
          <w:sz w:val="20"/>
        </w:rPr>
        <w:t xml:space="preserve"> TD Cowen. Subject to the terms and conditions herein set forth, upon the Company’s delivery of a Placement Notice, and unless the sale of the Placement Shares described therein has been declined, suspended, or otherwise terminated in accordance with the terms of this Agreement, TD Cowen, for the period specified in the Placement Notice, will use its commercially reasonable efforts consistent with its normal trading and sales practices and applicable state and federal laws, rules and regulations and the rules of the Nasdaq Stock Market, Inc. (“</w:t>
      </w:r>
      <w:r>
        <w:rPr>
          <w:rFonts w:ascii="Times New Roman" w:hAnsi="Times New Roman"/>
          <w:b/>
          <w:sz w:val="20"/>
          <w:u w:val="single"/>
        </w:rPr>
        <w:t>Nasdaq</w:t>
      </w:r>
      <w:r>
        <w:rPr>
          <w:rFonts w:ascii="Times New Roman" w:hAnsi="Times New Roman"/>
          <w:sz w:val="20"/>
        </w:rPr>
        <w:t xml:space="preserve">”) to sell such Placement Shares up to the amount specified, and otherwise in accordance with the terms of such Placement Notice. TD Cowen will provide written confirmation to the Company (including by email correspondence to each of the individuals of the Company set forth on </w:t>
      </w:r>
      <w:r>
        <w:rPr>
          <w:rFonts w:ascii="Times New Roman" w:hAnsi="Times New Roman"/>
          <w:b/>
          <w:sz w:val="20"/>
          <w:u w:val="single"/>
        </w:rPr>
        <w:t>Schedule 2</w:t>
      </w:r>
      <w:r>
        <w:rPr>
          <w:rFonts w:ascii="Times New Roman" w:hAnsi="Times New Roman"/>
          <w:sz w:val="20"/>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of Placement Shares sold on such day, the volume-weighted average price of the Placement Shares sold, and the Net Proceeds (as defined below) payable to the Company. In the event the Company engages TD Cowen for a sale of Placement Shares that would constitute a “block” within the meaning of Rule 10b-18(a)(5) under the Exchange Act (a “</w:t>
      </w:r>
      <w:r>
        <w:rPr>
          <w:rFonts w:ascii="Times New Roman" w:hAnsi="Times New Roman"/>
          <w:b/>
          <w:sz w:val="20"/>
          <w:u w:val="single"/>
        </w:rPr>
        <w:t>Block Sale</w:t>
      </w:r>
      <w:r>
        <w:rPr>
          <w:rFonts w:ascii="Times New Roman" w:hAnsi="Times New Roman"/>
          <w:sz w:val="20"/>
        </w:rPr>
        <w:t xml:space="preserve">”), the Company will provide TD Cowen, at TD Cowen’s request and upon reasonable advance notice to the Company, on or prior to the Settlement Date (as defined below), the opinions of counsel, accountant’s letter and officers’ certificates set forth in </w:t>
      </w:r>
      <w:r>
        <w:rPr>
          <w:rFonts w:ascii="Times New Roman" w:hAnsi="Times New Roman"/>
          <w:sz w:val="20"/>
          <w:u w:val="single"/>
        </w:rPr>
        <w:t>Section 8</w:t>
      </w:r>
      <w:r>
        <w:rPr>
          <w:rFonts w:ascii="Times New Roman" w:hAnsi="Times New Roman"/>
          <w:sz w:val="20"/>
        </w:rPr>
        <w:t xml:space="preserve"> hereof, each dated the Settlement Date, and such other documents and information as TD Cowen shall reasonably request. TD Cowen may sell Placement Shares in negotiated transactions, including block trades or Block Sales, or by any method permitted by law deemed to be an “at the market” offering as defined in Rule 415 of the Securities Act, including without limitation sales made through Nasdaq or on any other existing trading market for the Common Stock, or by any other method permitted by law. TD Cowen shall not purchase Placement Shares for its own account as principal unless expressly authorized to do so by the Company in a Placement Notice. The Company acknowledges and agrees that (i) there can be no assurance that TD Cowen will be successful in selling Placement Shares, and (ii) TD Cowen will incur no liability or obligation to the Company or any other person or entity if it does not sell Placement Shares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reason other than a failure by TD Cowen to use its commercially reasonable efforts consistent with its normal trading and sales practices to sell such Placement Shares as required under this </w:t>
      </w:r>
      <w:r>
        <w:rPr>
          <w:rFonts w:ascii="Times New Roman" w:hAnsi="Times New Roman"/>
          <w:sz w:val="20"/>
          <w:u w:val="single"/>
        </w:rPr>
        <w:t>Section 3</w:t>
      </w:r>
      <w:r>
        <w:rPr>
          <w:rFonts w:ascii="Times New Roman" w:hAnsi="Times New Roman"/>
          <w:sz w:val="20"/>
        </w:rPr>
        <w:t>. For the purposes hereof, “</w:t>
      </w:r>
      <w:r>
        <w:rPr>
          <w:rFonts w:ascii="Times New Roman" w:hAnsi="Times New Roman"/>
          <w:b/>
          <w:sz w:val="20"/>
          <w:u w:val="single"/>
        </w:rPr>
        <w:t>Trading Day</w:t>
      </w:r>
      <w:r>
        <w:rPr>
          <w:rFonts w:ascii="Times New Roman" w:hAnsi="Times New Roman"/>
          <w:sz w:val="20"/>
        </w:rPr>
        <w:t xml:space="preserve">” means any day on which the Company’s Common Stock is purchased and sold on the principal market on which the Common Stock is listed or quoted. </w:t>
      </w:r>
    </w:p>
    <w:p>
      <w:pPr>
        <w:pStyle w:val="TextBody"/>
        <w:bidi w:val="0"/>
        <w:spacing w:before="240" w:after="0"/>
        <w:jc w:val="left"/>
        <w:rPr>
          <w:rFonts w:ascii="Times New Roman" w:hAnsi="Times New Roman"/>
          <w:sz w:val="20"/>
        </w:rPr>
      </w:pPr>
      <w:r>
        <w:rPr>
          <w:rFonts w:ascii="Times New Roman" w:hAnsi="Times New Roman"/>
          <w:sz w:val="20"/>
        </w:rPr>
        <w:t>Notwithstanding any other provision of this Agreement, the Company shall not offer, sell or deliver, or request the offer or sale, of any Placement Shares pursuant to this Agreement and, by notice to TD Cowen given by telephone (confirmed promptly by email), shall cancel any instructions for the offer or sale of any Placement Shares, and TD Cowen shall not be obligated to offer or sell any Placement Shares,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hAnsi="Times New Roman"/>
          <w:b/>
          <w:sz w:val="20"/>
          <w:u w:val="single"/>
        </w:rPr>
        <w:t>Earnings Announcement</w:t>
      </w:r>
      <w:r>
        <w:rPr>
          <w:rFonts w:ascii="Times New Roman" w:hAnsi="Times New Roman"/>
          <w:sz w:val="20"/>
        </w:rPr>
        <w:t xml:space="preserve">”) through and including the time that the Company files a Quarterly Report on Form 10-Q or an Annual Report on Form 10-K that includes consolidated financial statements as of and for the same period or periods, as the case may be, covered by such Earnings Announcement. </w:t>
      </w:r>
    </w:p>
    <w:p>
      <w:pPr>
        <w:pStyle w:val="TextBody"/>
        <w:bidi w:val="0"/>
        <w:spacing w:before="120" w:after="0"/>
        <w:jc w:val="left"/>
        <w:rPr>
          <w:rFonts w:ascii="Times New Roman" w:hAnsi="Times New Roman"/>
          <w:sz w:val="20"/>
        </w:rPr>
      </w:pPr>
      <w:r>
        <w:rPr>
          <w:rFonts w:ascii="Times New Roman" w:hAnsi="Times New Roman"/>
          <w:sz w:val="20"/>
        </w:rPr>
        <w:t>4. </w:t>
      </w:r>
      <w:r>
        <w:rPr>
          <w:rFonts w:ascii="Times New Roman" w:hAnsi="Times New Roman"/>
          <w:sz w:val="20"/>
          <w:u w:val="single"/>
        </w:rPr>
        <w:t>Suspension of Sales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or TD Cowen may, upon notice to the other party in writing (including by email correspondence to each of the individuals of the other party set forth on </w:t>
      </w:r>
      <w:r>
        <w:rPr>
          <w:rFonts w:ascii="Times New Roman" w:hAnsi="Times New Roman"/>
          <w:b/>
          <w:sz w:val="20"/>
          <w:u w:val="single"/>
        </w:rPr>
        <w:t>Schedule 2</w:t>
      </w:r>
      <w:r>
        <w:rPr>
          <w:rFonts w:ascii="Times New Roman" w:hAnsi="Times New Roman"/>
          <w:sz w:val="20"/>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hAnsi="Times New Roman"/>
          <w:b/>
          <w:sz w:val="20"/>
          <w:u w:val="single"/>
        </w:rPr>
        <w:t>Schedule 2</w:t>
      </w:r>
      <w:r>
        <w:rPr>
          <w:rFonts w:ascii="Times New Roman" w:hAnsi="Times New Roman"/>
          <w:sz w:val="20"/>
        </w:rPr>
        <w:t xml:space="preserve">), suspend any sale of Placement Shares; </w:t>
      </w:r>
      <w:r>
        <w:rPr>
          <w:rFonts w:ascii="Times New Roman" w:hAnsi="Times New Roman"/>
          <w:i/>
          <w:sz w:val="20"/>
        </w:rPr>
        <w:t>provided, however</w:t>
      </w:r>
      <w:r>
        <w:rPr>
          <w:rFonts w:ascii="Times New Roman" w:hAnsi="Times New Roman"/>
          <w:sz w:val="20"/>
        </w:rPr>
        <w:t xml:space="preserve">, that such suspension shall not affect or impair either party’s obligations with respect to any Placement Shares sold hereunder prior to the receipt of such notice. Each of the parties agrees that no such notice under this </w:t>
      </w:r>
      <w:r>
        <w:rPr>
          <w:rFonts w:ascii="Times New Roman" w:hAnsi="Times New Roman"/>
          <w:sz w:val="20"/>
          <w:u w:val="single"/>
        </w:rPr>
        <w:t>Section 4</w:t>
      </w:r>
      <w:r>
        <w:rPr>
          <w:rFonts w:ascii="Times New Roman" w:hAnsi="Times New Roman"/>
          <w:sz w:val="20"/>
        </w:rPr>
        <w:t xml:space="preserve"> shall be effective against the other unless it is made to one of the individuals named on </w:t>
      </w:r>
      <w:r>
        <w:rPr>
          <w:rFonts w:ascii="Times New Roman" w:hAnsi="Times New Roman"/>
          <w:b/>
          <w:sz w:val="20"/>
          <w:u w:val="single"/>
        </w:rPr>
        <w:t>Schedule 2</w:t>
      </w:r>
      <w:r>
        <w:rPr>
          <w:rFonts w:ascii="Times New Roman" w:hAnsi="Times New Roman"/>
          <w:sz w:val="20"/>
        </w:rPr>
        <w:t xml:space="preserve"> hereto, as such schedule may be amended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(b) If either TD Cowen or the Company has reason to believe that the exemptive provisions set forth in Rule 101(c)(1) of Regulation M under the Exchange Act are not satisfied with respect to the Common Stock, it shall promptly notify the other party, and TD Cowen may, at its sole discretion, suspend sales of the Placement Shares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Notwithstanding any other provision of this Agreement, during any period in which the Registration Statement is no longer effective under the Securities Act, the Company shall promptly notify TD Cowen, the Company shall not request the sale of any Placement Shares, and TD Cowen shall not be obligated to sell or offer to sell any Placement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Settlement.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Settlement of Placement Shares</w:t>
      </w:r>
      <w:r>
        <w:rPr>
          <w:rFonts w:ascii="Times New Roman" w:hAnsi="Times New Roman"/>
          <w:sz w:val="20"/>
        </w:rPr>
        <w:t>. Unless otherwise specified in the applicable Placement Notice, settlement for sales of Placement Shares will occur on the first (1st) Trading Day following the date on which such sales are made (each, a “</w:t>
      </w:r>
      <w:r>
        <w:rPr>
          <w:rFonts w:ascii="Times New Roman" w:hAnsi="Times New Roman"/>
          <w:b/>
          <w:sz w:val="20"/>
          <w:u w:val="single"/>
        </w:rPr>
        <w:t>Settlement Date</w:t>
      </w:r>
      <w:r>
        <w:rPr>
          <w:rFonts w:ascii="Times New Roman" w:hAnsi="Times New Roman"/>
          <w:sz w:val="20"/>
        </w:rPr>
        <w:t>” and the first such settlement date, the “</w:t>
      </w:r>
      <w:r>
        <w:rPr>
          <w:rFonts w:ascii="Times New Roman" w:hAnsi="Times New Roman"/>
          <w:b/>
          <w:sz w:val="20"/>
          <w:u w:val="single"/>
        </w:rPr>
        <w:t>First Delivery Date</w:t>
      </w:r>
      <w:r>
        <w:rPr>
          <w:rFonts w:ascii="Times New Roman" w:hAnsi="Times New Roman"/>
          <w:sz w:val="20"/>
        </w:rPr>
        <w:t>”). The amount of proceeds to be delivered to the Company on a Settlement Date against receipt of the Placement Shares sold (the “</w:t>
      </w:r>
      <w:r>
        <w:rPr>
          <w:rFonts w:ascii="Times New Roman" w:hAnsi="Times New Roman"/>
          <w:b/>
          <w:sz w:val="20"/>
          <w:u w:val="single"/>
        </w:rPr>
        <w:t>Net Proceeds</w:t>
      </w:r>
      <w:r>
        <w:rPr>
          <w:rFonts w:ascii="Times New Roman" w:hAnsi="Times New Roman"/>
          <w:sz w:val="20"/>
        </w:rPr>
        <w:t xml:space="preserve">”) will be equal to the aggregate sales price received by TD Cowen at which such Placement Shares were sold, after deduction for (i) TD Cowen’s commission, discount or other compensation for such sales payable by the Company pursuant to </w:t>
      </w:r>
      <w:r>
        <w:rPr>
          <w:rFonts w:ascii="Times New Roman" w:hAnsi="Times New Roman"/>
          <w:sz w:val="20"/>
          <w:u w:val="single"/>
        </w:rPr>
        <w:t>Section 2</w:t>
      </w:r>
      <w:r>
        <w:rPr>
          <w:rFonts w:ascii="Times New Roman" w:hAnsi="Times New Roman"/>
          <w:sz w:val="20"/>
        </w:rPr>
        <w:t xml:space="preserve"> hereof, (ii) any other amounts due and payable by the Company to TD Cowen hereunder pursuant to </w:t>
      </w:r>
      <w:r>
        <w:rPr>
          <w:rFonts w:ascii="Times New Roman" w:hAnsi="Times New Roman"/>
          <w:sz w:val="20"/>
          <w:u w:val="single"/>
        </w:rPr>
        <w:t>Section 7(g)</w:t>
      </w:r>
      <w:r>
        <w:rPr>
          <w:rFonts w:ascii="Times New Roman" w:hAnsi="Times New Roman"/>
          <w:sz w:val="20"/>
        </w:rPr>
        <w:t xml:space="preserve"> (Expenses) hereof, and (iii) any transaction fees imposed by any governmental or self-regulatory organization in respect of such sales.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Delivery of Placement Shares</w:t>
      </w:r>
      <w:r>
        <w:rPr>
          <w:rFonts w:ascii="Times New Roman" w:hAnsi="Times New Roman"/>
          <w:sz w:val="20"/>
        </w:rPr>
        <w:t xml:space="preserve">. On or before each Settlement Date, the Company will, or will cause its transfer agent to, electronically transfer the Placement Shares being sold by crediting TD Cowen’s or its designee’s account (provided TD Cowen shall have given the Company written notice of such designee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Cowen will be responsible for providing DWAC instructions or instructions for delivery by other means with regard to the transfer of the Placement Shares being sold. On each Settlement Date, TD Cowen will deliver the related Net Proceeds in same day funds to an account designated by the Company on, or prior to, the Settlement Date. The Company agrees that if the Company, or due to the Company’s direct action or inaction, its transfer agent (if applicable), defaults in its obligation to deliver duly authorized Placement Shares on a Settlement Date (other than as a result of a failure by Cowen to provide instructions for delivery), the Company agrees that, in addition to and in no way limiting the rights and obligations set forth in </w:t>
      </w:r>
      <w:r>
        <w:rPr>
          <w:rFonts w:ascii="Times New Roman" w:hAnsi="Times New Roman"/>
          <w:sz w:val="20"/>
          <w:u w:val="single"/>
        </w:rPr>
        <w:t>Section 9(a)</w:t>
      </w:r>
      <w:r>
        <w:rPr>
          <w:rFonts w:ascii="Times New Roman" w:hAnsi="Times New Roman"/>
          <w:sz w:val="20"/>
        </w:rPr>
        <w:t xml:space="preserve"> (Indemnification and Contribution) hereto, it will (i) hold TD Cowen harmless against any loss, claim, damage, or reasonably incurred and documented expense (including reasonable legal fees and expenses), as incurred, arising out of or in connection with such default by the Company and (ii) pay to TD Cowen (without duplication) any commission, discount, or other compensation to which it would otherwise have been entitled absent such default. </w:t>
      </w:r>
    </w:p>
    <w:p>
      <w:pPr>
        <w:pStyle w:val="TextBody"/>
        <w:bidi w:val="0"/>
        <w:spacing w:before="120" w:after="0"/>
        <w:jc w:val="left"/>
        <w:rPr>
          <w:rFonts w:ascii="Times New Roman" w:hAnsi="Times New Roman"/>
          <w:sz w:val="20"/>
        </w:rPr>
      </w:pPr>
      <w:r>
        <w:rPr>
          <w:rFonts w:ascii="Times New Roman" w:hAnsi="Times New Roman"/>
          <w:sz w:val="20"/>
        </w:rPr>
        <w:t>6. </w:t>
      </w:r>
      <w:r>
        <w:rPr>
          <w:rFonts w:ascii="Times New Roman" w:hAnsi="Times New Roman"/>
          <w:sz w:val="20"/>
          <w:u w:val="single"/>
        </w:rPr>
        <w:t>Representations and Warranties of the Company</w:t>
      </w:r>
      <w:r>
        <w:rPr>
          <w:rFonts w:ascii="Times New Roman" w:hAnsi="Times New Roman"/>
          <w:sz w:val="20"/>
        </w:rPr>
        <w:t>. The Company represents and warrants to, and agrees with, TD Cowen that as of (i) the date of this Agreement, (ii) each Time of Sale (as defined below), (iii) each Settlement Date, and (iv) each Bring-Down Date (as defined below) (each date included in (i) through (iv), a “</w:t>
      </w:r>
      <w:r>
        <w:rPr>
          <w:rFonts w:ascii="Times New Roman" w:hAnsi="Times New Roman"/>
          <w:b/>
          <w:sz w:val="20"/>
          <w:u w:val="single"/>
        </w:rPr>
        <w:t>Representation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Compliance with Registration Requirements</w:t>
      </w:r>
      <w:r>
        <w:rPr>
          <w:rFonts w:ascii="Times New Roman" w:hAnsi="Times New Roman"/>
          <w:sz w:val="20"/>
        </w:rPr>
        <w:t xml:space="preserve">. The Registration Statement and any Rule 462(b) Registration Statement have been declared effective by the Commission under the Securities Act.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contemplated or threatened by the Commission. The Company meets the requirements for use of Form S-3 under the Securities Act. The sale of the Placement Shares hereunder meets the requirements of General Instruction I.B.6 of Form S-3. Compliance with any limitation set forth by General Instruction I.B.6 of Form S-3 is the sole responsibility of the Company and TD Cowen shall have no obligation in connection with such compliance. The Company has paid the registration fee required under the rules and regulations of the Commission for the amount registered under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sz w:val="20"/>
          <w:u w:val="single"/>
        </w:rPr>
        <w:t>No Misstatement or Omission</w:t>
      </w:r>
      <w:r>
        <w:rPr>
          <w:rFonts w:ascii="Times New Roman" w:hAnsi="Times New Roman"/>
          <w:sz w:val="20"/>
        </w:rPr>
        <w:t>. The Prospectus when filed complied and, as amended or supplemented, if applicable, will comply in all material respects with the Securities Act. Each of the Registration Statement, any Rule 462(b) Registration Statement, the Prospectus and any post-effective amendments or supplements thereto, at the time it became effective or its date, as applicable, complied and as of each Representation Date, conformed in all material respects with the applicable requirements of the Securities Act and did not and, as of each Representation Date did not and will not contain any untrue statement of a material fact or omit to state a material fact required to be stated therein or necessary to make the statements therein not misleading. The Prospectus, as amended or supplemented, as of its date, did not and, as of each Representation Date will not contain any untrue statement of a material fact or omit to state a material fact necessary in order to make the statements therein, in the light of the circumstances under which they were made, not misleading. The representations and warranties set forth in the two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Agent’s Information (as defined below). There are no contracts or other documents required to be described in the Prospectus or to be filed as exhibits to the Registration Statement which have not been described or filed as required. As used herein, “</w:t>
      </w:r>
      <w:r>
        <w:rPr>
          <w:rFonts w:ascii="Times New Roman" w:hAnsi="Times New Roman"/>
          <w:b/>
          <w:sz w:val="20"/>
          <w:u w:val="single"/>
        </w:rPr>
        <w:t>Time of Sale</w:t>
      </w:r>
      <w:r>
        <w:rPr>
          <w:rFonts w:ascii="Times New Roman" w:hAnsi="Times New Roman"/>
          <w:sz w:val="20"/>
        </w:rPr>
        <w:t xml:space="preserve">” means with respect to each offering of Placement Shares pursuant to this Agreement, the time of TD Cowen’s initial entry into contracts with purchasers for the sale of such Placement Shares.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Offering Materials Furnished to</w:t>
      </w:r>
      <w:r>
        <w:rPr>
          <w:rFonts w:ascii="Times New Roman" w:hAnsi="Times New Roman"/>
          <w:sz w:val="20"/>
        </w:rPr>
        <w:t xml:space="preserve"> TD Cowen. The Company has delivered to TD Cowen one complete copy of the Registration Statement and a copy of each consent and certificate of experts filed as a part thereof, and conformed copies of the Registration Statement (without exhibits) and the Prospectus, as amended or supplemented, in such quantities and at such places as TD Cowen has reasonably requested. The Registration Statement, the Prospectus and any Permitted Free Writing Prospectus (to the extent any such Permitted Free Writing Prospectus was required to be filed with the Commission) delivered to TD Cowen for use in connection with the public offering of the Placement Shares contemplated herein have been and will be identical to the versions of such documents transmitted to the Commission for filing via EDGAR, except to the extent permitted by Regulation S-T.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Not an Ineligible Issuer</w:t>
      </w:r>
      <w:r>
        <w:rPr>
          <w:rFonts w:ascii="Times New Roman" w:hAnsi="Times New Roman"/>
          <w:sz w:val="20"/>
        </w:rPr>
        <w:t xml:space="preserve">. The Company currently is not an “ineligible issuer,” as defined in Rule 405 under the Securities Act. The Company agrees to notify TD Cowen promptly upon the Company becoming an “ineligible issuer.”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Distribution of Offering Material By the Company</w:t>
      </w:r>
      <w:r>
        <w:rPr>
          <w:rFonts w:ascii="Times New Roman" w:hAnsi="Times New Roman"/>
          <w:sz w:val="20"/>
        </w:rPr>
        <w:t xml:space="preserve">. The Company has not distributed and will not distribute, prior to the completion of TD Cowen’s distribution of the Placement Shares, any offering material in connection with the offering and sale of the Placement Shares other than the Prospectus or the Registration Statement.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The Sales Agreement</w:t>
      </w:r>
      <w:r>
        <w:rPr>
          <w:rFonts w:ascii="Times New Roman" w:hAnsi="Times New Roman"/>
          <w:sz w:val="20"/>
        </w:rPr>
        <w:t xml:space="preserve">. This Agreement has been duly authorized, executed and delivered by the Company.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sz w:val="20"/>
          <w:u w:val="single"/>
        </w:rPr>
        <w:t>Authorization of the Common Stock</w:t>
      </w:r>
      <w:r>
        <w:rPr>
          <w:rFonts w:ascii="Times New Roman" w:hAnsi="Times New Roman"/>
          <w:sz w:val="20"/>
        </w:rPr>
        <w:t xml:space="preserve">. The Placement Shares, when issued and delivered, will be duly authorized for issuance and sale pursuant to this Agreement and, when issued and delivered by the Company against payment therefor pursuant to this Agreement, will be duly authorized, validly issued, fully paid and nonassessable.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w:t>
      </w:r>
      <w:r>
        <w:rPr>
          <w:rFonts w:ascii="Times New Roman" w:hAnsi="Times New Roman"/>
          <w:sz w:val="20"/>
          <w:u w:val="single"/>
        </w:rPr>
        <w:t>No Applicable Registration or Other Similar Rights</w:t>
      </w:r>
      <w:r>
        <w:rPr>
          <w:rFonts w:ascii="Times New Roman" w:hAnsi="Times New Roman"/>
          <w:sz w:val="20"/>
        </w:rPr>
        <w:t xml:space="preserve">. There are no persons with registration or other similar rights to have any equity or debt securities registered for sale under the Registration Statement or included in the offering contemplated by this Agreement, except for such rights as have been duly waived.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No Material Adverse Change</w:t>
      </w:r>
      <w:r>
        <w:rPr>
          <w:rFonts w:ascii="Times New Roman" w:hAnsi="Times New Roman"/>
          <w:sz w:val="20"/>
        </w:rPr>
        <w:t>. Except as otherwise disclosed in the Prospectus, subsequent to the respective dates as of which information is given in the Prospectus: (i) there has been no material adverse change in the condition, financial or otherwise, or in the earnings, business, operations or prospects of the Company and its subsidiaries, considered as one entity (any such change is called a “</w:t>
      </w:r>
      <w:r>
        <w:rPr>
          <w:rFonts w:ascii="Times New Roman" w:hAnsi="Times New Roman"/>
          <w:b/>
          <w:sz w:val="20"/>
          <w:u w:val="single"/>
        </w:rPr>
        <w:t>Material Adverse Change</w:t>
      </w:r>
      <w:r>
        <w:rPr>
          <w:rFonts w:ascii="Times New Roman" w:hAnsi="Times New Roman"/>
          <w:sz w:val="20"/>
        </w:rPr>
        <w:t xml:space="preserve">”); (ii) the Company and its subsidiaries, considered as one entity, have not incurred any material liability or obligation, direct or contingent, not in the ordinary course of business nor entered into any material transaction or agreement not in the ordinary course of business; (iii) the Company and its subsidiaries, considered as one entity, have not sustained any loss or interference with its business that is material and that is either from fire, explosion, flood or other calamity, whether or not covered by insurance, or from any labor disturbance or dispute or any action, order or decree of any court or arbitrator or governmental or regulatory authority; and (iv) there has been no dividend or distribution of any kind declared, paid or made by the Company or, except for regular quarterly dividends publicly announced by the Company or dividends paid to the Company or other subsidiaries, by any of its subsidiaries on any class of capital stock or repurchase or redemption by the Company or any of its subsidiaries of any class of capital stock.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sz w:val="20"/>
          <w:u w:val="single"/>
        </w:rPr>
        <w:t>Independent Accountants</w:t>
      </w:r>
      <w:r>
        <w:rPr>
          <w:rFonts w:ascii="Times New Roman" w:hAnsi="Times New Roman"/>
          <w:sz w:val="20"/>
        </w:rPr>
        <w:t xml:space="preserve">. PricewaterhouseCoopers LLP, who has expressed its opinion with respect to the financial statements (which term as used in this Agreement includes the related notes thereto) and supporting schedules filed with the Commission or incorporated by reference as a part of the Registration Statement and included in the Prospectus, is an independent registered public accounting firm as required by the Securities Act and the Exchange Act.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sz w:val="20"/>
          <w:u w:val="single"/>
        </w:rPr>
        <w:t>Preparation of the Financial Statements</w:t>
      </w:r>
      <w:r>
        <w:rPr>
          <w:rFonts w:ascii="Times New Roman" w:hAnsi="Times New Roman"/>
          <w:sz w:val="20"/>
        </w:rPr>
        <w:t xml:space="preserve">. The financial statements filed with the Commission as a part of or incorporated by reference in the Registration Statement and included in the Prospectus comply in all material respects with the applicable requirements of the Securities Act and the Exchange Act, as applicable, and present fairly in all material respects the consolidated financial position of the Company and its subsidiaries as of and at the dates indicated and the results of their operations and cash flows for the periods specified, subject in the case of unaudited financial statements to normal year-end audit adjustments. The supporting schedules included in or incorporated in the Registration Statement present fairly in all material respects the information required to be stated therein. Such financial statements and supporting schedules have been prepared in conformity with generally accepted accounting principles as applied in the United States applied on a consistent basis throughout the periods involved, except as may be expressly stated in the related notes thereto. No historical, pro forma or other financial statements or supporting schedules are required to be included in or incorporated in the Registration Statement.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sz w:val="20"/>
          <w:u w:val="single"/>
        </w:rPr>
        <w:t>XBRL</w:t>
      </w:r>
      <w:r>
        <w:rPr>
          <w:rFonts w:ascii="Times New Roman" w:hAnsi="Times New Roman"/>
          <w:sz w:val="20"/>
        </w:rPr>
        <w:t xml:space="preserve">. The interactive data in eXtensible Business Reporting Language included or incorporated by reference in each Registration Statement fairly presents the information called for in all material respects and has been prepared in accordance with the Commission’s rules and guidelines applicable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 </w:t>
      </w:r>
      <w:r>
        <w:rPr>
          <w:rFonts w:ascii="Times New Roman" w:hAnsi="Times New Roman"/>
          <w:sz w:val="20"/>
          <w:u w:val="single"/>
        </w:rPr>
        <w:t>Incorporation and Good Standing of the Company and its Subsidiaries</w:t>
      </w:r>
      <w:r>
        <w:rPr>
          <w:rFonts w:ascii="Times New Roman" w:hAnsi="Times New Roman"/>
          <w:sz w:val="20"/>
        </w:rPr>
        <w:t xml:space="preserve">. The Company and each of its subsidiaries have been duly organized and are validly existing and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result in a Material Adverse Change. The Company does not own or control, directly or indirectly, any corporation, association or other entity other than the subsidiaries listed in Exhibit 21.1 to the Company’s Annual Report on Form 10-K for the most recently ended fiscal year and other than (i) those subsidiaries not required to be listed on Exhibit 21.1 by Item 601 of Regulation S-K under the Exchange Act and (ii) those subsidiaries formed since the last day of the most recently ended fiscal year.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sz w:val="20"/>
          <w:u w:val="single"/>
        </w:rPr>
        <w:t>Capital Stock Matters</w:t>
      </w:r>
      <w:r>
        <w:rPr>
          <w:rFonts w:ascii="Times New Roman" w:hAnsi="Times New Roman"/>
          <w:sz w:val="20"/>
        </w:rPr>
        <w:t xml:space="preserve">. The Company’s authorized capital stock is as set forth in its most recently filed exhibit pursuant to Item 601(b)(4)(vi) of Regulation S-K under the Securities Act or other document filed by the Company with the Commission and incorporated by reference into the Registration Statement and the Prospectus. All the outstanding shares of capital stock of the Company have been duly and validly authorized and issued and are fully paid and non-assessable and are not subject to any pre-emptive or similar rights that have not been duly waived or satisfied; except as described in or expressly contemplated by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Prospectus; and all the outstanding shares of capital stock or other equity interests of each subsidiary owned, directly or indirectly, by the Company have been duly and validly authorized and issued, are fully paid and non-assessable and are owned directly or indirectly by the Company, free and clear of any lien, charge, encumbrance, security interest, restriction on voting or transfer or any other claim of any third party.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sz w:val="20"/>
          <w:u w:val="single"/>
        </w:rPr>
        <w:t>Non-Contravention of Existing Instruments; No Further Authorizations or Approvals Required</w:t>
      </w:r>
      <w:r>
        <w:rPr>
          <w:rFonts w:ascii="Times New Roman" w:hAnsi="Times New Roman"/>
          <w:sz w:val="20"/>
        </w:rPr>
        <w:t>. Neither the Company nor any of its subsidiaries is in violation of its charter or by-laws or similar organizational documents or is in default (“</w:t>
      </w:r>
      <w:r>
        <w:rPr>
          <w:rFonts w:ascii="Times New Roman" w:hAnsi="Times New Roman"/>
          <w:b/>
          <w:sz w:val="20"/>
          <w:u w:val="single"/>
        </w:rPr>
        <w:t>Default</w:t>
      </w:r>
      <w:r>
        <w:rPr>
          <w:rFonts w:ascii="Times New Roman" w:hAnsi="Times New Roman"/>
          <w:sz w:val="20"/>
        </w:rPr>
        <w:t>”) in the due performance or observance of any material term, covenant or condition contained in any indenture, mortgage, deed of trust, loan agreement, or other agreement or instrument to which the Company or any of its subsidiaries is a party or by which it or any of them is bound, or to which any of the property or assets of the Company or any of its subsidiaries is subject (each, an “</w:t>
      </w:r>
      <w:r>
        <w:rPr>
          <w:rFonts w:ascii="Times New Roman" w:hAnsi="Times New Roman"/>
          <w:b/>
          <w:sz w:val="20"/>
          <w:u w:val="single"/>
        </w:rPr>
        <w:t>Existing Instrument</w:t>
      </w:r>
      <w:r>
        <w:rPr>
          <w:rFonts w:ascii="Times New Roman" w:hAnsi="Times New Roman"/>
          <w:sz w:val="20"/>
        </w:rPr>
        <w:t xml:space="preserve">”), except for such Defaults as would not, individually or in the aggregate, result in a Material Adverse Change. The Company’s execution, delivery and performance of this Agreement and consummation of the transactions contemplated hereby (i) have been duly authorized by all necessary corporate action and will not result in any violation of the provisions of the charter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by-laws or similar organizational documents of the Company or any subsidiary, (ii) will not conflict with or constitute a breach of, or Default under, or result in the creation or imposition of any lien, charge or encumbrance upon any property or assets of the Company or any of its subsidiaries pursuant to, or require the consent of any other party to, any Existing Instrument, except for such conflicts, breaches, Defaults, liens, charges or encumbrances as would not, individually or in the aggregate, result in a Material Adverse Change and (iii) will not result in any violation of any law, administrative regulation or administrative or court decree applicable to the Company or any subsidiary, except for such violation that would not, individually or in the aggregate, result in a Material Adverse Change. No consent, approval, authorization or other order of, or registration or filing with, any court or other governmental or regulatory authority, is required for the Company’s execution, delivery and performance of this Agreement and consummation of the transactions contemplated hereby, except such as may be required by the Financial Industry Regulatory Authority, Inc. (“</w:t>
      </w:r>
      <w:r>
        <w:rPr>
          <w:rFonts w:ascii="Times New Roman" w:hAnsi="Times New Roman"/>
          <w:b/>
          <w:sz w:val="20"/>
          <w:u w:val="single"/>
        </w:rPr>
        <w:t>FINRA</w:t>
      </w:r>
      <w:r>
        <w:rPr>
          <w:rFonts w:ascii="Times New Roman" w:hAnsi="Times New Roman"/>
          <w:sz w:val="20"/>
        </w:rPr>
        <w:t xml:space="preserve">”) or Nasdaq and under applicable state securities laws.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sz w:val="20"/>
          <w:u w:val="single"/>
        </w:rPr>
        <w:t>No Material Actions or Proceedings</w:t>
      </w:r>
      <w:r>
        <w:rPr>
          <w:rFonts w:ascii="Times New Roman" w:hAnsi="Times New Roman"/>
          <w:sz w:val="20"/>
        </w:rPr>
        <w:t xml:space="preserve">. Except as described in the Prospectus, there are no legal, governmental or regulatory investigations, actions, suits or proceedings pending to which the Company or any of its subsidiaries is or may be a party or to which any property of the Company or any of its subsidiaries is or may be the subject that, individually or in the aggregate, if determined adversely to the Company or any of its subsidiaries, would reasonably be expected to result in a Material Adverse Change; no such investigations, actions, suits or proceedings are threatened or, to the knowledge of the Company, contemplated by any governmental or regulatory authority or threatened by others; and (i) there are no current or pending legal, governmental or regulatory actions, suits or proceedings that are required under the Securities Act to be described in the Registration Statement or the Prospectus that are not so described in the Registration Statement or the Prospectus and (ii) there are no statutes, regulations or contracts or other documents that are required under the Securities Act to be filed as exhibits to the Registration Statement or described in the Registration Statement or the Prospectus that are not so filed as exhibits to the Registration Statement or described in the Registration Statement and the Prospectus. No material labor dispute with the employees of the Company or any of its subsidiaries exists or, to the Company’s knowledge, is threatened or imminent.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sz w:val="20"/>
          <w:u w:val="single"/>
        </w:rPr>
        <w:t>All Necessary Permits, etc</w:t>
      </w:r>
      <w:r>
        <w:rPr>
          <w:rFonts w:ascii="Times New Roman" w:hAnsi="Times New Roman"/>
          <w:sz w:val="20"/>
        </w:rPr>
        <w:t xml:space="preserve">. The Company and each subsidiary possess such valid and current certificates, authorizations or permits issued by the appropriate state, federal or foreign regulatory agencies or bodies necessary to conduct their respective businesses, other than those the failure to possess or own would not result in a Material Adverse Change, and neither the Company nor any subsidiary has received any written notice of proceedings relating to the revocation or modification of, or non-compliance with, any such certificate, authorization or permit which, singly or in the aggregate, if the subject of an unfavorable decision, ruling or finding, could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sz w:val="20"/>
          <w:u w:val="single"/>
        </w:rPr>
        <w:t>Tax Law Compliance</w:t>
      </w:r>
      <w:r>
        <w:rPr>
          <w:rFonts w:ascii="Times New Roman" w:hAnsi="Times New Roman"/>
          <w:sz w:val="20"/>
        </w:rPr>
        <w:t xml:space="preserve">. The Company and its subsidiaries have paid all material federal, state, local and foreign taxes and filed all material federal, state, local and foreign income and franchise tax returns required to be paid or filed through the date hereof, except for taxes being contested in good faith and for which reserves in accordance with GAAP have been taken; and except as otherwise disclosed in the Registration Statement and the Prospectus, there is no tax deficiency that has been asserted against the Company or any of its subsidiaries or any of their respective properties or assets that would result in a Material Adverse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 </w:t>
      </w:r>
      <w:r>
        <w:rPr>
          <w:rFonts w:ascii="Times New Roman" w:hAnsi="Times New Roman"/>
          <w:sz w:val="20"/>
          <w:u w:val="single"/>
        </w:rPr>
        <w:t>Company Not an “Investment Company”</w:t>
      </w:r>
      <w:r>
        <w:rPr>
          <w:rFonts w:ascii="Times New Roman" w:hAnsi="Times New Roman"/>
          <w:sz w:val="20"/>
        </w:rPr>
        <w:t xml:space="preserve">. The Company is not, and after receipt of payment for the Placement Shares pursuant to this Agreement and the application of the proceeds thereof as described in the Registration Statement and the Prospectus, will not be required to register as, an “investment company” within the meaning of the Investment Company Act of 1940, as amended. </w:t>
      </w:r>
    </w:p>
    <w:p>
      <w:pPr>
        <w:pStyle w:val="TextBody"/>
        <w:bidi w:val="0"/>
        <w:spacing w:before="120" w:after="0"/>
        <w:jc w:val="left"/>
        <w:rPr>
          <w:rFonts w:ascii="Times New Roman" w:hAnsi="Times New Roman"/>
          <w:sz w:val="20"/>
        </w:rPr>
      </w:pPr>
      <w:r>
        <w:rPr>
          <w:rFonts w:ascii="Times New Roman" w:hAnsi="Times New Roman"/>
          <w:sz w:val="20"/>
        </w:rPr>
        <w:t>(t) </w:t>
      </w:r>
      <w:r>
        <w:rPr>
          <w:rFonts w:ascii="Times New Roman" w:hAnsi="Times New Roman"/>
          <w:sz w:val="20"/>
          <w:u w:val="single"/>
        </w:rPr>
        <w:t>Insurance</w:t>
      </w:r>
      <w:r>
        <w:rPr>
          <w:rFonts w:ascii="Times New Roman" w:hAnsi="Times New Roman"/>
          <w:sz w:val="20"/>
        </w:rPr>
        <w:t xml:space="preserve">. The Company and its subsidiaries have insurance covering their respective properties, operations, personnel and businesses, including business interruption insurance, which insurance is in amounts and insures against such losses and risks as are generally maintained by companies engaged in the same or similar business and which the Company and its subsidiaries reasonably believe are adequate to protect the Company and its subsidiaries and their respective businesses; and neither the Company nor any of its subsidiaries has (i) received written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sz w:val="20"/>
          <w:u w:val="single"/>
        </w:rPr>
        <w:t>No Price Stabilization or Manipulation</w:t>
      </w:r>
      <w:r>
        <w:rPr>
          <w:rFonts w:ascii="Times New Roman" w:hAnsi="Times New Roman"/>
          <w:sz w:val="20"/>
        </w:rPr>
        <w:t xml:space="preserve">. The Company has not taken and will not take, directly or indirectly, any action designed to or that might be reasonably expected to cause or result in stabilization or manipulation of the price of any security of the Company to facilitate the sale or resale of the Placement Shares.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Related Party Transactions</w:t>
      </w:r>
      <w:r>
        <w:rPr>
          <w:rFonts w:ascii="Times New Roman" w:hAnsi="Times New Roman"/>
          <w:sz w:val="20"/>
        </w:rPr>
        <w:t xml:space="preserve">. No relationship, direct or, to the Company’s knowledge, indirect, exists between or among the Company or any of its subsidiaries, on the one hand, and the directors, officers, stockholders, customers or suppliers of the Company or any of its subsidiaries, on the other, that is required by the Securities Act to be described in the Registration Statement and the Prospectus and that is not so described in such documents. </w:t>
      </w:r>
    </w:p>
    <w:p>
      <w:pPr>
        <w:pStyle w:val="TextBody"/>
        <w:bidi w:val="0"/>
        <w:spacing w:before="120" w:after="0"/>
        <w:jc w:val="left"/>
        <w:rPr>
          <w:rFonts w:ascii="Times New Roman" w:hAnsi="Times New Roman"/>
          <w:sz w:val="20"/>
        </w:rPr>
      </w:pPr>
      <w:r>
        <w:rPr>
          <w:rFonts w:ascii="Times New Roman" w:hAnsi="Times New Roman"/>
          <w:sz w:val="20"/>
        </w:rPr>
        <w:t>(w) </w:t>
      </w:r>
      <w:r>
        <w:rPr>
          <w:rFonts w:ascii="Times New Roman" w:hAnsi="Times New Roman"/>
          <w:sz w:val="20"/>
          <w:u w:val="single"/>
        </w:rPr>
        <w:t>Exchange Act Compliance</w:t>
      </w:r>
      <w:r>
        <w:rPr>
          <w:rFonts w:ascii="Times New Roman" w:hAnsi="Times New Roman"/>
          <w:sz w:val="20"/>
        </w:rPr>
        <w:t xml:space="preserve">. The documents incorporated by reference in the Prospectus, when they were filed with the Commission, conformed in all material respects with the requirements of the Exchange Act, and, when read together with the other information in the Prospectus, at the Settlement Dates, will not contain an untrue statement of a material fact or omit to state a material fact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sz w:val="20"/>
          <w:u w:val="single"/>
        </w:rPr>
        <w:t>No Unlawful Contributions or Other Payments</w:t>
      </w:r>
      <w:r>
        <w:rPr>
          <w:rFonts w:ascii="Times New Roman" w:hAnsi="Times New Roman"/>
          <w:sz w:val="20"/>
        </w:rPr>
        <w:t xml:space="preserve">. Neither the Company nor any of its subsidiaries nor, to the knowledge of the Company, any director, officer or employee of the Company or any of its subsidiaries, nor, to the knowledge of the Company,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Bribery of Foreign Public Officials in International Business Transactions, or committed an offence under the Bribery Act 2010 of the United Kingdom or any other applicable anti-bribery or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all applicable anti-bribery and anti-corruption laws.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sz w:val="20"/>
          <w:u w:val="single"/>
        </w:rPr>
        <w:t>Compliance with Money Laundering Laws</w:t>
      </w:r>
      <w:r>
        <w:rPr>
          <w:rFonts w:ascii="Times New Roman" w:hAnsi="Times New Roman"/>
          <w:sz w:val="20"/>
        </w:rPr>
        <w:t>. The operations of the Company and its subsidiaries are and have been conducted at all times in compliance with all applicable financial recordkeeping and reporting requirements, including those of the Currency and Foreign Transactions Reporting Act of 1970, as amended, the U.S.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Times New Roman" w:hAnsi="Times New Roman"/>
          <w:b/>
          <w:sz w:val="20"/>
          <w:u w:val="single"/>
        </w:rPr>
        <w:t>Anti-Money Laundering Laws</w:t>
      </w:r>
      <w:r>
        <w:rPr>
          <w:rFonts w:ascii="Times New Roman" w:hAnsi="Times New Roman"/>
          <w:sz w:val="20"/>
        </w:rPr>
        <w:t xml:space="preserve">”), and no action, suit or proceeding by or before any court or governmental agency, authority, body or any arbitrator involving the Company or any of its subsidiaries with respect to Anti-Money Laundering Laws is pending, or to the knowledge of the Company, threatened.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sz w:val="20"/>
          <w:u w:val="single"/>
        </w:rPr>
        <w:t>Compliance with OFAC</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Neither the Company nor any of its subsidiaries, nor, to the knowledge of the Company, any of their respective directors, officers, or employees, nor, to the knowledge of the Company, any agent, affiliate, representative, or other person associated with or acting on behalf of the Company or any of its subsidiaries, is an individual or entity (“Person”) that is, or is owned or controlled by a Person that is: (i) currently the subject or the target of any economic, financial or trade sanctions administered or enforced by the U.S. Government, (including, without limitation, the Office of Foreign Assets Control of the U.S. Department of the Treasury (“</w:t>
            </w:r>
            <w:r>
              <w:rPr>
                <w:rFonts w:ascii="Times New Roman" w:hAnsi="Times New Roman"/>
                <w:b/>
                <w:sz w:val="20"/>
                <w:u w:val="single"/>
              </w:rPr>
              <w:t>OFAC</w:t>
            </w:r>
            <w:r>
              <w:rPr>
                <w:rFonts w:ascii="Times New Roman" w:hAnsi="Times New Roman"/>
                <w:sz w:val="20"/>
              </w:rPr>
              <w:t>”) or the U.S. Department of State and including, without limitation, the designation as a “specially designated national” or “blocked person”), the United Nations Security Council (“</w:t>
            </w:r>
            <w:r>
              <w:rPr>
                <w:rFonts w:ascii="Times New Roman" w:hAnsi="Times New Roman"/>
                <w:b/>
                <w:sz w:val="20"/>
                <w:u w:val="single"/>
              </w:rPr>
              <w:t>UNSC</w:t>
            </w:r>
            <w:r>
              <w:rPr>
                <w:rFonts w:ascii="Times New Roman" w:hAnsi="Times New Roman"/>
                <w:sz w:val="20"/>
              </w:rPr>
              <w:t>”), the European Union, His Majesty’s Treasury (“</w:t>
            </w:r>
            <w:r>
              <w:rPr>
                <w:rFonts w:ascii="Times New Roman" w:hAnsi="Times New Roman"/>
                <w:b/>
                <w:sz w:val="20"/>
                <w:u w:val="single"/>
              </w:rPr>
              <w:t>HMT</w:t>
            </w:r>
            <w:r>
              <w:rPr>
                <w:rFonts w:ascii="Times New Roman" w:hAnsi="Times New Roman"/>
                <w:sz w:val="20"/>
              </w:rPr>
              <w:t>”), the Swiss Secretariat of Economic Affairs or other relevant sanctions authority (collectively, “</w:t>
            </w:r>
            <w:r>
              <w:rPr>
                <w:rFonts w:ascii="Times New Roman" w:hAnsi="Times New Roman"/>
                <w:b/>
                <w:sz w:val="20"/>
                <w:u w:val="single"/>
              </w:rPr>
              <w:t>Sanctions</w:t>
            </w:r>
            <w:r>
              <w:rPr>
                <w:rFonts w:ascii="Times New Roman" w:hAnsi="Times New Roman"/>
                <w:sz w:val="20"/>
              </w:rPr>
              <w:t>”), nor (ii) located, organized or resident in a country or territory that is the subject or the target of Sanctions, including, without limitation, the so-called Donetsk People’s Republic, the so-called Luhansk People’s Republic, the Crimea Region of Ukraine, the non-government controlled areas of the Zaporizhzhia and Kherson Regions, Cuba, Iran, North Korea and Syria (each, a “</w:t>
            </w:r>
            <w:r>
              <w:rPr>
                <w:rFonts w:ascii="Times New Roman" w:hAnsi="Times New Roman"/>
                <w:b/>
                <w:sz w:val="20"/>
                <w:u w:val="single"/>
              </w:rPr>
              <w:t>Sanctioned</w:t>
            </w:r>
            <w:r>
              <w:rPr>
                <w:rFonts w:ascii="Times New Roman" w:hAnsi="Times New Roman"/>
                <w:sz w:val="20"/>
                <w:u w:val="single"/>
              </w:rPr>
              <w:t xml:space="preserve"> </w:t>
            </w:r>
            <w:r>
              <w:rPr>
                <w:rFonts w:ascii="Times New Roman" w:hAnsi="Times New Roman"/>
                <w:b/>
                <w:sz w:val="20"/>
                <w:u w:val="single"/>
              </w:rPr>
              <w:t>Country</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not, directly or indirectly, use the Net Proceeds, or lend, contribute or otherwise make available such Net Proceeds to any subsidiary, joint venture partner or other Person: (i) to fund or facilitate any activities of or business with any Person that, at the time of such funding or facilitation, is the subject or the target of any Sanctions, (ii) to fund or facilitate any activities of or business in any Sanctioned Country or (iii) in any other manner that will result in a violation of Sanctions by any Person (including TD Cowen).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Since their respective inceptions, none of the Company or its subsidiaries has knowingly engaged in, is not now knowingly engaged in, and will not engage in, any direct or indirect dealings or transactions with any Person that at the time of the dealing or transaction is or was the subject or the target of Sanctions or with any Sanctioned Country. </w:t>
            </w:r>
          </w:p>
        </w:tc>
      </w:tr>
    </w:tbl>
    <w:p>
      <w:pPr>
        <w:pStyle w:val="TextBody"/>
        <w:bidi w:val="0"/>
        <w:spacing w:before="12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Company’s Accounting System</w:t>
      </w:r>
      <w:r>
        <w:rPr>
          <w:rFonts w:ascii="Times New Roman" w:hAnsi="Times New Roman"/>
          <w:sz w:val="20"/>
        </w:rPr>
        <w:t xml:space="preserve">. The Company and its subsidiaries maintain systems of “internal control over financial reporting” (as defined in Rule 13a-15(f) of the Exchange Act) that have been designed to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interactive data in eXtensible Business Reporting Language included or incorporated by reference in the Registration Statement fairly presents the information called for in all material respects and is prepared in accordance with the Commission’s rules and guidelines applicable thereto. Except as disclosed in the Registration Statement and the Prospectus, the Company is not aware of any material weaknesses in the Company’s internal control over financial reporting. The Company’s auditors and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 </w:t>
      </w:r>
    </w:p>
    <w:p>
      <w:pPr>
        <w:pStyle w:val="TextBody"/>
        <w:bidi w:val="0"/>
        <w:spacing w:before="12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Disclosure Controls</w:t>
      </w:r>
      <w:r>
        <w:rPr>
          <w:rFonts w:ascii="Times New Roman" w:hAnsi="Times New Roman"/>
          <w:sz w:val="20"/>
        </w:rPr>
        <w:t xml:space="preserve">. 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Compliance with Environmental Laws</w:t>
      </w:r>
      <w:r>
        <w:rPr>
          <w:rFonts w:ascii="Times New Roman" w:hAnsi="Times New Roman"/>
          <w:sz w:val="20"/>
        </w:rPr>
        <w:t>. The Company and each of its subsidiaries (i) are in compliance with all, and have not violated any, laws, regulations, ordinances, rules, orders, judgments, decrees, permits or other legal requirements of any regulatory authority, including without limitation any international, national, state, provincial, regional, or local authority, relating to the protection of human health or safety, the environment, or natural resources, or to hazardous or toxic substances or wastes, pollutants or contaminants (“</w:t>
      </w:r>
      <w:r>
        <w:rPr>
          <w:rFonts w:ascii="Times New Roman" w:hAnsi="Times New Roman"/>
          <w:b/>
          <w:sz w:val="20"/>
          <w:u w:val="single"/>
        </w:rPr>
        <w:t>Environmental Laws</w:t>
      </w:r>
      <w:r>
        <w:rPr>
          <w:rFonts w:ascii="Times New Roman" w:hAnsi="Times New Roman"/>
          <w:sz w:val="20"/>
        </w:rPr>
        <w:t xml:space="preserve">”) applicable to such entity, which compliance includes, without limitation, obtaining, maintaining and complying with all permits and authorizations and approvals required by Environmental Laws to conduct their respective businesses, and (ii) has not received notice of any actual or alleged violation of Environmental Laws, or of any potential liability for or other obligation concerning the presence, disposal or release of hazardous or toxic substances or wastes, pollutants or contaminants, except in the case of either (i) or (ii) above where the failure to comply or the potential liability or obligation would not, individually or in the aggregate, result in a Material Adverse Change. Except as described in the Registration Statement and the Prospectus, (A) there are no proceedings that are pending, or that are known to be contemplated, against the Company or any of its subsidiaries under any Environmental Laws in which a regulatory authority is also a party and (B) the Company and its subsidiaries are not aware of any non-compliance with Environmental Laws, or liabilities under Environmental Laws or concerning hazardous or toxic substances or wastes, pollutants or contaminants, in the case of clause (A) or (B) that would, individually or in the aggregate,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Intellectual Property</w:t>
      </w:r>
      <w:r>
        <w:rPr>
          <w:rFonts w:ascii="Times New Roman" w:hAnsi="Times New Roman"/>
          <w:sz w:val="20"/>
        </w:rPr>
        <w:t>. Except as disclosed in the Registration Statement and the Prospectus, the Company and its subsidiaries own or have valid, binding and enforceable licenses or other rights under the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necessary for, or used in the conduct, or the proposed conduct, of their respective businesses in the manner described in the Registration Statement and the Prospectus (collectively, the “</w:t>
      </w:r>
      <w:r>
        <w:rPr>
          <w:rFonts w:ascii="Times New Roman" w:hAnsi="Times New Roman"/>
          <w:b/>
          <w:sz w:val="20"/>
          <w:u w:val="single"/>
        </w:rPr>
        <w:t>Company Intellectual Property</w:t>
      </w:r>
      <w:r>
        <w:rPr>
          <w:rFonts w:ascii="Times New Roman" w:hAnsi="Times New Roman"/>
          <w:sz w:val="20"/>
        </w:rPr>
        <w:t xml:space="preserve">”); the intellectual property owned by the Company and its subsidiaries is free and clear of all material liens or encumbrances; to the knowledge of the Company, the patents, trademarks and copyrights included within the Company Intellectual Property are valid, enforceable and subsisting; other than as disclosed in the Registration Statement and the Prospectus, (i) neither the Company nor any of its subsidiaries is obligated to pay a material royalty, grant a license, or provide other material consideration to any third party in connection with the Company Intellectual Property, (ii) no action, suit, claim or other proceeding is pending, or to the knowledge of the Company, is threatened, alleging that the Company or any of its subsidiaries is infringing, misappropriating, diluting or otherwise violating any rights of others with respect to any of the Company’s or its subsidiaries’ product candidates, processes or intellectual property, (iii) no action, suit, claim or other proceeding is pending, or to the knowledge of the Company, is threatened, challenging the validity, enforceability, scope, registration, ownership or use of any of the patents or patent applications included in the Company Intellectual Property (iv) the Company has not received written notice of any claim of infringement, misappropriation or conflict with any asserted rights of others with respect to any of the Company’s or its subsidiaries’ products, proposed products, processes or Company Intellectual Property, (v) to the knowledge of the Company, the development, sale, and any currently proposed use of any of the products, proposed products or processes of the Company or its subsidiaries referred to in the Registration Statement and the Prospectus, in the current or proposed conduct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business of the Company in the manner and to the extent described in the Registration Statement and the Prospectus, do not currently, and would not, if commercialized as of the date hereof, to the knowledge of the Company, infringe any right or valid patent claim of any third party, (vi) to the knowledge of the Company, no third party has any ownership right in or to any Company Intellectual Property that is owned by the Company or its subsidiaries, and to the knowledge of the Company, no third party has any ownership right in or to any Company Intellectual Property in any field of use that is exclusively licensed to the Company or its subsidiaries, other than any licensor to the Company or its subsidiaries of such Company Intellectual Property, and (vii) the Company has taken reasonable measures to protect its confidential information and trade secrets and to maintain and safeguard the Company Intellectual Property, including the execution of appropriate nondisclosure and confidentiality agreements. </w:t>
      </w:r>
    </w:p>
    <w:p>
      <w:pPr>
        <w:pStyle w:val="TextBody"/>
        <w:bidi w:val="0"/>
        <w:spacing w:before="12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Listing</w:t>
      </w:r>
      <w:r>
        <w:rPr>
          <w:rFonts w:ascii="Times New Roman" w:hAnsi="Times New Roman"/>
          <w:sz w:val="20"/>
        </w:rPr>
        <w:t xml:space="preserve">. The Company is subject to and in compliance in all material respects with the reporting requirements of Section 13 or Section 15(d) of the Exchange Act. The Common Stock is registered pursuant to Section 12(b) or Section 12(g) of the Exchange Act and is listed on the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All of the Placement Shares that have been or may be sold under this Agreement have been approved for listing on the Nasdaq, subject to official notice of issuance; the Company has taken all necessary actions to ensure that, upon and at all times after the Nasdaq shall have approved the Placement Shares for listing, it will be in compliance with all applicable corporate governance requirements set forth in the Nasdaq’s listing rules that are then in effect. </w:t>
      </w:r>
    </w:p>
    <w:p>
      <w:pPr>
        <w:pStyle w:val="TextBody"/>
        <w:bidi w:val="0"/>
        <w:spacing w:before="12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Brokers</w:t>
      </w:r>
      <w:r>
        <w:rPr>
          <w:rFonts w:ascii="Times New Roman" w:hAnsi="Times New Roman"/>
          <w:sz w:val="20"/>
        </w:rPr>
        <w:t xml:space="preserve">. Except for TD Cowen, there is no broker, finder or other party that is entitled to receive from the Company any brokerage or finder’s fee or other fee or commission as a result of any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No Outstanding Loans or Other Indebtedness</w:t>
      </w:r>
      <w:r>
        <w:rPr>
          <w:rFonts w:ascii="Times New Roman" w:hAnsi="Times New Roman"/>
          <w:sz w:val="20"/>
        </w:rPr>
        <w:t xml:space="preserve">. Except as described in the Prospectus, there are no outstanding loans, advances (except normal advances for business expenses in the ordinary course of business) or guarantees or indebtedness by the Company to or for the benefit of any of the officers or directors of the Company or any of the members of any of them. </w:t>
      </w:r>
    </w:p>
    <w:p>
      <w:pPr>
        <w:pStyle w:val="TextBody"/>
        <w:bidi w:val="0"/>
        <w:spacing w:before="12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No Reliance</w:t>
      </w:r>
      <w:r>
        <w:rPr>
          <w:rFonts w:ascii="Times New Roman" w:hAnsi="Times New Roman"/>
          <w:sz w:val="20"/>
        </w:rPr>
        <w:t xml:space="preserve">. The Company has not relied upon TD Cowen or legal counsel for TD Cowen for any legal, tax or accounting advice in connection with the offering and sale of the Placement Shares.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Lending Relationship</w:t>
      </w:r>
      <w:r>
        <w:rPr>
          <w:rFonts w:ascii="Times New Roman" w:hAnsi="Times New Roman"/>
          <w:sz w:val="20"/>
        </w:rPr>
        <w:t xml:space="preserve">. Except as disclosed in the Prospectus, the Company does not intend to use any of the proceeds from the sale of the Placement Shares to repay any outstanding debt owed to TD Cowen or any affiliate of TD Cowen. </w:t>
      </w:r>
    </w:p>
    <w:p>
      <w:pPr>
        <w:pStyle w:val="TextBody"/>
        <w:bidi w:val="0"/>
        <w:spacing w:before="12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FINRA Exemption</w:t>
      </w:r>
      <w:r>
        <w:rPr>
          <w:rFonts w:ascii="Times New Roman" w:hAnsi="Times New Roman"/>
          <w:sz w:val="20"/>
        </w:rPr>
        <w:t xml:space="preserve">. To enable TD Cowen to rely on Rule 5110(b)(7)(C)(i) of FINRA, the Company represents that the Company (i) has a non-affiliate, public common equity float of at least $150 million or a non-affiliate, public common equity float of at least $100 million and annual trading volume of at least three million shares and (ii) has been subject to the Exchange Act reporting requirements for a period of at least 36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Compliance with Laws</w:t>
      </w:r>
      <w:r>
        <w:rPr>
          <w:rFonts w:ascii="Times New Roman" w:hAnsi="Times New Roman"/>
          <w:sz w:val="20"/>
        </w:rPr>
        <w:t xml:space="preserve">.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Title to Real and Personal Property</w:t>
      </w:r>
      <w:r>
        <w:rPr>
          <w:rFonts w:ascii="Times New Roman" w:hAnsi="Times New Roman"/>
          <w:sz w:val="20"/>
        </w:rPr>
        <w:t xml:space="preserve">. The Company and its subsidiaries have good and marketable title in fee simple (in the case of real property) to, or have valid and marketable rights to lease or otherwise use, all items of real and personal property and assets that are material to the businesses of the Company and its subsidiaries, in each case free and clear of all liens, encumbrances, claims and defects except those that (i) do not materially interfere with the use made and proposed to be made of such property by the Company and its subsidiaries or (ii) would not reasonably be expected, individually or in the aggregate, to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Patents and Patent Applications</w:t>
      </w:r>
      <w:r>
        <w:rPr>
          <w:rFonts w:ascii="Times New Roman" w:hAnsi="Times New Roman"/>
          <w:sz w:val="20"/>
        </w:rPr>
        <w:t>. All patents and patent applications owned by or licensed to the Company or its subsidiaries or under which the Company or its subsidiaries has rights have, to the knowledge of the Company, been duly and properly filed and maintained; to the knowledge of the Company, the parties prosecuting such applications have complied with their duty of candor and disclosure to the U.S. Patent and Trademark Office (the “</w:t>
      </w:r>
      <w:r>
        <w:rPr>
          <w:rFonts w:ascii="Times New Roman" w:hAnsi="Times New Roman"/>
          <w:sz w:val="20"/>
          <w:u w:val="single"/>
        </w:rPr>
        <w:t>USPTO</w:t>
      </w:r>
      <w:r>
        <w:rPr>
          <w:rFonts w:ascii="Times New Roman" w:hAnsi="Times New Roman"/>
          <w:sz w:val="20"/>
        </w:rPr>
        <w:t xml:space="preserve">”) in connection with such applications; and neither the Company nor any of its subsidiaries is aware of any facts required to be disclosed to the USPTO that were not disclosed to the USPTO and which would preclude the grant of a patent in connection with any such application or could form the basis of a finding of unenforceability with respect to any patents that have issued with respect to such applications. </w:t>
      </w:r>
    </w:p>
    <w:p>
      <w:pPr>
        <w:pStyle w:val="TextBody"/>
        <w:bidi w:val="0"/>
        <w:spacing w:before="120" w:after="0"/>
        <w:jc w:val="left"/>
        <w:rPr>
          <w:rFonts w:ascii="Times New Roman" w:hAnsi="Times New Roman"/>
          <w:sz w:val="20"/>
        </w:rPr>
      </w:pPr>
      <w:r>
        <w:rPr>
          <w:rFonts w:ascii="Times New Roman" w:hAnsi="Times New Roman"/>
          <w:sz w:val="20"/>
        </w:rPr>
        <w:t>(nn) </w:t>
      </w:r>
      <w:r>
        <w:rPr>
          <w:rFonts w:ascii="Times New Roman" w:hAnsi="Times New Roman"/>
          <w:sz w:val="20"/>
          <w:u w:val="single"/>
        </w:rPr>
        <w:t>Cybersecurity; Data Protection</w:t>
      </w:r>
      <w:r>
        <w:rPr>
          <w:rFonts w:ascii="Times New Roman" w:hAnsi="Times New Roman"/>
          <w:sz w:val="20"/>
        </w:rPr>
        <w:t>. Except as would not reasonably be expected, individually or in the aggregate, to result in a Material Adverse Change: (i) the Company and its subsidiaries’ information technology assets and equipment, computers, systems, networks, hardware, software, websites, applications, and databases (collectively, “</w:t>
      </w:r>
      <w:r>
        <w:rPr>
          <w:rFonts w:ascii="Times New Roman" w:hAnsi="Times New Roman"/>
          <w:b/>
          <w:sz w:val="20"/>
          <w:u w:val="single"/>
        </w:rPr>
        <w:t>IT Systems</w:t>
      </w:r>
      <w:r>
        <w:rPr>
          <w:rFonts w:ascii="Times New Roman" w:hAnsi="Times New Roman"/>
          <w:sz w:val="20"/>
        </w:rPr>
        <w:t xml:space="preserve">”) are adequate for, and operate and perform as required in connection with the operation of the business of the Company and its subsidiaries as currently conducted, free and clear of all bugs, errors, defects, Trojan horses, time bombs, malware and other corruptants, (ii)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Data) used in connection with their businesses, and there have been no breaches, violations, outages or unauthorized uses of or accesses to same, nor any incidents under internal review or investigations relating to the same, and (iii)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(oo) </w:t>
      </w:r>
      <w:r>
        <w:rPr>
          <w:rFonts w:ascii="Times New Roman" w:hAnsi="Times New Roman"/>
          <w:sz w:val="20"/>
          <w:u w:val="single"/>
        </w:rPr>
        <w:t>Export and Import Laws</w:t>
      </w:r>
      <w:r>
        <w:rPr>
          <w:rFonts w:ascii="Times New Roman" w:hAnsi="Times New Roman"/>
          <w:sz w:val="20"/>
        </w:rPr>
        <w:t>. Each of the Company and the subsidiaries, and, to the Company’s knowledge, each of their affiliates and any director, officer, agent or employee of, or other person associated with or acting on behalf of, the Company has acted at all times in compliance with applicable Export and Import Laws (as defined below) and there are no claims, complaints, charges, investigations or proceedings pending or expected or, to the knowledge of the Company, threatened between the Company or any of the subsidiaries and any governmental authority under any Export or Import Laws. The term “</w:t>
      </w:r>
      <w:r>
        <w:rPr>
          <w:rFonts w:ascii="Times New Roman" w:hAnsi="Times New Roman"/>
          <w:b/>
          <w:sz w:val="20"/>
          <w:u w:val="single"/>
        </w:rPr>
        <w:t>Export and Import Laws</w:t>
      </w:r>
      <w:r>
        <w:rPr>
          <w:rFonts w:ascii="Times New Roman" w:hAnsi="Times New Roman"/>
          <w:sz w:val="20"/>
        </w:rPr>
        <w:t xml:space="preserve">”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 </w:t>
      </w:r>
    </w:p>
    <w:p>
      <w:pPr>
        <w:pStyle w:val="TextBody"/>
        <w:bidi w:val="0"/>
        <w:spacing w:before="120" w:after="0"/>
        <w:jc w:val="left"/>
        <w:rPr>
          <w:rFonts w:ascii="Times New Roman" w:hAnsi="Times New Roman"/>
          <w:sz w:val="20"/>
        </w:rPr>
      </w:pPr>
      <w:r>
        <w:rPr>
          <w:rFonts w:ascii="Times New Roman" w:hAnsi="Times New Roman"/>
          <w:sz w:val="20"/>
        </w:rPr>
        <w:t>(pp) </w:t>
      </w:r>
      <w:r>
        <w:rPr>
          <w:rFonts w:ascii="Times New Roman" w:hAnsi="Times New Roman"/>
          <w:sz w:val="20"/>
          <w:u w:val="single"/>
        </w:rPr>
        <w:t>Other At The Market Sales Agreements</w:t>
      </w:r>
      <w:r>
        <w:rPr>
          <w:rFonts w:ascii="Times New Roman" w:hAnsi="Times New Roman"/>
          <w:sz w:val="20"/>
        </w:rPr>
        <w:t xml:space="preserve">. The Company is not a party to any agreement with an agent or underwriter for any other “at the market” offering. </w:t>
      </w:r>
    </w:p>
    <w:p>
      <w:pPr>
        <w:pStyle w:val="TextBody"/>
        <w:bidi w:val="0"/>
        <w:spacing w:before="120" w:after="0"/>
        <w:jc w:val="left"/>
        <w:rPr>
          <w:rFonts w:ascii="Times New Roman" w:hAnsi="Times New Roman"/>
          <w:sz w:val="20"/>
        </w:rPr>
      </w:pPr>
      <w:r>
        <w:rPr>
          <w:rFonts w:ascii="Times New Roman" w:hAnsi="Times New Roman"/>
          <w:sz w:val="20"/>
        </w:rPr>
        <w:t>(qq) </w:t>
      </w:r>
      <w:r>
        <w:rPr>
          <w:rFonts w:ascii="Times New Roman" w:hAnsi="Times New Roman"/>
          <w:sz w:val="20"/>
          <w:u w:val="single"/>
        </w:rPr>
        <w:t>Outbound Investment Security Program</w:t>
      </w:r>
      <w:r>
        <w:rPr>
          <w:rFonts w:ascii="Times New Roman" w:hAnsi="Times New Roman"/>
          <w:sz w:val="20"/>
        </w:rPr>
        <w:t>. Neither the Company nor any of its subsidiaries is a “covered foreign person”, as that term is defined in 31 C.F.R. § 850.209. Neither the Company nor any of its subsidiaries currently engages, or has plans to engage, directly or indirectly, in a “covered activity”, as that term is defined in 31 C.F.R. § 850.208 (“</w:t>
      </w:r>
      <w:r>
        <w:rPr>
          <w:rFonts w:ascii="Times New Roman" w:hAnsi="Times New Roman"/>
          <w:b/>
          <w:sz w:val="20"/>
          <w:u w:val="single"/>
        </w:rPr>
        <w:t>Covered Activity</w:t>
      </w:r>
      <w:r>
        <w:rPr>
          <w:rFonts w:ascii="Times New Roman" w:hAnsi="Times New Roman"/>
          <w:sz w:val="20"/>
        </w:rPr>
        <w:t xml:space="preserve">”). The Company does not have any joint ventures that engages in or plans to engage in any Covered Activity. The Company also does not, directly or indirectly, hold a board seat on, have a voting or equity interest in, or have any contractual power to direct or cause the direction of the management or policies of any person or persons that engages or plans to engage in any Covered Activity. </w:t>
      </w:r>
    </w:p>
    <w:p>
      <w:pPr>
        <w:pStyle w:val="TextBody"/>
        <w:bidi w:val="0"/>
        <w:spacing w:before="120" w:after="0"/>
        <w:jc w:val="left"/>
        <w:rPr>
          <w:rFonts w:ascii="Times New Roman" w:hAnsi="Times New Roman"/>
          <w:sz w:val="20"/>
        </w:rPr>
      </w:pPr>
      <w:r>
        <w:rPr>
          <w:rFonts w:ascii="Times New Roman" w:hAnsi="Times New Roman"/>
          <w:sz w:val="20"/>
        </w:rPr>
        <w:t>(rr) </w:t>
      </w:r>
      <w:r>
        <w:rPr>
          <w:rFonts w:ascii="Times New Roman" w:hAnsi="Times New Roman"/>
          <w:sz w:val="20"/>
          <w:u w:val="single"/>
        </w:rPr>
        <w:t>Compliance with ERISA</w:t>
      </w:r>
      <w:r>
        <w:rPr>
          <w:rFonts w:ascii="Times New Roman" w:hAnsi="Times New Roman"/>
          <w:i/>
          <w:sz w:val="20"/>
        </w:rPr>
        <w:t>.</w:t>
      </w:r>
      <w:r>
        <w:rPr>
          <w:rFonts w:ascii="Times New Roman" w:hAnsi="Times New Roman"/>
          <w:sz w:val="20"/>
        </w:rPr>
        <w:t xml:space="preserve"> Except, in each case, for any such matters as would not, individually or in the aggregate, reasonably be expected to result in a Material Adverse Change, (i) each employee benefit plan, within the meaning of Section 3(3) of the Employee Retirement Income Security Act of 1974, as amended (“</w:t>
      </w:r>
      <w:r>
        <w:rPr>
          <w:rFonts w:ascii="Times New Roman" w:hAnsi="Times New Roman"/>
          <w:b/>
          <w:sz w:val="20"/>
          <w:u w:val="single"/>
        </w:rPr>
        <w:t>ERISA</w:t>
      </w:r>
      <w:r>
        <w:rPr>
          <w:rFonts w:ascii="Times New Roman" w:hAnsi="Times New Roman"/>
          <w:sz w:val="20"/>
        </w:rPr>
        <w:t>”), for which the Company or any member of its “Controlled Group” (defined as any organization which is a member of a controlled group of corporations within the meaning of Section 414 of the Internal Revenue Code of 1986, as amended (the “</w:t>
      </w:r>
      <w:r>
        <w:rPr>
          <w:rFonts w:ascii="Times New Roman" w:hAnsi="Times New Roman"/>
          <w:b/>
          <w:sz w:val="20"/>
          <w:u w:val="single"/>
        </w:rPr>
        <w:t>Code</w:t>
      </w:r>
      <w:r>
        <w:rPr>
          <w:rFonts w:ascii="Times New Roman" w:hAnsi="Times New Roman"/>
          <w:sz w:val="20"/>
        </w:rPr>
        <w:t>”)) would have any liability (each, a “</w:t>
      </w:r>
      <w:r>
        <w:rPr>
          <w:rFonts w:ascii="Times New Roman" w:hAnsi="Times New Roman"/>
          <w:b/>
          <w:sz w:val="20"/>
          <w:u w:val="single"/>
        </w:rPr>
        <w:t>Plan</w:t>
      </w:r>
      <w:r>
        <w:rPr>
          <w:rFonts w:ascii="Times New Roman" w:hAnsi="Times New Roman"/>
          <w:sz w:val="20"/>
        </w:rPr>
        <w:t>”</w:t>
      </w:r>
      <w:r>
        <w:rPr>
          <w:rFonts w:ascii="Times New Roman" w:hAnsi="Times New Roman"/>
          <w:b/>
          <w:sz w:val="20"/>
        </w:rPr>
        <w:t>)</w:t>
      </w:r>
      <w:r>
        <w:rPr>
          <w:rFonts w:ascii="Times New Roman" w:hAnsi="Times New Roman"/>
          <w:sz w:val="20"/>
        </w:rPr>
        <w:t xml:space="preserve"> has been maintained in compliance with its terms and the requirements of any applicable statutes, orders, rules and regulations, including but not limited to ERISA and the Code, except for noncompliance that could not reasonably be expected to result in material liability to the Company or its subsidiaries; (ii) no prohibited transaction, within the meaning of Section 406 of ERISA or Section 4975 of the Code, has occurred with respect to any Plan excluding transactions effected pursuant to a statutory or administrative exemption that could reasonably be expected to result in a material liability to the Company or its subsidiaries; (iii) for each Plan that is subject to the funding rules of Section 412 of the Code or Section 302 of ERISA, the minimum funding standard of Section 412 of the Code or Section 302 of ERISA, as applicable, has been satisfied (without taking into account any waiver thereof or extension of any amortization period) and is reasonably expected to be satisfied in the future (without taking into account any waiver thereof or extension of any amortization period); (iv) to the extent applicable to a Plan, the fair market value of the assets of each Plan exceeds the present value of all benefits accrued under such Plan (determined based on those assumptions used to fund such Plan); (v) no “reportable event” (within the meaning of Section 4043(c) of ERISA) has occurred or is reasonably expected to occur that either has resulted, or could reasonably be expected to result, in material liability to the Company or its subsidiaries; (vi) neither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nor any member of the Controlled Group has incurred, nor reasonably expects to incur, any liability under Title IV of ERISA (other than contributions to the Plan or premiums to the PBGC, in the ordinary course and without default) in respect of a Plan (including a “multiemployer plan”, within the meaning of Section 4001(a)(3) of ERISA); and (vii) to the knowledge of the Company, there is no pending audit or investigation by the Internal Revenue Service, the U.S. Department of Labor, the Pension Benefit Guaranty Corporation or any other governmental agency or any foreign regulatory agency with respect to any Plan that could reasonably be expected to result in material liability to the Company or its subsidiaries. None of the following events has occurred or is reasonably likely to occur; (x) a material increase in the aggregate amount of contributions required to be made to all Plans by the Company or its subsidiaries in the current fiscal year of the Company and its subsidiaries compared to the amount of such contributions made in the Company and its subsidiaries’ most recently completed fiscal year; or (y) a material increase in the Company and its subsidiaries’ “accumulated post-retirement benefit obligations” (within the meaning of Statement of Financial Accounting Standards 106) compared to the amount of such obligations in the Company and its subsidiaries’ most recently completed fiscal year. </w:t>
      </w:r>
    </w:p>
    <w:p>
      <w:pPr>
        <w:pStyle w:val="TextBody"/>
        <w:bidi w:val="0"/>
        <w:spacing w:before="120" w:after="0"/>
        <w:jc w:val="left"/>
        <w:rPr>
          <w:rFonts w:ascii="Times New Roman" w:hAnsi="Times New Roman"/>
          <w:sz w:val="20"/>
        </w:rPr>
      </w:pPr>
      <w:r>
        <w:rPr>
          <w:rFonts w:ascii="Times New Roman" w:hAnsi="Times New Roman"/>
          <w:sz w:val="20"/>
        </w:rPr>
        <w:t>(ss) </w:t>
      </w:r>
      <w:r>
        <w:rPr>
          <w:rFonts w:ascii="Times New Roman" w:hAnsi="Times New Roman"/>
          <w:sz w:val="20"/>
          <w:u w:val="single"/>
        </w:rPr>
        <w:t>Forward-Looking Statements</w:t>
      </w:r>
      <w:r>
        <w:rPr>
          <w:rFonts w:ascii="Times New Roman" w:hAnsi="Times New Roman"/>
          <w:i/>
          <w:sz w:val="20"/>
        </w:rPr>
        <w:t>.</w:t>
      </w:r>
      <w:r>
        <w:rPr>
          <w:rFonts w:ascii="Times New Roman" w:hAnsi="Times New Roman"/>
          <w:sz w:val="20"/>
        </w:rPr>
        <w:t xml:space="preserve"> No forward-looking statement (within the meaning of Section 27A of the Securities Act and Section 21E of the Exchange Act) contained in the Registration Statement or the Prospectus has been made or reaffirmed without a reasonable basis or has been disclosed other than in good faith. </w:t>
      </w:r>
    </w:p>
    <w:p>
      <w:pPr>
        <w:pStyle w:val="TextBody"/>
        <w:bidi w:val="0"/>
        <w:spacing w:before="120" w:after="0"/>
        <w:jc w:val="left"/>
        <w:rPr>
          <w:rFonts w:ascii="Times New Roman" w:hAnsi="Times New Roman"/>
          <w:sz w:val="20"/>
        </w:rPr>
      </w:pPr>
      <w:r>
        <w:rPr>
          <w:rFonts w:ascii="Times New Roman" w:hAnsi="Times New Roman"/>
          <w:sz w:val="20"/>
        </w:rPr>
        <w:t>(tt) </w:t>
      </w:r>
      <w:r>
        <w:rPr>
          <w:rFonts w:ascii="Times New Roman" w:hAnsi="Times New Roman"/>
          <w:sz w:val="20"/>
          <w:u w:val="single"/>
        </w:rPr>
        <w:t>Statistical and Market Data</w:t>
      </w:r>
      <w:r>
        <w:rPr>
          <w:rFonts w:ascii="Times New Roman" w:hAnsi="Times New Roman"/>
          <w:i/>
          <w:sz w:val="20"/>
        </w:rPr>
        <w:t>.</w:t>
      </w:r>
      <w:r>
        <w:rPr>
          <w:rFonts w:ascii="Times New Roman" w:hAnsi="Times New Roman"/>
          <w:sz w:val="20"/>
        </w:rPr>
        <w:t xml:space="preserve"> Nothing has come to the attention of the Company that has caused the Company to believe that the statistical and market-related data included or incorporated by reference in the Registration Statement and the Prospectus is not based on or derived from sources that are reliable and accurate in all material respects. </w:t>
      </w:r>
    </w:p>
    <w:p>
      <w:pPr>
        <w:pStyle w:val="TextBody"/>
        <w:bidi w:val="0"/>
        <w:spacing w:before="120" w:after="0"/>
        <w:jc w:val="left"/>
        <w:rPr>
          <w:rFonts w:ascii="Times New Roman" w:hAnsi="Times New Roman"/>
          <w:sz w:val="20"/>
        </w:rPr>
      </w:pPr>
      <w:r>
        <w:rPr>
          <w:rFonts w:ascii="Times New Roman" w:hAnsi="Times New Roman"/>
          <w:sz w:val="20"/>
        </w:rPr>
        <w:t>(uu) </w:t>
      </w:r>
      <w:r>
        <w:rPr>
          <w:rFonts w:ascii="Times New Roman" w:hAnsi="Times New Roman"/>
          <w:sz w:val="20"/>
          <w:u w:val="single"/>
        </w:rPr>
        <w:t>Pre-Clinical Studies and Clinical Trials</w:t>
      </w:r>
      <w:r>
        <w:rPr>
          <w:rFonts w:ascii="Times New Roman" w:hAnsi="Times New Roman"/>
          <w:sz w:val="20"/>
        </w:rPr>
        <w:t>. The pre-clinical and clinical studies conducted by or, to the Company’s knowledge after due inquiry, on behalf of the Company were and, if still pending are being, conducted in all material respects in accordance with experimental protocols, procedures, and controls and applicable local, state and federal laws, rules and regulations, including, but not limited to, the Federal Food, Drug and Cosmetic Act and its applicable implementing regulations (the “</w:t>
      </w:r>
      <w:r>
        <w:rPr>
          <w:rFonts w:ascii="Times New Roman" w:hAnsi="Times New Roman"/>
          <w:b/>
          <w:sz w:val="20"/>
          <w:u w:val="single"/>
        </w:rPr>
        <w:t>FDCA</w:t>
      </w:r>
      <w:r>
        <w:rPr>
          <w:rFonts w:ascii="Times New Roman" w:hAnsi="Times New Roman"/>
          <w:sz w:val="20"/>
        </w:rPr>
        <w:t>”), or the U.S. Food and Drug Administration’s (the “</w:t>
      </w:r>
      <w:r>
        <w:rPr>
          <w:rFonts w:ascii="Times New Roman" w:hAnsi="Times New Roman"/>
          <w:b/>
          <w:sz w:val="20"/>
          <w:u w:val="single"/>
        </w:rPr>
        <w:t>FDA</w:t>
      </w:r>
      <w:r>
        <w:rPr>
          <w:rFonts w:ascii="Times New Roman" w:hAnsi="Times New Roman"/>
          <w:sz w:val="20"/>
          <w:u w:val="single"/>
        </w:rPr>
        <w:t>’</w:t>
      </w:r>
      <w:r>
        <w:rPr>
          <w:rFonts w:ascii="Times New Roman" w:hAnsi="Times New Roman"/>
          <w:b/>
          <w:sz w:val="20"/>
          <w:u w:val="single"/>
        </w:rPr>
        <w:t>s</w:t>
      </w:r>
      <w:r>
        <w:rPr>
          <w:rFonts w:ascii="Times New Roman" w:hAnsi="Times New Roman"/>
          <w:sz w:val="20"/>
        </w:rPr>
        <w:t>”) exercise of enforcement discretion thereto, as applicable; the descriptions in the Registration Statement and the Prospectus of the results of such studies, tests, and trials are accurate and fairly represent the data derived from such studies in all material respects; the Company is not aware of any studies, tests, or trials, the results of which the Company believes reasonably call into question the study results described in the Registration Statement and the Prospectus; and the Company has operated and currently is in compliance in all respects with all applicable rules and regulations of the FDA or any other comparable governmental agency or body having jurisdiction over the Company or any of its properties (the “</w:t>
      </w:r>
      <w:r>
        <w:rPr>
          <w:rFonts w:ascii="Times New Roman" w:hAnsi="Times New Roman"/>
          <w:b/>
          <w:sz w:val="20"/>
          <w:u w:val="single"/>
        </w:rPr>
        <w:t>Regulatory Authorities</w:t>
      </w:r>
      <w:r>
        <w:rPr>
          <w:rFonts w:ascii="Times New Roman" w:hAnsi="Times New Roman"/>
          <w:sz w:val="20"/>
        </w:rPr>
        <w:t xml:space="preserve">”), except where the failure to so comply would not, individually or in the aggregate, reasonably be expected to result in a Material Adverse Change; except as disclosed in the Prospectus, the Company has not received any written notice from the Regulatory Authorities requiring the termination or suspension of any studies conducted by or, to the Company’s knowledge after due inquiry, on behalf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(vv) </w:t>
      </w:r>
      <w:r>
        <w:rPr>
          <w:rFonts w:ascii="Times New Roman" w:hAnsi="Times New Roman"/>
          <w:sz w:val="20"/>
          <w:u w:val="single"/>
        </w:rPr>
        <w:t>Sarbanes-Oxley Act</w:t>
      </w:r>
      <w:r>
        <w:rPr>
          <w:rFonts w:ascii="Times New Roman" w:hAnsi="Times New Roman"/>
          <w:sz w:val="20"/>
        </w:rPr>
        <w:t>. There is and has been no failure on the part of the Company or, to the knowledge of the Company, any of the Company’s directors or officers, in their capacities as such, to comply in all material respects with any applicable provision of the Sarbanes-Oxley Act of 2002 and the rules and regulations promulgated in connection therewith (the “</w:t>
      </w:r>
      <w:r>
        <w:rPr>
          <w:rFonts w:ascii="Times New Roman" w:hAnsi="Times New Roman"/>
          <w:b/>
          <w:sz w:val="20"/>
          <w:u w:val="single"/>
        </w:rPr>
        <w:t>Sarbanes-Oxley Act</w:t>
      </w:r>
      <w:r>
        <w:rPr>
          <w:rFonts w:ascii="Times New Roman" w:hAnsi="Times New Roman"/>
          <w:sz w:val="20"/>
        </w:rPr>
        <w:t xml:space="preserve">”), including Section 402 related to loans and Sections 302 and 906 related to certifications. </w:t>
      </w:r>
    </w:p>
    <w:p>
      <w:pPr>
        <w:pStyle w:val="TextBody"/>
        <w:bidi w:val="0"/>
        <w:spacing w:before="120" w:after="0"/>
        <w:jc w:val="left"/>
        <w:rPr>
          <w:rFonts w:ascii="Times New Roman" w:hAnsi="Times New Roman"/>
          <w:sz w:val="20"/>
        </w:rPr>
      </w:pPr>
      <w:r>
        <w:rPr>
          <w:rFonts w:ascii="Times New Roman" w:hAnsi="Times New Roman"/>
          <w:sz w:val="20"/>
        </w:rPr>
        <w:t>(ww) </w:t>
      </w:r>
      <w:r>
        <w:rPr>
          <w:rFonts w:ascii="Times New Roman" w:hAnsi="Times New Roman"/>
          <w:sz w:val="20"/>
          <w:u w:val="single"/>
        </w:rPr>
        <w:t>Stock Options</w:t>
      </w:r>
      <w:r>
        <w:rPr>
          <w:rFonts w:ascii="Times New Roman" w:hAnsi="Times New Roman"/>
          <w:i/>
          <w:sz w:val="20"/>
        </w:rPr>
        <w:t xml:space="preserve">. </w:t>
      </w:r>
      <w:r>
        <w:rPr>
          <w:rFonts w:ascii="Times New Roman" w:hAnsi="Times New Roman"/>
          <w:sz w:val="20"/>
        </w:rPr>
        <w:t>With respect to the stock options (the “</w:t>
      </w:r>
      <w:r>
        <w:rPr>
          <w:rFonts w:ascii="Times New Roman" w:hAnsi="Times New Roman"/>
          <w:b/>
          <w:sz w:val="20"/>
          <w:u w:val="single"/>
        </w:rPr>
        <w:t>Stock Options</w:t>
      </w:r>
      <w:r>
        <w:rPr>
          <w:rFonts w:ascii="Times New Roman" w:hAnsi="Times New Roman"/>
          <w:sz w:val="20"/>
        </w:rPr>
        <w:t>”) granted pursuant to the stock-based compensation plans of the Company (the “</w:t>
      </w:r>
      <w:r>
        <w:rPr>
          <w:rFonts w:ascii="Times New Roman" w:hAnsi="Times New Roman"/>
          <w:b/>
          <w:sz w:val="20"/>
          <w:u w:val="single"/>
        </w:rPr>
        <w:t>Company Stock Plans</w:t>
      </w:r>
      <w:r>
        <w:rPr>
          <w:rFonts w:ascii="Times New Roman" w:hAnsi="Times New Roman"/>
          <w:sz w:val="20"/>
        </w:rPr>
        <w:t>”), (i) each Stock Option intended to qualify as an “incentive stock option” under Section 422 of the Code so qualifies, (ii) each grant of a Stock Option was duly authorized no later than the date on which the grant of such Stock Option was by its terms to be effective (the “</w:t>
      </w:r>
      <w:r>
        <w:rPr>
          <w:rFonts w:ascii="Times New Roman" w:hAnsi="Times New Roman"/>
          <w:b/>
          <w:sz w:val="20"/>
          <w:u w:val="single"/>
        </w:rPr>
        <w:t>Grant Date</w:t>
      </w:r>
      <w:r>
        <w:rPr>
          <w:rFonts w:ascii="Times New Roman" w:hAnsi="Times New Roman"/>
          <w:sz w:val="20"/>
        </w:rPr>
        <w:t xml:space="preserv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Nasdaq rules and (iv) each such grant was properly accounted for in accordance with GAAP in the financial statements (including the related notes) of the Company and disclosed in the Company’s filings with the Commission in accordance with the Exchange Act and all other applicable laws. The Company has not knowingly granted, and there is no and has been no policy or practice of the Company of granting, Stock Options prior to, or otherwise coordinating the grant of Stock Options with, the release or other public announcement of material information regarding the Company or its subsidiaries or their results of operations or prospects. </w:t>
      </w:r>
    </w:p>
    <w:p>
      <w:pPr>
        <w:pStyle w:val="TextBody"/>
        <w:bidi w:val="0"/>
        <w:spacing w:before="120" w:after="0"/>
        <w:jc w:val="left"/>
        <w:rPr>
          <w:rFonts w:ascii="Times New Roman" w:hAnsi="Times New Roman"/>
          <w:sz w:val="20"/>
        </w:rPr>
      </w:pPr>
      <w:r>
        <w:rPr>
          <w:rFonts w:ascii="Times New Roman" w:hAnsi="Times New Roman"/>
          <w:sz w:val="20"/>
        </w:rPr>
        <w:t>(xx) </w:t>
      </w:r>
      <w:r>
        <w:rPr>
          <w:rFonts w:ascii="Times New Roman" w:hAnsi="Times New Roman"/>
          <w:sz w:val="20"/>
          <w:u w:val="single"/>
        </w:rPr>
        <w:t>No Ratings</w:t>
      </w:r>
      <w:r>
        <w:rPr>
          <w:rFonts w:ascii="Times New Roman" w:hAnsi="Times New Roman"/>
          <w:sz w:val="20"/>
        </w:rPr>
        <w:t xml:space="preserve">. On the date hereof and on each Representation Date, there are no debt securities or preferred stock issued or guaranteed by the Company or any of its subsidiaries that are rated by a “nationally recognized statistical rating organization”, as such term is defined in Section 3(a)(62) of the Exchange Act. </w:t>
      </w:r>
    </w:p>
    <w:p>
      <w:pPr>
        <w:pStyle w:val="TextBody"/>
        <w:bidi w:val="0"/>
        <w:spacing w:before="120" w:after="0"/>
        <w:jc w:val="left"/>
        <w:rPr>
          <w:rFonts w:ascii="Times New Roman" w:hAnsi="Times New Roman"/>
          <w:sz w:val="20"/>
        </w:rPr>
      </w:pPr>
      <w:r>
        <w:rPr>
          <w:rFonts w:ascii="Times New Roman" w:hAnsi="Times New Roman"/>
          <w:sz w:val="20"/>
        </w:rPr>
        <w:t>(yy) </w:t>
      </w:r>
      <w:r>
        <w:rPr>
          <w:rFonts w:ascii="Times New Roman" w:hAnsi="Times New Roman"/>
          <w:sz w:val="20"/>
          <w:u w:val="single"/>
        </w:rPr>
        <w:t>Regulation M</w:t>
      </w:r>
      <w:r>
        <w:rPr>
          <w:rFonts w:ascii="Times New Roman" w:hAnsi="Times New Roman"/>
          <w:sz w:val="20"/>
        </w:rPr>
        <w:t xml:space="preserve">. Neither the Company nor any of its subsidiaries has taken or will take, directly or indirectly, any action that is designed, or would reasonably be expected, to cause or result in a violation of Regulation M under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(zz) </w:t>
      </w:r>
      <w:r>
        <w:rPr>
          <w:rFonts w:ascii="Times New Roman" w:hAnsi="Times New Roman"/>
          <w:sz w:val="20"/>
          <w:u w:val="single"/>
        </w:rPr>
        <w:t>Regulatory Compliance</w:t>
      </w:r>
      <w:r>
        <w:rPr>
          <w:rFonts w:ascii="Times New Roman" w:hAnsi="Times New Roman"/>
          <w:sz w:val="20"/>
        </w:rPr>
        <w:t>. Since May 1, 2020, the Company has not received any unresolved FDA Form 483, notice of adverse filing, warning letter, untitled letter or other correspondence or written notice from the FDA, or any other court or arbitrator or federal, state, local, or foreign governmental or regulatory authority, alleging or asserting noncompliance with the FDCA (21 U.S.C. § 301 et seq.), except for any of the foregoing that would not, whether individually or in the aggregate, reasonably be expected to result in a Material Adverse Change. Since May 1, 2020, the Company is and has been in compliance with the FDCA, the federal Anti-Kickback Statute (42 U.S.C. § 1320a-7b(b)), the civil False Claims Act (31 U.S.C. § 3729 et seq.), the criminal False Claims Law (42 U.S.C. § 1320a-7b(a)), the Civil Monetary Penalties Law (42 U.S.C. § 1320a-7a), the Health Insurance Portability and Accountability Act of 1996 (42 U.S.C. § 1320d et seq.), as amended by the Health Information Technology for Economic and Clinical Health Act of 2009 (42 U.S.C. § 17921 et seq.), the exclusion laws (42 U.S.C. § 1320a-7), Medicare (Title XVIII of the Social Security Act), Medicaid (Title XIX of the Social Security Act), the Physician Payments Sunshine Act (42 U.S.C. § 1320a-7h), and the regulations promulgated pursuant to such laws, and comparable state laws, and all other local, state, federal, national, supranational, and foreign laws, in each case to the extent any of the foregoing are applicable to the regulation of the Company (collectively, “</w:t>
      </w:r>
      <w:r>
        <w:rPr>
          <w:rFonts w:ascii="Times New Roman" w:hAnsi="Times New Roman"/>
          <w:b/>
          <w:sz w:val="20"/>
          <w:u w:val="single"/>
        </w:rPr>
        <w:t>Healthcare Laws</w:t>
      </w:r>
      <w:r>
        <w:rPr>
          <w:rFonts w:ascii="Times New Roman" w:hAnsi="Times New Roman"/>
          <w:sz w:val="20"/>
        </w:rPr>
        <w:t xml:space="preserve">”), except where the failures to so comply would not, whether individually or in the aggregate, reasonably be expected to result in a Material Adverse Change. Since May 1, 2020, the Company has not, either voluntarily or involuntarily, initiated, conducted or issued or caused to be initiated, conducted or issued, any material recall, market withdrawal or replacement, safety alert, post-sale warning, “dear doctor” letter, or other written notice or action relating to the alleged lack of safety or efficacy of any product or any alleged product defect or violation and, to the Company’s knowledge, no third party has initiated or conducted any such material written notice or action. Neither the Company nor, to the knowledge of the Company, any of its officers, directors, employees, or agents has been since May 1, 2020 or is currently excluded from participation in the Medicare and Medicaid programs or any other state or federal healthcare program. </w:t>
      </w:r>
    </w:p>
    <w:p>
      <w:pPr>
        <w:pStyle w:val="TextBody"/>
        <w:bidi w:val="0"/>
        <w:spacing w:before="120" w:after="0"/>
        <w:jc w:val="left"/>
        <w:rPr>
          <w:rFonts w:ascii="Times New Roman" w:hAnsi="Times New Roman"/>
          <w:sz w:val="20"/>
        </w:rPr>
      </w:pPr>
      <w:r>
        <w:rPr>
          <w:rFonts w:ascii="Times New Roman" w:hAnsi="Times New Roman"/>
          <w:sz w:val="20"/>
        </w:rPr>
        <w:t xml:space="preserve">(aaa) </w:t>
      </w:r>
      <w:r>
        <w:rPr>
          <w:rFonts w:ascii="Times New Roman" w:hAnsi="Times New Roman"/>
          <w:sz w:val="20"/>
          <w:u w:val="single"/>
        </w:rPr>
        <w:t>Healthcare Product Manufacturing</w:t>
      </w:r>
      <w:r>
        <w:rPr>
          <w:rFonts w:ascii="Times New Roman" w:hAnsi="Times New Roman"/>
          <w:sz w:val="20"/>
        </w:rPr>
        <w:t xml:space="preserve">. The manufacture of the Company’s and its subsidiaries’ products and product candidates by or on behalf of the Company and its subsidiaries is being conducted in compliance with all applicable Healthcare Laws, except where the failure to so comply would not, whether individually or in the aggregate, reasonably be expected to result in a Material Adverse Change. Except in each case as would not, whether individually or in the aggregate, reasonably be expected to result in a Material Adverse Change, neither the Company nor any of its subsidiaries has had any manufacturing site (whether Company-owned, subsidiary-owned or that of a third party manufacturer for the Company’s or its subsidiaries’ product candidates) subject to a governmental authority (including FDA) shutdown or import or export prohibition, nor received any written requests or demands to make changes to the Company’s or its subsidiaries’ product candidates, processes or operations. To the knowledge of the Company, neither the FDA nor any other comparable governmental authority has threatened such action.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 officer of the Company and delivered to TD Cowen or to counsel for TD Cowen pursuant to or in connection with this Agreement shall be deemed to be a representation and warranty by the Company to TD Cowen as to the matters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The Company acknowledges that TD Cowen and, for purposes of the opinions to be delivered pursuant to </w:t>
      </w:r>
      <w:r>
        <w:rPr>
          <w:rFonts w:ascii="Times New Roman" w:hAnsi="Times New Roman"/>
          <w:sz w:val="20"/>
          <w:u w:val="single"/>
        </w:rPr>
        <w:t>Section 7</w:t>
      </w:r>
      <w:r>
        <w:rPr>
          <w:rFonts w:ascii="Times New Roman" w:hAnsi="Times New Roman"/>
          <w:sz w:val="20"/>
        </w:rPr>
        <w:t xml:space="preserve"> hereof, counsel to the Company and counsel to TD Cowen, will rely upon the accuracy and truthfulness of the foregoing representations and hereby consents to such reliance.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7. </w:t>
      </w:r>
      <w:r>
        <w:rPr>
          <w:rFonts w:ascii="Times New Roman" w:hAnsi="Times New Roman"/>
          <w:sz w:val="20"/>
          <w:u w:val="single"/>
        </w:rPr>
        <w:t>Covenants of the Company</w:t>
      </w:r>
      <w:r>
        <w:rPr>
          <w:rFonts w:ascii="Times New Roman" w:hAnsi="Times New Roman"/>
          <w:sz w:val="20"/>
        </w:rPr>
        <w:t xml:space="preserve">. The Company covenants and agrees with TD Cowen that: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Registration Statement Amendments</w:t>
      </w:r>
      <w:r>
        <w:rPr>
          <w:rFonts w:ascii="Times New Roman" w:hAnsi="Times New Roman"/>
          <w:sz w:val="20"/>
        </w:rPr>
        <w:t>. After the date of this Agreement and during any period in which a Prospectus relating to any Placement Shares is required to be delivered by TD Cowen under the Securities Act (including in circumstances where such requirement may be satisfied pursuant to Rule 172 under the Securities Act), (i) insofar as it relates to the transactions contemplated hereby, the Company will notify TD Cowen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TD Cowen’s reasonable request, any amendments or supplements to the Registration Statement or Prospectus that, in TD Cowen’s reasonable opinion, may be necessary or advisable in connection with the distribution of the Placement Shares by TD Cowen (</w:t>
      </w:r>
      <w:r>
        <w:rPr>
          <w:rFonts w:ascii="Times New Roman" w:hAnsi="Times New Roman"/>
          <w:i/>
          <w:sz w:val="20"/>
        </w:rPr>
        <w:t>provided, however</w:t>
      </w:r>
      <w:r>
        <w:rPr>
          <w:rFonts w:ascii="Times New Roman" w:hAnsi="Times New Roman"/>
          <w:sz w:val="20"/>
        </w:rPr>
        <w:t xml:space="preserve">, that the failure of TD Cowen to make such request shall not relieve the Company of any obligation or liability hereunder, or affect TD Cowen’s right to rely on the representations and warranties made by the Company in this Agreement and </w:t>
      </w:r>
      <w:r>
        <w:rPr>
          <w:rFonts w:ascii="Times New Roman" w:hAnsi="Times New Roman"/>
          <w:i/>
          <w:sz w:val="20"/>
        </w:rPr>
        <w:t>provided further</w:t>
      </w:r>
      <w:r>
        <w:rPr>
          <w:rFonts w:ascii="Times New Roman" w:hAnsi="Times New Roman"/>
          <w:sz w:val="20"/>
        </w:rPr>
        <w:t>, that (other than TD Cowen’s right under Section 9 hereof) the only remedy TD Cowen shall have with respect to the failure by the Company to make such filing shall be to cease making sales under this Agreement until such amendment or supplement is filed); (iii) the Company will not file any amendment or supplement to the Registration Statement or Prospectus, other than documents incorporated by reference, relating to the Placement Shares or a security convertible into the Placement Shares unless a copy thereof has been submitted to TD Cowen within a reasonable period of time before the filing and TD Cowen has not reasonably objected thereto (</w:t>
      </w:r>
      <w:r>
        <w:rPr>
          <w:rFonts w:ascii="Times New Roman" w:hAnsi="Times New Roman"/>
          <w:i/>
          <w:sz w:val="20"/>
        </w:rPr>
        <w:t>provided, however</w:t>
      </w:r>
      <w:r>
        <w:rPr>
          <w:rFonts w:ascii="Times New Roman" w:hAnsi="Times New Roman"/>
          <w:sz w:val="20"/>
        </w:rPr>
        <w:t xml:space="preserve">, that the failure of TD Cowen to make such objection shall not relieve the Company of any obligation or liability hereunder, or affect TD Cowen’s right to rely on the representations and warranties made by the Company in this Agreement and </w:t>
      </w:r>
      <w:r>
        <w:rPr>
          <w:rFonts w:ascii="Times New Roman" w:hAnsi="Times New Roman"/>
          <w:i/>
          <w:sz w:val="20"/>
        </w:rPr>
        <w:t>provided further</w:t>
      </w:r>
      <w:r>
        <w:rPr>
          <w:rFonts w:ascii="Times New Roman" w:hAnsi="Times New Roman"/>
          <w:sz w:val="20"/>
        </w:rPr>
        <w:t xml:space="preserve">, that (other than TD Cowen’s right under Section 9 hereof) the only remedy TD Cowen shall have with respect to the failure by the Company to obtain such consent shall be to cease making sales under this Agreement until such amendment or supplement is filed) and the Company will furnish to TD Cowen at the time of filing thereof a copy of any document that upon filing is deemed to be incorporated by reference into the Registration Statement or Prospectus, except for those documents available via EDGAR; (iv) the Company will cause each amendment or supplement to the Prospectus, other than documents incorporated by reference, to be filed with the Commission as required pursuant to the applicable paragraph of Rule 424(b) of the Securities Act, and (v) prior to the termination of this Agreement, the Company will notify TD Cowen if at any time the Registration Statement shall no longer be effective as a result of the passage of time pursuant to Rule 415 under the Securities Act or otherwise. Prior to the initial sale of any Placement Shares, the Company shall file a final Prospectus Supplement pursuant to Rule 424(b) relating to the Placement Shares.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Notice of Commission Stop Orders</w:t>
      </w:r>
      <w:r>
        <w:rPr>
          <w:rFonts w:ascii="Times New Roman" w:hAnsi="Times New Roman"/>
          <w:sz w:val="20"/>
        </w:rPr>
        <w:t xml:space="preserve">. The Company will advise TD Cowen,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sz w:val="20"/>
          <w:u w:val="single"/>
        </w:rPr>
        <w:t>Delivery of Prospectus; Subsequent Changes</w:t>
      </w:r>
      <w:r>
        <w:rPr>
          <w:rFonts w:ascii="Times New Roman" w:hAnsi="Times New Roman"/>
          <w:sz w:val="20"/>
        </w:rPr>
        <w:t xml:space="preserve">. During any period in which a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comply with all requirements imposed upon it by the Securities Act, as from time to time in force, and to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TD Cowen to suspend the offering of Placement Shares during such period and the Company will promptly amend or supplement the Registration Statement or Prospectus (at the expense of the Company) so as to correct such statement or omission or effect such compliance.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Listing of Placement Shares</w:t>
      </w:r>
      <w:r>
        <w:rPr>
          <w:rFonts w:ascii="Times New Roman" w:hAnsi="Times New Roman"/>
          <w:sz w:val="20"/>
        </w:rPr>
        <w:t xml:space="preserve">. During any period in which the Prospectus relating to the Placement Shares is required to be delivered by TD Cowen under the Securities Act with respect to a pending sale of the Placement Shares (including in circumstances where such requirement may be satisfied pursuant to Rule 172 under the Securities Act), the Company will use its commercially reasonable efforts to cause the Placement Shares to be listed on Nasdaq and to qualify the Placement Shares for sale under the securities laws of such jurisdictions as TD Cowen reasonably designates and to continue such qualifications in effect so long as required for the distribution of the Placement Shares; </w:t>
      </w:r>
      <w:r>
        <w:rPr>
          <w:rFonts w:ascii="Times New Roman" w:hAnsi="Times New Roman"/>
          <w:i/>
          <w:sz w:val="20"/>
        </w:rPr>
        <w:t>provided, however,</w:t>
      </w:r>
      <w:r>
        <w:rPr>
          <w:rFonts w:ascii="Times New Roman" w:hAnsi="Times New Roman"/>
          <w:sz w:val="20"/>
        </w:rPr>
        <w:t xml:space="preserve"> that the Company shall not be required in connection therewith to qualify as a foreign corporation or dealer in securities or file a general consent to service of process in any jurisdiction.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Delivery of Registration Statement and Prospectus</w:t>
      </w:r>
      <w:r>
        <w:rPr>
          <w:rFonts w:ascii="Times New Roman" w:hAnsi="Times New Roman"/>
          <w:sz w:val="20"/>
        </w:rPr>
        <w:t xml:space="preserve">. The Company will furnish to TD Cowen and its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TD Cowen may from time to time reasonably request and, at TD Cowen’s request, will also furnish copies of the Prospectus to each exchange or market on which sales of the Placement Shares may be made; </w:t>
      </w:r>
      <w:r>
        <w:rPr>
          <w:rFonts w:ascii="Times New Roman" w:hAnsi="Times New Roman"/>
          <w:i/>
          <w:sz w:val="20"/>
        </w:rPr>
        <w:t>provided, however,</w:t>
      </w:r>
      <w:r>
        <w:rPr>
          <w:rFonts w:ascii="Times New Roman" w:hAnsi="Times New Roman"/>
          <w:sz w:val="20"/>
        </w:rPr>
        <w:t xml:space="preserve"> that the Company shall not be required to furnish any document (other than the Prospectus) to TD Cowen to the extent such document is available on EDGAR.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Earnings Statement</w:t>
      </w:r>
      <w:r>
        <w:rPr>
          <w:rFonts w:ascii="Times New Roman" w:hAnsi="Times New Roman"/>
          <w:sz w:val="20"/>
        </w:rPr>
        <w:t xml:space="preserve">.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w:t>
      </w:r>
      <w:r>
        <w:rPr>
          <w:rFonts w:ascii="Times New Roman" w:hAnsi="Times New Roman"/>
          <w:sz w:val="20"/>
          <w:u w:val="single"/>
        </w:rPr>
        <w:t>Expenses</w:t>
      </w:r>
      <w:r>
        <w:rPr>
          <w:rFonts w:ascii="Times New Roman" w:hAnsi="Times New Roman"/>
          <w:sz w:val="20"/>
        </w:rPr>
        <w:t xml:space="preserve">. The Company, whether or not the transactions contemplated hereunder are consummated or this Agreement is terminated, in accordance with the provisions of Section 11 hereunder, will pay the following expenses all incident to the performance of its obligations hereunder, including, but not limited to, expenses relating to (i) the preparation, printing and filing of the Registration Statement and each amendment and supplement thereto, of each Prospectus and of each amendment and supplement thereto, (ii) the preparation, issuance and delivery of the Placement Shares, (iii) the qualification of the Placement Shares under securities laws in accordance with the provisions of </w:t>
      </w:r>
      <w:r>
        <w:rPr>
          <w:rFonts w:ascii="Times New Roman" w:hAnsi="Times New Roman"/>
          <w:sz w:val="20"/>
          <w:u w:val="single"/>
        </w:rPr>
        <w:t>Section 7(d)</w:t>
      </w:r>
      <w:r>
        <w:rPr>
          <w:rFonts w:ascii="Times New Roman" w:hAnsi="Times New Roman"/>
          <w:sz w:val="20"/>
        </w:rPr>
        <w:t xml:space="preserve"> of this Agreement, including filing fees (provided, however, that any fees or disbursements of counsel for TD Cowen in connection therewith shall be paid by TD Cowen except as set forth in (vii) below), (iv) the printing and delivery to TD Cowen of copies of the Prospectus and any amendments or supplements thereto, and of this Agreement, (v) the fees and expenses incurred in connection with the listing or qualification of the Placement Shares for trading on Nasdaq, (vi) the filing fees and expenses, if any, of the Commission, (vii) the filing fees and associated legal expenses of TD Cowen’s outside counsel for filings with the FINRA Corporate Financing Department, and (viii) the reasonable fees and disbursements of TD Cowen’s counsel in amounts not to exceed (A) $100,000 in connection with execution of this Agreement and (B) $25,000 in connection with each Bring-Down Date with respect to which the Company is obligated to deliver a certificate pursuant to Section 7(m), for which no waiver is applicable.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Use of Proceeds</w:t>
      </w:r>
      <w:r>
        <w:rPr>
          <w:rFonts w:ascii="Times New Roman" w:hAnsi="Times New Roman"/>
          <w:sz w:val="20"/>
        </w:rPr>
        <w:t xml:space="preserve">. The Company will use the Net Proceeds as described in the Prospectus in the section entitled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Notice of Other Sales</w:t>
      </w:r>
      <w:r>
        <w:rPr>
          <w:rFonts w:ascii="Times New Roman" w:hAnsi="Times New Roman"/>
          <w:sz w:val="20"/>
        </w:rPr>
        <w:t xml:space="preserve">. During the pendency of any Placement Notice given hereunder, and for 5 trading days following the termination of any Placement Notice given hereunder, the Company shall provide TD Cowen notice as promptly as reasonably possible before it offers to sell, contracts to sell, sells, grants any option to sell or otherwise disposes of any shares of Common Stock (other than Placement Shares offered pursuant to the provisions of this Agreement) or securities convertible into or exchangeable for Common Stock, warrants or any rights to purchase or acquire Common Stock; </w:t>
      </w:r>
      <w:r>
        <w:rPr>
          <w:rFonts w:ascii="Times New Roman" w:hAnsi="Times New Roman"/>
          <w:i/>
          <w:sz w:val="20"/>
        </w:rPr>
        <w:t>provided</w:t>
      </w:r>
      <w:r>
        <w:rPr>
          <w:rFonts w:ascii="Times New Roman" w:hAnsi="Times New Roman"/>
          <w:sz w:val="20"/>
        </w:rPr>
        <w:t xml:space="preserve">, that such notice shall not be required in connection with the (i) issuance, grant or sale of Common Stock, options to purchase shares of Common Stock or any other equity awards, or Common Stock issuable upon the exercise, vesting or exchange of options or other equity awards, pursuant to any stock option, stock bonus or other stock plan or arrangement described in the Prospectus, (ii) the issuance of securities in connection with an acquisition, merger or sale or purchase of assets or (iii) the issuance or sale of Common Stock pursuant to any dividend reinvestment plan that the Company may adopt from time to time provided the implementation of such is disclosed to TD Cowen in advance or (iv) any shares of common stock issuable upon the exchange, conversion or redemption of securities or the exercise of warrants, options or other rights in effect or outstanding or otherwise disclosed in writing to TD Cowen prior to the date of the applicable Placement Notice or (v) the issuance or sale of Common Stock, or securities convertible into or exercisable for Common Stock, offered and sold in a privately negotiated transaction to vendors, customers, strategic partners or potential strategic partners conducted in a manner so as not to be integrated with the offering of Common Stock hereby. Notwithstanding the foregoing provisions, nothing herein shall be construed to restrict the Company’s ability, or require the Company to provide notice to TD Cowen, to file a registration statement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Change of Circumstances</w:t>
      </w:r>
      <w:r>
        <w:rPr>
          <w:rFonts w:ascii="Times New Roman" w:hAnsi="Times New Roman"/>
          <w:sz w:val="20"/>
        </w:rPr>
        <w:t xml:space="preserve">. The Company will, at any time during the pendency of a Placement Notice or upon delivery of a Placement Notice through the termination of a Placement Notice, advise TD Cowen promptly after it shall have received notice or obtained knowledge thereof, of any information or fact that would alter or affect in any material respect any opinion, certificate, letter or other document provided to TD Cowen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(k) </w:t>
      </w:r>
      <w:r>
        <w:rPr>
          <w:rFonts w:ascii="Times New Roman" w:hAnsi="Times New Roman"/>
          <w:sz w:val="20"/>
          <w:u w:val="single"/>
        </w:rPr>
        <w:t>Due Diligence Cooperation</w:t>
      </w:r>
      <w:r>
        <w:rPr>
          <w:rFonts w:ascii="Times New Roman" w:hAnsi="Times New Roman"/>
          <w:sz w:val="20"/>
        </w:rPr>
        <w:t xml:space="preserve">. The Company will cooperate with any reasonable due diligence review conducted by TD Cowen or its agents in connection with the transactions contemplated hereby, including, without limitation, providing information and making available documents and senior corporate officers, during regular business hours and at the Company’s principal offices, as TD Cowen may reasonably request.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sz w:val="20"/>
          <w:u w:val="single"/>
        </w:rPr>
        <w:t>Required Filings Relating to Placement of Placement Shares</w:t>
      </w:r>
      <w:r>
        <w:rPr>
          <w:rFonts w:ascii="Times New Roman" w:hAnsi="Times New Roman"/>
          <w:sz w:val="20"/>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 w:hAnsi="Times New Roman"/>
          <w:b/>
          <w:sz w:val="20"/>
          <w:u w:val="single"/>
        </w:rPr>
        <w:t>Filing Date</w:t>
      </w:r>
      <w:r>
        <w:rPr>
          <w:rFonts w:ascii="Times New Roman" w:hAnsi="Times New Roman"/>
          <w:sz w:val="20"/>
        </w:rPr>
        <w:t xml:space="preserve">”), which prospectus supplement will set forth, within the relevant period, the amount of Placement Shares sold through TD Cowen, the Net Proceeds to the Company and the compensation payable by the Company to TD Cowen with respect to such Placement Shares, and (ii) deliver such number of copies of each such prospectus supplement to each exchange or market on which such sales were effected as may be required by the rules or regulations of such exchange or market; </w:t>
      </w:r>
      <w:r>
        <w:rPr>
          <w:rFonts w:ascii="Times New Roman" w:hAnsi="Times New Roman"/>
          <w:i/>
          <w:sz w:val="20"/>
        </w:rPr>
        <w:t>provided, however</w:t>
      </w:r>
      <w:r>
        <w:rPr>
          <w:rFonts w:ascii="Times New Roman" w:hAnsi="Times New Roman"/>
          <w:sz w:val="20"/>
        </w:rPr>
        <w:t xml:space="preserve">, that, if not required under the Securities Act, in lieu of filing such prospectus supplement, the Company may include such information in its periodic reports filed under the Exchange Act. The Company shall disclose in its quarterly reports on Form 10-Q and in its annual report on Form 10-K, the number of the Placement Shares sold through TD Cowen under this Agreement and the Net Proceeds to the Company from the sale of the Placement Shares pursuant to this Agreement during the relevant quarter or, in the case of an Annual Report on Form 10-K, during the fiscal year covered by such Annual Report and the fourth quarter of such fiscal year.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sz w:val="20"/>
          <w:u w:val="single"/>
        </w:rPr>
        <w:t>Bring-Down Dates; Certificate</w:t>
      </w:r>
      <w:r>
        <w:rPr>
          <w:rFonts w:ascii="Times New Roman" w:hAnsi="Times New Roman"/>
          <w:sz w:val="20"/>
        </w:rPr>
        <w:t>. On or prior to the First Delivery Date and each time (i) the Company files the Prospectus relating to the Placement Shares or amends or supplements the Registration Statement or the Prospectus relating to the Placement Shares (other than a prospectus supplement filed in accordance with Section 7(l) of this Agreement) by means of a post-effective amendment, sticker, or supplement but not by means of incorporation of document(s) by reference to the Registration Statement or the Prospectus relating to the Placement Shares; (ii) the Company files an annual report on Form 10-K under the Exchange Act; (iii) the Company files its quarterly reports on Form 10-Q under the Exchange Act; or (iv) the Company files a report on Form 8-K containing amended financial information (other than an earnings release) under the Exchange Act (each date of filing of one or more of the documents referred to in clauses (i) through (iv) shall be a “</w:t>
      </w:r>
      <w:r>
        <w:rPr>
          <w:rFonts w:ascii="Times New Roman" w:hAnsi="Times New Roman"/>
          <w:b/>
          <w:sz w:val="20"/>
          <w:u w:val="single"/>
        </w:rPr>
        <w:t>Bring-Down Date</w:t>
      </w:r>
      <w:r>
        <w:rPr>
          <w:rFonts w:ascii="Times New Roman" w:hAnsi="Times New Roman"/>
          <w:sz w:val="20"/>
        </w:rPr>
        <w:t xml:space="preserve">”); the Company shall furnish TD Cowen with a certificate, in the form attached hereto as </w:t>
      </w:r>
      <w:r>
        <w:rPr>
          <w:rFonts w:ascii="Times New Roman" w:hAnsi="Times New Roman"/>
          <w:sz w:val="20"/>
          <w:u w:val="single"/>
        </w:rPr>
        <w:t>Exhibit 7(m)</w:t>
      </w:r>
      <w:r>
        <w:rPr>
          <w:rFonts w:ascii="Times New Roman" w:hAnsi="Times New Roman"/>
          <w:sz w:val="20"/>
        </w:rPr>
        <w:t xml:space="preserve"> within one (1) Trading Day of any Bring-Down Date if requested by TD Cowen. The requirement to provide a certificate under this Section 7(m) shall be waived for any Bring-Down Date occurring at a time at which no Placement Notice is pending, which waiver shall continue until the earlier to occur of the date the Company delivers a Placement Notice hereunder (which for such calendar quarter shall be considered a Bring-Down Date) and the next occurring Bring-Down Date. Notwithstanding the foregoing, if the Company subsequently decides to sell Placement Shares following a Bring-Down Date when the Company relied on such waiver and did not provide TD Cowen with a certificate under this </w:t>
      </w:r>
      <w:r>
        <w:rPr>
          <w:rFonts w:ascii="Times New Roman" w:hAnsi="Times New Roman"/>
          <w:sz w:val="20"/>
          <w:u w:val="single"/>
        </w:rPr>
        <w:t>Section 7(m)</w:t>
      </w:r>
      <w:r>
        <w:rPr>
          <w:rFonts w:ascii="Times New Roman" w:hAnsi="Times New Roman"/>
          <w:sz w:val="20"/>
        </w:rPr>
        <w:t xml:space="preserve">, then before the Company delivers the Placement Notice or TD Cowen sells any Placement Shares, the Company shall provide TD Cowen with a certificate, in the form attached hereto as </w:t>
      </w:r>
      <w:r>
        <w:rPr>
          <w:rFonts w:ascii="Times New Roman" w:hAnsi="Times New Roman"/>
          <w:sz w:val="20"/>
          <w:u w:val="single"/>
        </w:rPr>
        <w:t>Exhibit 7(m)</w:t>
      </w:r>
      <w:r>
        <w:rPr>
          <w:rFonts w:ascii="Times New Roman" w:hAnsi="Times New Roman"/>
          <w:sz w:val="20"/>
        </w:rPr>
        <w:t xml:space="preserve">, dated the date of the Placement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 </w:t>
      </w:r>
      <w:r>
        <w:rPr>
          <w:rFonts w:ascii="Times New Roman" w:hAnsi="Times New Roman"/>
          <w:sz w:val="20"/>
          <w:u w:val="single"/>
        </w:rPr>
        <w:t>Legal Opinion</w:t>
      </w:r>
      <w:r>
        <w:rPr>
          <w:rFonts w:ascii="Times New Roman" w:hAnsi="Times New Roman"/>
          <w:sz w:val="20"/>
        </w:rPr>
        <w:t xml:space="preserve">. On or prior to the First Delivery Date and within one (1) Trading Day of each Bring-Down Date with respect to which the Company is obligated to deliver a certificate in the form attached hereto as </w:t>
      </w:r>
      <w:r>
        <w:rPr>
          <w:rFonts w:ascii="Times New Roman" w:hAnsi="Times New Roman"/>
          <w:sz w:val="20"/>
          <w:u w:val="single"/>
        </w:rPr>
        <w:t>Exhibit 7(m)</w:t>
      </w:r>
      <w:r>
        <w:rPr>
          <w:rFonts w:ascii="Times New Roman" w:hAnsi="Times New Roman"/>
          <w:sz w:val="20"/>
        </w:rPr>
        <w:t xml:space="preserve"> for which no waiver is applicable, the Company shall cause to be furnished to TD Cowen a written opinion of Latham &amp; Watkins LLP (“</w:t>
      </w:r>
      <w:r>
        <w:rPr>
          <w:rFonts w:ascii="Times New Roman" w:hAnsi="Times New Roman"/>
          <w:sz w:val="20"/>
          <w:u w:val="single"/>
        </w:rPr>
        <w:t>Company Counsel</w:t>
      </w:r>
      <w:r>
        <w:rPr>
          <w:rFonts w:ascii="Times New Roman" w:hAnsi="Times New Roman"/>
          <w:sz w:val="20"/>
        </w:rPr>
        <w:t xml:space="preserve">”), or other counsel reasonably satisfactory to TD Cowen, in form and substance reasonably satisfactory to TD Cowen and its counsel, dated the date that the opinion is required to be delivered, modified, as necessary, to relate to the Registration Statement and the Prospectus as then amended or supplemented;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in lieu of such opinions for subsequent Bring-Down Dates, Company Counsel may furnish TD Cowen with a letter (a “</w:t>
      </w:r>
      <w:r>
        <w:rPr>
          <w:rFonts w:ascii="Times New Roman" w:hAnsi="Times New Roman"/>
          <w:b/>
          <w:sz w:val="20"/>
          <w:u w:val="single"/>
        </w:rPr>
        <w:t>Reliance Letter</w:t>
      </w:r>
      <w:r>
        <w:rPr>
          <w:rFonts w:ascii="Times New Roman" w:hAnsi="Times New Roman"/>
          <w:sz w:val="20"/>
        </w:rPr>
        <w:t xml:space="preserve">”) to the effect that TD Cowen may rely on a prior opinion delivered under this </w:t>
      </w:r>
      <w:r>
        <w:rPr>
          <w:rFonts w:ascii="Times New Roman" w:hAnsi="Times New Roman"/>
          <w:sz w:val="20"/>
          <w:u w:val="single"/>
        </w:rPr>
        <w:t>Section 7(n)</w:t>
      </w:r>
      <w:r>
        <w:rPr>
          <w:rFonts w:ascii="Times New Roman" w:hAnsi="Times New Roman"/>
          <w:sz w:val="20"/>
        </w:rPr>
        <w:t xml:space="preserve"> to the same extent as if it were dated the date of such letter (except that statements in such prior opinion shall be deemed to relate to the Registration Statement and the Prospectus as amended or supplemented at such Bring-Down Date).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Intellectual Property Opinion</w:t>
      </w:r>
      <w:r>
        <w:rPr>
          <w:rFonts w:ascii="Times New Roman" w:hAnsi="Times New Roman"/>
          <w:sz w:val="20"/>
        </w:rPr>
        <w:t xml:space="preserve">. On or prior to the First Delivery Date and within one (1) Trading Day of each Bring-Down Date with respect to which the Company is obligated to deliver a certificate pursuant to </w:t>
      </w:r>
      <w:r>
        <w:rPr>
          <w:rFonts w:ascii="Times New Roman" w:hAnsi="Times New Roman"/>
          <w:sz w:val="20"/>
          <w:u w:val="single"/>
        </w:rPr>
        <w:t>Section 7(m)</w:t>
      </w:r>
      <w:r>
        <w:rPr>
          <w:rFonts w:ascii="Times New Roman" w:hAnsi="Times New Roman"/>
          <w:sz w:val="20"/>
        </w:rPr>
        <w:t xml:space="preserve"> (other than pursuant to </w:t>
      </w:r>
      <w:r>
        <w:rPr>
          <w:rFonts w:ascii="Times New Roman" w:hAnsi="Times New Roman"/>
          <w:sz w:val="20"/>
          <w:u w:val="single"/>
        </w:rPr>
        <w:t>Section 7(m)(iii)</w:t>
      </w:r>
      <w:r>
        <w:rPr>
          <w:rFonts w:ascii="Times New Roman" w:hAnsi="Times New Roman"/>
          <w:sz w:val="20"/>
        </w:rPr>
        <w:t>) and for which no waiver is applicable, the Company shall cause to be furnished to TD Cowen a written opinion of Sterne, Kessler, Goldstein &amp; Fox P.L.L.C. (“</w:t>
      </w:r>
      <w:r>
        <w:rPr>
          <w:rFonts w:ascii="Times New Roman" w:hAnsi="Times New Roman"/>
          <w:b/>
          <w:sz w:val="20"/>
          <w:u w:val="single"/>
        </w:rPr>
        <w:t>Company IP Counsel</w:t>
      </w:r>
      <w:r>
        <w:rPr>
          <w:rFonts w:ascii="Times New Roman" w:hAnsi="Times New Roman"/>
          <w:sz w:val="20"/>
        </w:rPr>
        <w:t xml:space="preserve">”), or other counsel reasonably satisfactory to TD Cowen, in form and substance reasonably satisfactory to TD Cowen and its counsel, substantially similar to the form previously provided to TD Cowen and its counsel, modified, as necessary, to relate to the Registration Statement and the Prospectus as then amended or supplemented and dated as of the date that such certificate is required to be delivered; </w:t>
      </w:r>
      <w:r>
        <w:rPr>
          <w:rFonts w:ascii="Times New Roman" w:hAnsi="Times New Roman"/>
          <w:i/>
          <w:sz w:val="20"/>
        </w:rPr>
        <w:t>provided, however</w:t>
      </w:r>
      <w:r>
        <w:rPr>
          <w:rFonts w:ascii="Times New Roman" w:hAnsi="Times New Roman"/>
          <w:sz w:val="20"/>
        </w:rPr>
        <w:t xml:space="preserve">, that the Company shall be required to furnish to TD Cowen no more than one opinion hereunder per calendar year;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in lieu of such opinions for subsequent Bring-Down Dates on which Company IP Counsel is obligated to deliver an opinion hereunder, counsel may furnish TD Cowen with a letter (an “</w:t>
      </w:r>
      <w:r>
        <w:rPr>
          <w:rFonts w:ascii="Times New Roman" w:hAnsi="Times New Roman"/>
          <w:b/>
          <w:sz w:val="20"/>
          <w:u w:val="single"/>
        </w:rPr>
        <w:t>IP Reliance Letter</w:t>
      </w:r>
      <w:r>
        <w:rPr>
          <w:rFonts w:ascii="Times New Roman" w:hAnsi="Times New Roman"/>
          <w:sz w:val="20"/>
        </w:rPr>
        <w:t xml:space="preserve">”) to the effect that TD Cowen may rely on a prior opinion delivered under this </w:t>
      </w:r>
      <w:r>
        <w:rPr>
          <w:rFonts w:ascii="Times New Roman" w:hAnsi="Times New Roman"/>
          <w:sz w:val="20"/>
          <w:u w:val="single"/>
        </w:rPr>
        <w:t>Section 7(o)</w:t>
      </w:r>
      <w:r>
        <w:rPr>
          <w:rFonts w:ascii="Times New Roman" w:hAnsi="Times New Roman"/>
          <w:sz w:val="20"/>
        </w:rPr>
        <w:t xml:space="preserve"> to the same extent as if it were dated the date of such letter (except that statements in such prior opinion shall be deemed to relate to the Registration Statement and the Prospectus as amended or supplemented as of the date of the IP Reliance Letter).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Comfort Letter</w:t>
      </w:r>
      <w:r>
        <w:rPr>
          <w:rFonts w:ascii="Times New Roman" w:hAnsi="Times New Roman"/>
          <w:sz w:val="20"/>
        </w:rPr>
        <w:t xml:space="preserve">. On or prior to the First Delivery Date and within one (1) Trading Day of each Bring-Down Date with respect to which the Company is obligated to deliver a certificate in the form attached hereto as </w:t>
      </w:r>
      <w:r>
        <w:rPr>
          <w:rFonts w:ascii="Times New Roman" w:hAnsi="Times New Roman"/>
          <w:sz w:val="20"/>
          <w:u w:val="single"/>
        </w:rPr>
        <w:t>Exhibit 7(m)</w:t>
      </w:r>
      <w:r>
        <w:rPr>
          <w:rFonts w:ascii="Times New Roman" w:hAnsi="Times New Roman"/>
          <w:sz w:val="20"/>
        </w:rPr>
        <w:t xml:space="preserve"> for which no waiver is applicable, the Company shall cause its independent accountants to furnish TD Cowen letters (the “</w:t>
      </w:r>
      <w:r>
        <w:rPr>
          <w:rFonts w:ascii="Times New Roman" w:hAnsi="Times New Roman"/>
          <w:b/>
          <w:sz w:val="20"/>
          <w:u w:val="single"/>
        </w:rPr>
        <w:t>Comfort Letters</w:t>
      </w:r>
      <w:r>
        <w:rPr>
          <w:rFonts w:ascii="Times New Roman" w:hAnsi="Times New Roman"/>
          <w:sz w:val="20"/>
        </w:rPr>
        <w:t>”), dated the date the Comfort Letter is delivered, in form and substance reasonably satisfactory to TD Cowen, (i) confirming that they are an independent registered public accounting firm within the meaning of the Securities Act and the Public Company Accounting Oversight Board, (ii) stating, as of such date, the conclusions and findings of such firm with respect to the financial information and other matters ordinarily covered by accountants’ “comfort letters” to TD Cowen in connection with registered public offerings (the first such letter, the “</w:t>
      </w:r>
      <w:r>
        <w:rPr>
          <w:rFonts w:ascii="Times New Roman" w:hAnsi="Times New Roman"/>
          <w:b/>
          <w:sz w:val="20"/>
          <w:u w:val="single"/>
        </w:rPr>
        <w:t>Initial Comfort Letter</w:t>
      </w:r>
      <w:r>
        <w:rPr>
          <w:rFonts w:ascii="Times New Roman" w:hAnsi="Times New Roman"/>
          <w:sz w:val="20"/>
        </w:rPr>
        <w:t xml:space="preserve">”)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(q) </w:t>
      </w:r>
      <w:r>
        <w:rPr>
          <w:rFonts w:ascii="Times New Roman" w:hAnsi="Times New Roman"/>
          <w:sz w:val="20"/>
          <w:u w:val="single"/>
        </w:rPr>
        <w:t>Market Activities</w:t>
      </w:r>
      <w:r>
        <w:rPr>
          <w:rFonts w:ascii="Times New Roman" w:hAnsi="Times New Roman"/>
          <w:sz w:val="20"/>
        </w:rPr>
        <w:t xml:space="preserve">. The Company will not, directly or indirectly, (i) take any action designed to cause or result in, or that constitutes or might reasonably be expected to constitute, the stabilization or manipulation of the price of any security of the Company to facilitate the sale or resale of the Placement Shares or (ii) sell, bid for, or purchase the Common Stock to be issued and sold pursuant to this Agreement, or pay anyone any compensation for soliciting purchases of the Placement Shares other than TD Cowen; </w:t>
      </w:r>
      <w:r>
        <w:rPr>
          <w:rFonts w:ascii="Times New Roman" w:hAnsi="Times New Roman"/>
          <w:i/>
          <w:sz w:val="20"/>
        </w:rPr>
        <w:t>provided, however</w:t>
      </w:r>
      <w:r>
        <w:rPr>
          <w:rFonts w:ascii="Times New Roman" w:hAnsi="Times New Roman"/>
          <w:sz w:val="20"/>
        </w:rPr>
        <w:t xml:space="preserve">, that the Company may bid for and purchase shares of its common stock in accordance with Rule 10b-18 under the Exchange Act.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sz w:val="20"/>
          <w:u w:val="single"/>
        </w:rPr>
        <w:t>Insurance</w:t>
      </w:r>
      <w:r>
        <w:rPr>
          <w:rFonts w:ascii="Times New Roman" w:hAnsi="Times New Roman"/>
          <w:sz w:val="20"/>
        </w:rPr>
        <w:t xml:space="preserve">. The Company and its subsidiaries shall use commercially reasonable efforts to maintain, or cause to be maintained, insurance in such amounts and covering such risks as is reasonable and customary for the business for which it is engaged.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sz w:val="20"/>
          <w:u w:val="single"/>
        </w:rPr>
        <w:t>Compliance with Laws</w:t>
      </w:r>
      <w:r>
        <w:rPr>
          <w:rFonts w:ascii="Times New Roman" w:hAnsi="Times New Roman"/>
          <w:sz w:val="20"/>
        </w:rPr>
        <w:t xml:space="preserve">. The Company and each of its subsidiaries shall maintain, or cause to be maintained, all material environmental permits, licenses and other authorizations required by federal, state and local law in order to conduct their businesses as described in the Prospectus, and the Company and each of its subsidiaries shall conduct their businesses, or cause their businesses to be conducted, in substantial compliance with such permits, licenses and authorizations and with applicable environmental laws, except where the failure to maintain or be in compliance with such permits, licenses and authorizations could not reasonably be expected to result in a Material Adverse Change. </w:t>
      </w:r>
    </w:p>
    <w:p>
      <w:pPr>
        <w:pStyle w:val="TextBody"/>
        <w:bidi w:val="0"/>
        <w:spacing w:before="120" w:after="0"/>
        <w:jc w:val="left"/>
        <w:rPr>
          <w:rFonts w:ascii="Times New Roman" w:hAnsi="Times New Roman"/>
          <w:sz w:val="20"/>
        </w:rPr>
      </w:pPr>
      <w:r>
        <w:rPr>
          <w:rFonts w:ascii="Times New Roman" w:hAnsi="Times New Roman"/>
          <w:sz w:val="20"/>
        </w:rPr>
        <w:t>(t) </w:t>
      </w:r>
      <w:r>
        <w:rPr>
          <w:rFonts w:ascii="Times New Roman" w:hAnsi="Times New Roman"/>
          <w:sz w:val="20"/>
          <w:u w:val="single"/>
        </w:rPr>
        <w:t>Investment Company Act</w:t>
      </w:r>
      <w:r>
        <w:rPr>
          <w:rFonts w:ascii="Times New Roman" w:hAnsi="Times New Roman"/>
          <w:sz w:val="20"/>
        </w:rPr>
        <w:t xml:space="preserve">. The Company will conduct its affairs in such a manner so as to reasonably ensure that neither it nor its subsidiaries will be or become, at any time prior to the termination of this Agreement, an “investment company,” as such term is defined in the Investment Company Act, assuming no change in the Commission’s current interpretation as to entities that are not considered an investment company.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sz w:val="20"/>
          <w:u w:val="single"/>
        </w:rPr>
        <w:t>Securities Act and Exchange Act</w:t>
      </w:r>
      <w:r>
        <w:rPr>
          <w:rFonts w:ascii="Times New Roman" w:hAnsi="Times New Roman"/>
          <w:sz w:val="20"/>
        </w:rPr>
        <w:t xml:space="preserve">. The Company will use its commercially reasonable efforts to comply with all requirements imposed upon it by the Securities Act and the Exchange Act as from time to time in force, so far as necessary to permit the continuance of sales of, or dealings in, the Placement Shares as contemplated by the provisions hereof and the Prospectus.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No Offer to Sell</w:t>
      </w:r>
      <w:r>
        <w:rPr>
          <w:rFonts w:ascii="Times New Roman" w:hAnsi="Times New Roman"/>
          <w:sz w:val="20"/>
        </w:rPr>
        <w:t xml:space="preserve">. Other than the Prospectus and a free writing prospectus (as defined in Rule 405 under the Securities Act) approved in advance by the Company and TD Cowen in its capacity as principal or agent hereunder, neither TD Cowen nor the Company (including its agents and representatives, other than TD Cowen in its capacity as such) will make, use, prepare, authorize, approve or refer to any written communication (as defined in Rule 405 under the Securities Act), required to be filed with the Commission, that constitutes an offer to sell or solicitation of an offer to buy Common Stock hereunder. </w:t>
      </w:r>
    </w:p>
    <w:p>
      <w:pPr>
        <w:pStyle w:val="TextBody"/>
        <w:bidi w:val="0"/>
        <w:spacing w:before="12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Sarbanes-Oxley Act</w:t>
      </w:r>
      <w:r>
        <w:rPr>
          <w:rFonts w:ascii="Times New Roman" w:hAnsi="Times New Roman"/>
          <w:sz w:val="20"/>
        </w:rPr>
        <w:t xml:space="preserve">. The Company and its subsidiaries will use their commercially reasonable efforts to comply with all effective applicable provisions of the Sarbanes-Oxley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(x) </w:t>
      </w:r>
      <w:r>
        <w:rPr>
          <w:rFonts w:ascii="Times New Roman" w:hAnsi="Times New Roman"/>
          <w:sz w:val="20"/>
          <w:u w:val="single"/>
        </w:rPr>
        <w:t>Affirmation</w:t>
      </w:r>
      <w:r>
        <w:rPr>
          <w:rFonts w:ascii="Times New Roman" w:hAnsi="Times New Roman"/>
          <w:sz w:val="20"/>
        </w:rPr>
        <w:t xml:space="preserve">. Each Placement Notice delivered by the Company to TD Cowen shall be deemed to be (i) an affirmation that the representations, warranties and agreements of the Company herein contained and contained in any certificate delivered to TD Cowen pursuant hereto are true and correct at the time of delivery of such Placement Notice, and (ii) an undertaking that such representations, warranties and agreements will be true and correct on any applicable Time of Sale and Settlement Date, as though made at and as of each such time (it being understood that such representations, warranties and agreements shall relate to the Registration Statement and the Prospectus as amended and supplemented to the time of such Placement Notice acceptance).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sz w:val="20"/>
          <w:u w:val="single"/>
        </w:rPr>
        <w:t>Renewal</w:t>
      </w:r>
      <w:r>
        <w:rPr>
          <w:rFonts w:ascii="Times New Roman" w:hAnsi="Times New Roman"/>
          <w:sz w:val="20"/>
        </w:rPr>
        <w:t>. If immediately prior to the third anniversary (the “</w:t>
      </w:r>
      <w:r>
        <w:rPr>
          <w:rFonts w:ascii="Times New Roman" w:hAnsi="Times New Roman"/>
          <w:b/>
          <w:sz w:val="20"/>
          <w:u w:val="single"/>
        </w:rPr>
        <w:t>Renewal Deadline</w:t>
      </w:r>
      <w:r>
        <w:rPr>
          <w:rFonts w:ascii="Times New Roman" w:hAnsi="Times New Roman"/>
          <w:sz w:val="20"/>
        </w:rPr>
        <w:t xml:space="preserve">”) of the initial effective date of the Registration Statement, the aggregate gross sales price of Placement Shares sold by the Company is less than the Maximum Amount and this Agreement has not expired or been terminated, the Company will, prior to the Renewal Deadline, file, if it has not already done so and is eligible to do so, a new shelf registration statement relating to the Placement Shares in a form reasonably satisfactory to TD Cowen, and, if not automatically effective, will use commercially reasonable efforts to cause such registration statement to be declared effective. The Company will take all other action necessary or appropriate to permit the issuance and sale of the Placement Shares to continue as contemplated in the expired registration statement relating to the Placement Shares. References herein to the Registration Statement shall include such new shelf registration statement. </w:t>
      </w:r>
    </w:p>
    <w:p>
      <w:pPr>
        <w:pStyle w:val="TextBody"/>
        <w:bidi w:val="0"/>
        <w:spacing w:before="120" w:after="0"/>
        <w:jc w:val="left"/>
        <w:rPr>
          <w:rFonts w:ascii="Times New Roman" w:hAnsi="Times New Roman"/>
          <w:sz w:val="20"/>
        </w:rPr>
      </w:pPr>
      <w:r>
        <w:rPr>
          <w:rFonts w:ascii="Times New Roman" w:hAnsi="Times New Roman"/>
          <w:sz w:val="20"/>
        </w:rPr>
        <w:t>8. </w:t>
      </w:r>
      <w:r>
        <w:rPr>
          <w:rFonts w:ascii="Times New Roman" w:hAnsi="Times New Roman"/>
          <w:sz w:val="20"/>
          <w:u w:val="single"/>
        </w:rPr>
        <w:t>Conditions to TD Cowen’s Obligations</w:t>
      </w:r>
      <w:r>
        <w:rPr>
          <w:rFonts w:ascii="Times New Roman" w:hAnsi="Times New Roman"/>
          <w:sz w:val="20"/>
        </w:rPr>
        <w:t xml:space="preserve">. The obligations of TD Cowen hereunder with respect to a Placement Notice will be subject to the continuing accuracy and completeness of the representations and warranties made by the Company herein, to the due performance by the Company of its obligations hereunder and thereunder, to the completion by TD Cowen of a due diligence review satisfactory to TD Cowen in its reasonable judgment, and to the continuing satisfaction (or waiver by TD Cowen in its sole discretion)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Registration Statement Effective</w:t>
      </w:r>
      <w:r>
        <w:rPr>
          <w:rFonts w:ascii="Times New Roman" w:hAnsi="Times New Roman"/>
          <w:sz w:val="20"/>
        </w:rPr>
        <w:t xml:space="preserve">. The Registration Statement shall be effective and shall be available for (i) all sales of Placement Shares issued pursuant to all prior Placement Notices and (ii) the sale of all Placement Shares contemplated to be issued pursuant to any Placement Notice.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No Material Notices</w:t>
      </w:r>
      <w:r>
        <w:rPr>
          <w:rFonts w:ascii="Times New Roman" w:hAnsi="Times New Roman"/>
          <w:sz w:val="20"/>
        </w:rPr>
        <w:t xml:space="preserve">.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related Prospectus or such documents so that, in the case of the Registration Statement, it will not contain any materially untrue statement of a material fact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No Misstatement or Material Omission</w:t>
      </w:r>
      <w:r>
        <w:rPr>
          <w:rFonts w:ascii="Times New Roman" w:hAnsi="Times New Roman"/>
          <w:sz w:val="20"/>
        </w:rPr>
        <w:t xml:space="preserve">. TD Cowen shall not have advised the Company that the Registration Statement or Prospectus, or any amendment or supplement thereto, contains an untrue statement of fact that in TD Cowen’s reasonable opinion is material, or omits to state a fact that in TD Cowen’s opinion is material and is required to be stated therein or is necessary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Material Changes</w:t>
      </w:r>
      <w:r>
        <w:rPr>
          <w:rFonts w:ascii="Times New Roman" w:hAnsi="Times New Roman"/>
          <w:sz w:val="20"/>
        </w:rPr>
        <w:t xml:space="preserve">. Except as contemplated in the Prospectus, or disclosed in the Company’s reports filed with the Commission, there shall not have been any material adverse change, on a consolidated basis, in the authorized capital stock of the Company or any Material Adverse Change or any development that could reasonably be expected to result in a Material Adverse Change, or any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TD Cowen (without relieving the Company of any obligation or liability it may otherwise have), is so material as to make it impracticable or inadvisable to proceed with the offering of the Placement Shares on the terms and in the manner contemplated in the Prospectus.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sz w:val="20"/>
          <w:u w:val="single"/>
        </w:rPr>
        <w:t>Company Counsel Legal Opinions</w:t>
      </w:r>
      <w:r>
        <w:rPr>
          <w:rFonts w:ascii="Times New Roman" w:hAnsi="Times New Roman"/>
          <w:sz w:val="20"/>
        </w:rPr>
        <w:t xml:space="preserve">. TD Cowen shall have received the opinions of Company Counsel and Company IP Counsel required to be delivered pursuant to </w:t>
      </w:r>
      <w:r>
        <w:rPr>
          <w:rFonts w:ascii="Times New Roman" w:hAnsi="Times New Roman"/>
          <w:sz w:val="20"/>
          <w:u w:val="single"/>
        </w:rPr>
        <w:t>Section 7(n)</w:t>
      </w:r>
      <w:r>
        <w:rPr>
          <w:rFonts w:ascii="Times New Roman" w:hAnsi="Times New Roman"/>
          <w:sz w:val="20"/>
        </w:rPr>
        <w:t xml:space="preserve"> and </w:t>
      </w:r>
      <w:r>
        <w:rPr>
          <w:rFonts w:ascii="Times New Roman" w:hAnsi="Times New Roman"/>
          <w:sz w:val="20"/>
          <w:u w:val="single"/>
        </w:rPr>
        <w:t>Section 7(o)</w:t>
      </w:r>
      <w:r>
        <w:rPr>
          <w:rFonts w:ascii="Times New Roman" w:hAnsi="Times New Roman"/>
          <w:sz w:val="20"/>
        </w:rPr>
        <w:t xml:space="preserve"> on or before the date on which such delivery of such opinions is required pursuant to </w:t>
      </w:r>
      <w:r>
        <w:rPr>
          <w:rFonts w:ascii="Times New Roman" w:hAnsi="Times New Roman"/>
          <w:sz w:val="20"/>
          <w:u w:val="single"/>
        </w:rPr>
        <w:t>Section 7(n)</w:t>
      </w:r>
      <w:r>
        <w:rPr>
          <w:rFonts w:ascii="Times New Roman" w:hAnsi="Times New Roman"/>
          <w:sz w:val="20"/>
        </w:rPr>
        <w:t xml:space="preserve"> and </w:t>
      </w:r>
      <w:r>
        <w:rPr>
          <w:rFonts w:ascii="Times New Roman" w:hAnsi="Times New Roman"/>
          <w:sz w:val="20"/>
          <w:u w:val="single"/>
        </w:rPr>
        <w:t>Section 7(o)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sz w:val="20"/>
          <w:u w:val="single"/>
        </w:rPr>
        <w:t>TD Cowen Counsel Legal Opinion</w:t>
      </w:r>
      <w:r>
        <w:rPr>
          <w:rFonts w:ascii="Times New Roman" w:hAnsi="Times New Roman"/>
          <w:sz w:val="20"/>
        </w:rPr>
        <w:t xml:space="preserve">. TD Cowen shall have received from Ropes &amp; Gray LLP, counsel for TD Cowen, such opinion or opinions, on or before the date on which the delivery of the Company Counsel legal opinions is required pursuant to </w:t>
      </w:r>
      <w:r>
        <w:rPr>
          <w:rFonts w:ascii="Times New Roman" w:hAnsi="Times New Roman"/>
          <w:sz w:val="20"/>
          <w:u w:val="single"/>
        </w:rPr>
        <w:t>Section 7(n)</w:t>
      </w:r>
      <w:r>
        <w:rPr>
          <w:rFonts w:ascii="Times New Roman" w:hAnsi="Times New Roman"/>
          <w:sz w:val="20"/>
        </w:rPr>
        <w:t xml:space="preserve"> and </w:t>
      </w:r>
      <w:r>
        <w:rPr>
          <w:rFonts w:ascii="Times New Roman" w:hAnsi="Times New Roman"/>
          <w:sz w:val="20"/>
          <w:u w:val="single"/>
        </w:rPr>
        <w:t>Section 7(o)</w:t>
      </w:r>
      <w:r>
        <w:rPr>
          <w:rFonts w:ascii="Times New Roman" w:hAnsi="Times New Roman"/>
          <w:sz w:val="20"/>
        </w:rPr>
        <w:t xml:space="preserve">, with respect to such matters as TD Cowen may reasonably require, and the Company shall have furnished to such counsel such documents as they request for enabling them to pass upon such matters.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Comfort Letter</w:t>
      </w:r>
      <w:r>
        <w:rPr>
          <w:rFonts w:ascii="Times New Roman" w:hAnsi="Times New Roman"/>
          <w:sz w:val="20"/>
        </w:rPr>
        <w:t xml:space="preserve">. TD Cowen shall have received the Comfort Letter required to be delivered pursuant to </w:t>
      </w:r>
      <w:r>
        <w:rPr>
          <w:rFonts w:ascii="Times New Roman" w:hAnsi="Times New Roman"/>
          <w:sz w:val="20"/>
          <w:u w:val="single"/>
        </w:rPr>
        <w:t>Section 7(p)</w:t>
      </w:r>
      <w:r>
        <w:rPr>
          <w:rFonts w:ascii="Times New Roman" w:hAnsi="Times New Roman"/>
          <w:sz w:val="20"/>
        </w:rPr>
        <w:t xml:space="preserve"> on or before the date on which such delivery of such Comfort Letter is required pursuant to </w:t>
      </w:r>
      <w:r>
        <w:rPr>
          <w:rFonts w:ascii="Times New Roman" w:hAnsi="Times New Roman"/>
          <w:sz w:val="20"/>
          <w:u w:val="single"/>
        </w:rPr>
        <w:t>Section 7(p)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sz w:val="20"/>
          <w:u w:val="single"/>
        </w:rPr>
        <w:t>Representation Certificate</w:t>
      </w:r>
      <w:r>
        <w:rPr>
          <w:rFonts w:ascii="Times New Roman" w:hAnsi="Times New Roman"/>
          <w:sz w:val="20"/>
        </w:rPr>
        <w:t xml:space="preserve">. TD Cowen shall have received the certificate required to be delivered pursuant to </w:t>
      </w:r>
      <w:r>
        <w:rPr>
          <w:rFonts w:ascii="Times New Roman" w:hAnsi="Times New Roman"/>
          <w:sz w:val="20"/>
          <w:u w:val="single"/>
        </w:rPr>
        <w:t>Section 7(m)</w:t>
      </w:r>
      <w:r>
        <w:rPr>
          <w:rFonts w:ascii="Times New Roman" w:hAnsi="Times New Roman"/>
          <w:sz w:val="20"/>
        </w:rPr>
        <w:t xml:space="preserve"> on or before the date on which delivery of such certificate is required pursuant to </w:t>
      </w:r>
      <w:r>
        <w:rPr>
          <w:rFonts w:ascii="Times New Roman" w:hAnsi="Times New Roman"/>
          <w:sz w:val="20"/>
          <w:u w:val="single"/>
        </w:rPr>
        <w:t>Section 7(m)</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Secretary’s Certificate</w:t>
      </w:r>
      <w:r>
        <w:rPr>
          <w:rFonts w:ascii="Times New Roman" w:hAnsi="Times New Roman"/>
          <w:sz w:val="20"/>
        </w:rPr>
        <w:t xml:space="preserve">. On or prior to the First Delivery Date, TD Cowen shall have received a certificate, signed on behalf of the Company by its corporate Secretary, in form and substance reasonably satisfactory to TD Cowen and its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w:t>
      </w:r>
      <w:r>
        <w:rPr>
          <w:rFonts w:ascii="Times New Roman" w:hAnsi="Times New Roman"/>
          <w:sz w:val="20"/>
          <w:u w:val="single"/>
        </w:rPr>
        <w:t>No Suspension</w:t>
      </w:r>
      <w:r>
        <w:rPr>
          <w:rFonts w:ascii="Times New Roman" w:hAnsi="Times New Roman"/>
          <w:sz w:val="20"/>
        </w:rPr>
        <w:t xml:space="preserve">. Trading in the Common Stock shall not have been suspended on Nasdaq.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sz w:val="20"/>
          <w:u w:val="single"/>
        </w:rPr>
        <w:t>Other Materials</w:t>
      </w:r>
      <w:r>
        <w:rPr>
          <w:rFonts w:ascii="Times New Roman" w:hAnsi="Times New Roman"/>
          <w:sz w:val="20"/>
        </w:rPr>
        <w:t xml:space="preserve">. On each date on which the Company is required to deliver a certificate pursuant to </w:t>
      </w:r>
      <w:r>
        <w:rPr>
          <w:rFonts w:ascii="Times New Roman" w:hAnsi="Times New Roman"/>
          <w:sz w:val="20"/>
          <w:u w:val="single"/>
        </w:rPr>
        <w:t>Section 7(m)</w:t>
      </w:r>
      <w:r>
        <w:rPr>
          <w:rFonts w:ascii="Times New Roman" w:hAnsi="Times New Roman"/>
          <w:sz w:val="20"/>
        </w:rPr>
        <w:t xml:space="preserve">, the Company shall have furnished to TD Cowen such appropriate further information, certificates and documents as TD Cowen may have reasonably requested. All such opinions, certificates, letters and other documents shall have been in compliance with the provisions hereof. The Company will furnish TD Cowen with such conformed copies of such opinions, certificates, letters and other documents as TD Cowen shall have reasonably requested.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sz w:val="20"/>
          <w:u w:val="single"/>
        </w:rPr>
        <w:t>Securities Act Filings Made</w:t>
      </w:r>
      <w:r>
        <w:rPr>
          <w:rFonts w:ascii="Times New Roman" w:hAnsi="Times New Roman"/>
          <w:sz w:val="20"/>
        </w:rPr>
        <w:t xml:space="preserve">. All filings with the Commission required by Rule 424 under the Securities Act to have been filed prior to the issuance of any Placement Notice hereunder shall have been made within the applicable time period prescribed for such filing by Rule 424.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sz w:val="20"/>
          <w:u w:val="single"/>
        </w:rPr>
        <w:t>Approval for Listing</w:t>
      </w:r>
      <w:r>
        <w:rPr>
          <w:rFonts w:ascii="Times New Roman" w:hAnsi="Times New Roman"/>
          <w:sz w:val="20"/>
        </w:rPr>
        <w:t xml:space="preserve">. The Placement Shares shall either have been (i) approved for listing on Nasdaq, subject only to notice of issuance, or (ii) the Company shall have filed an application for listing of the Placement Shares on Nasdaq at, or prior to, the issuance of any Placement Notice.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sz w:val="20"/>
          <w:u w:val="single"/>
        </w:rPr>
        <w:t>No Termination Event</w:t>
      </w:r>
      <w:r>
        <w:rPr>
          <w:rFonts w:ascii="Times New Roman" w:hAnsi="Times New Roman"/>
          <w:sz w:val="20"/>
        </w:rPr>
        <w:t xml:space="preserve">. There shall not have occurred any event that would permit TD Cowen to terminate this Agreement pursuant to </w:t>
      </w:r>
      <w:r>
        <w:rPr>
          <w:rFonts w:ascii="Times New Roman" w:hAnsi="Times New Roman"/>
          <w:sz w:val="20"/>
          <w:u w:val="single"/>
        </w:rPr>
        <w:t>Section 11(a)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9. 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Company Indemnification</w:t>
      </w:r>
      <w:r>
        <w:rPr>
          <w:rFonts w:ascii="Times New Roman" w:hAnsi="Times New Roman"/>
          <w:sz w:val="20"/>
        </w:rPr>
        <w:t>. The Company agrees to indemnify and hold harmless TD Cowen, its affiliates and each of their respective directors, officers, partners, employees and agents of TD Cowen and each person, if any, who (i) controls TD Cowen within the meaning of Section 15 of the Securities Act or Section 20 of the Exchange Act, or (ii) is controlled by or is under common control with TD Cowen (a “</w:t>
      </w:r>
      <w:r>
        <w:rPr>
          <w:rFonts w:ascii="Times New Roman" w:hAnsi="Times New Roman"/>
          <w:b/>
          <w:sz w:val="20"/>
          <w:u w:val="single"/>
        </w:rPr>
        <w:t>TD Cowen Affiliate</w:t>
      </w:r>
      <w:r>
        <w:rPr>
          <w:rFonts w:ascii="Times New Roman" w:hAnsi="Times New Roman"/>
          <w:sz w:val="20"/>
        </w:rPr>
        <w:t xml:space="preserve">”) from and against any and all losses, claims, liabilities, expenses and damages (including, but not limited to, any and all reasonable investigative, legal and other expenses incurred in connection with, and any and all amounts paid in settlement (in accordance with </w:t>
      </w:r>
      <w:r>
        <w:rPr>
          <w:rFonts w:ascii="Times New Roman" w:hAnsi="Times New Roman"/>
          <w:sz w:val="20"/>
          <w:u w:val="single"/>
        </w:rPr>
        <w:t>Section 9(c)</w:t>
      </w:r>
      <w:r>
        <w:rPr>
          <w:rFonts w:ascii="Times New Roman" w:hAnsi="Times New Roman"/>
          <w:sz w:val="20"/>
        </w:rPr>
        <w:t xml:space="preserve">) of, any action, suit or proceeding between any of the indemnified parties and any indemnifying parties or between any indemnified party and any third party, or otherwise, or any claim asserted), as and when incurred, to which TD Cowen, or any such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Prospectus or any amendment or supplement to the Registration Statement or the Prospectus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therein or necessary to make the statements therein in light of the circumstances under which they were made not misleading or (z) any breach by any of the indemnifying parties of any of their respective representations, warranties and agreements contained in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indemnity agreement shall not apply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extent that such loss, claim, liability, expense or damage arises from the sale of the Placement Shares pursuant to this Agreement and is caused directly or indirectly by an untrue statement or omission, or alleged untrue statement or omission, made in reliance upon and in conformity with solely Agent’s Information. “</w:t>
      </w:r>
      <w:r>
        <w:rPr>
          <w:rFonts w:ascii="Times New Roman" w:hAnsi="Times New Roman"/>
          <w:b/>
          <w:sz w:val="20"/>
          <w:u w:val="single"/>
        </w:rPr>
        <w:t>Agent’s Information</w:t>
      </w:r>
      <w:r>
        <w:rPr>
          <w:rFonts w:ascii="Times New Roman" w:hAnsi="Times New Roman"/>
          <w:sz w:val="20"/>
        </w:rPr>
        <w:t xml:space="preserve">” means, solely, the following information in the Prospectus: the tenth (10th) paragraph under the caption “Plan of Distribution” in the Prospectus. This indemnity agreement will be in addition to any liability that the Company might otherwise have.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sz w:val="20"/>
          <w:u w:val="single"/>
        </w:rPr>
        <w:t>TD Cowen Indemnification</w:t>
      </w:r>
      <w:r>
        <w:rPr>
          <w:rFonts w:ascii="Times New Roman" w:hAnsi="Times New Roman"/>
          <w:sz w:val="20"/>
        </w:rPr>
        <w:t>. TD Cowen agrees to indemnify and hold harmless the Company and its directors and each officer of the Company that signed the Registration Statement, and each person, if any, who (i) controls the Company within the meaning of Section 15 of the Securities Act or Section 20 of the Exchange Act or (ii) is controlled by or is under common control with the Company (a “</w:t>
      </w:r>
      <w:r>
        <w:rPr>
          <w:rFonts w:ascii="Times New Roman" w:hAnsi="Times New Roman"/>
          <w:b/>
          <w:sz w:val="20"/>
          <w:u w:val="single"/>
        </w:rPr>
        <w:t>Company Affiliate</w:t>
      </w:r>
      <w:r>
        <w:rPr>
          <w:rFonts w:ascii="Times New Roman" w:hAnsi="Times New Roman"/>
          <w:sz w:val="20"/>
        </w:rPr>
        <w:t xml:space="preserve">”) against any and all loss, liability, claim, damage and expense described in the indemnity contained in </w:t>
      </w:r>
      <w:r>
        <w:rPr>
          <w:rFonts w:ascii="Times New Roman" w:hAnsi="Times New Roman"/>
          <w:sz w:val="20"/>
          <w:u w:val="single"/>
        </w:rPr>
        <w:t>Section 9(a)</w:t>
      </w:r>
      <w:r>
        <w:rPr>
          <w:rFonts w:ascii="Times New Roman" w:hAnsi="Times New Roman"/>
          <w:sz w:val="20"/>
        </w:rPr>
        <w:t xml:space="preserve">, as incurred, but only with respect to untrue statements or omissions, or alleged untrue statements or omissions, made in the Registration Statement (or any amendments thereto) or the Prospectus (or any amendment or supplement thereto) in reliance upon and in conformity with the Agent’s Information.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sz w:val="20"/>
          <w:u w:val="single"/>
        </w:rPr>
        <w:t>Procedure</w:t>
      </w:r>
      <w:r>
        <w:rPr>
          <w:rFonts w:ascii="Times New Roman" w:hAnsi="Times New Roman"/>
          <w:sz w:val="20"/>
        </w:rPr>
        <w:t xml:space="preserve">. Any party that proposes to assert the right to be indemnified under this </w:t>
      </w:r>
      <w:r>
        <w:rPr>
          <w:rFonts w:ascii="Times New Roman" w:hAnsi="Times New Roman"/>
          <w:sz w:val="20"/>
          <w:u w:val="single"/>
        </w:rPr>
        <w:t>Section 9</w:t>
      </w:r>
      <w:r>
        <w:rPr>
          <w:rFonts w:ascii="Times New Roman" w:hAnsi="Times New Roman"/>
          <w:sz w:val="20"/>
        </w:rPr>
        <w:t xml:space="preserve"> will, promptly after receipt of notice of commencement of any action against such party in respect of which a claim is to be made against an indemnifying party or parties under this </w:t>
      </w:r>
      <w:r>
        <w:rPr>
          <w:rFonts w:ascii="Times New Roman" w:hAnsi="Times New Roman"/>
          <w:sz w:val="20"/>
          <w:u w:val="single"/>
        </w:rPr>
        <w:t>Section 9</w:t>
      </w:r>
      <w:r>
        <w:rPr>
          <w:rFonts w:ascii="Times New Roman" w:hAnsi="Times New Roman"/>
          <w:sz w:val="20"/>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hAnsi="Times New Roman"/>
          <w:sz w:val="20"/>
          <w:u w:val="single"/>
        </w:rPr>
        <w:t>Section 9</w:t>
      </w:r>
      <w:r>
        <w:rPr>
          <w:rFonts w:ascii="Times New Roman" w:hAnsi="Times New Roman"/>
          <w:sz w:val="20"/>
        </w:rPr>
        <w:t xml:space="preserve"> and (ii) any liability that it may have to any indemnified party under the foregoing provision of this </w:t>
      </w:r>
      <w:r>
        <w:rPr>
          <w:rFonts w:ascii="Times New Roman" w:hAnsi="Times New Roman"/>
          <w:sz w:val="20"/>
          <w:u w:val="single"/>
        </w:rPr>
        <w:t>Section 9</w:t>
      </w:r>
      <w:r>
        <w:rPr>
          <w:rFonts w:ascii="Times New Roman" w:hAnsi="Times New Roman"/>
          <w:sz w:val="20"/>
        </w:rPr>
        <w:t xml:space="preserve">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admitted to practice in such jurisdiction at any one time for all such indemnified party or parties. All such fees, disbursements and other charges will be reimbursed by the indemnifying party promptly as they are incurred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hAnsi="Times New Roman"/>
          <w:sz w:val="20"/>
          <w:u w:val="single"/>
        </w:rPr>
        <w:t>Section 9</w:t>
      </w:r>
      <w:r>
        <w:rPr>
          <w:rFonts w:ascii="Times New Roman" w:hAnsi="Times New Roman"/>
          <w:sz w:val="20"/>
        </w:rPr>
        <w:t xml:space="preserve"> (whether or not any indemnified party is a party thereto), unless such settlement, compromise or consent includes an unconditional release of each indemnified party from all liability arising or that may arise out of such claim, action or proceeding.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sz w:val="20"/>
          <w:u w:val="single"/>
        </w:rPr>
        <w:t>Contribution</w:t>
      </w:r>
      <w:r>
        <w:rPr>
          <w:rFonts w:ascii="Times New Roman" w:hAnsi="Times New Roman"/>
          <w:sz w:val="20"/>
        </w:rPr>
        <w:t xml:space="preserve">. In order to provide for just and equitable contribution in circumstances in which the indemnification provided for in the foregoing paragraphs of this </w:t>
      </w:r>
      <w:r>
        <w:rPr>
          <w:rFonts w:ascii="Times New Roman" w:hAnsi="Times New Roman"/>
          <w:sz w:val="20"/>
          <w:u w:val="single"/>
        </w:rPr>
        <w:t>Section 9</w:t>
      </w:r>
      <w:r>
        <w:rPr>
          <w:rFonts w:ascii="Times New Roman" w:hAnsi="Times New Roman"/>
          <w:sz w:val="20"/>
        </w:rPr>
        <w:t xml:space="preserve"> is applicable in accordance with its terms but for any reason is held to be unavailable from the Company or TD Cowen, the Company and TD Cowen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TD Cowen, such as persons who control the Company within the meaning of the Securities Act, officers of the Company who signed the Registration Statement and directors of the Company, who also may be liable for contribution) to which the Company and TD Cowen may be subject in such proportion as shall be appropriate to reflect the relative benefits received by the Company on the one hand and TD Cowen on the other. The relative benefits received by the Company on the one hand and TD Cowen on the other hand shall be deemed to be in the same proportion as the total Net Proceeds from the sale of the Placement Shares (before deducting expenses) received by the Company bear to the total compensation received by TD Cowen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TD Cowen, on the other, with respect to the statements or omissions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TD Cowen, the intent of the parties and their relative knowledge, access to information and opportunity to correct or prevent such statement or omission. The Company and TD Cowen agree that it would not be just and equitable if contributions pursuant to this </w:t>
      </w:r>
      <w:r>
        <w:rPr>
          <w:rFonts w:ascii="Times New Roman" w:hAnsi="Times New Roman"/>
          <w:sz w:val="20"/>
          <w:u w:val="single"/>
        </w:rPr>
        <w:t>Section 9(d)</w:t>
      </w:r>
      <w:r>
        <w:rPr>
          <w:rFonts w:ascii="Times New Roman" w:hAnsi="Times New Roman"/>
          <w:sz w:val="20"/>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hAnsi="Times New Roman"/>
          <w:sz w:val="20"/>
          <w:u w:val="single"/>
        </w:rPr>
        <w:t>Section 9(d)</w:t>
      </w:r>
      <w:r>
        <w:rPr>
          <w:rFonts w:ascii="Times New Roman" w:hAnsi="Times New Roman"/>
          <w:sz w:val="20"/>
        </w:rPr>
        <w:t xml:space="preserve"> shall be deemed to include, for the purpose of this </w:t>
      </w:r>
      <w:r>
        <w:rPr>
          <w:rFonts w:ascii="Times New Roman" w:hAnsi="Times New Roman"/>
          <w:sz w:val="20"/>
          <w:u w:val="single"/>
        </w:rPr>
        <w:t>Section 9(d)</w:t>
      </w:r>
      <w:r>
        <w:rPr>
          <w:rFonts w:ascii="Times New Roman" w:hAnsi="Times New Roman"/>
          <w:sz w:val="20"/>
        </w:rPr>
        <w:t xml:space="preserve">, any legal or other expenses reasonably incurred by such indemnified party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investigating or defending any such action or claim to the extent consistent with </w:t>
      </w:r>
      <w:r>
        <w:rPr>
          <w:rFonts w:ascii="Times New Roman" w:hAnsi="Times New Roman"/>
          <w:sz w:val="20"/>
          <w:u w:val="single"/>
        </w:rPr>
        <w:t>Section 9(c)</w:t>
      </w:r>
      <w:r>
        <w:rPr>
          <w:rFonts w:ascii="Times New Roman" w:hAnsi="Times New Roman"/>
          <w:sz w:val="20"/>
        </w:rPr>
        <w:t xml:space="preserve"> hereof. Notwithstanding the foregoing provisions of this </w:t>
      </w:r>
      <w:r>
        <w:rPr>
          <w:rFonts w:ascii="Times New Roman" w:hAnsi="Times New Roman"/>
          <w:sz w:val="20"/>
          <w:u w:val="single"/>
        </w:rPr>
        <w:t>Section 9(d)</w:t>
      </w:r>
      <w:r>
        <w:rPr>
          <w:rFonts w:ascii="Times New Roman" w:hAnsi="Times New Roman"/>
          <w:sz w:val="20"/>
        </w:rPr>
        <w:t xml:space="preserve">, TD Cowen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hAnsi="Times New Roman"/>
          <w:sz w:val="20"/>
          <w:u w:val="single"/>
        </w:rPr>
        <w:t>Section 9(d)</w:t>
      </w:r>
      <w:r>
        <w:rPr>
          <w:rFonts w:ascii="Times New Roman" w:hAnsi="Times New Roman"/>
          <w:sz w:val="20"/>
        </w:rPr>
        <w:t xml:space="preserve">, any person who controls a party to this Agreement within the meaning of the Securities Act, and any officers, directors, partners, employees or agents of TD Cowen, will have the same rights to contribution as that party, and each director and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hAnsi="Times New Roman"/>
          <w:sz w:val="20"/>
          <w:u w:val="single"/>
        </w:rPr>
        <w:t>Section 9(d)</w:t>
      </w:r>
      <w:r>
        <w:rPr>
          <w:rFonts w:ascii="Times New Roman" w:hAnsi="Times New Roman"/>
          <w:sz w:val="20"/>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hAnsi="Times New Roman"/>
          <w:sz w:val="20"/>
          <w:u w:val="single"/>
        </w:rPr>
        <w:t>Section 9(d)</w:t>
      </w:r>
      <w:r>
        <w:rPr>
          <w:rFonts w:ascii="Times New Roman" w:hAnsi="Times New Roman"/>
          <w:sz w:val="20"/>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hAnsi="Times New Roman"/>
          <w:sz w:val="20"/>
          <w:u w:val="single"/>
        </w:rPr>
        <w:t>Section 9(c)</w:t>
      </w:r>
      <w:r>
        <w:rPr>
          <w:rFonts w:ascii="Times New Roman" w:hAnsi="Times New Roman"/>
          <w:sz w:val="20"/>
        </w:rPr>
        <w:t xml:space="preserve"> hereof, no party will be liable for contribution with respect to any action or claim settled without its written consent if such consent is required pursuant to </w:t>
      </w:r>
      <w:r>
        <w:rPr>
          <w:rFonts w:ascii="Times New Roman" w:hAnsi="Times New Roman"/>
          <w:sz w:val="20"/>
          <w:u w:val="single"/>
        </w:rPr>
        <w:t>Section 9(c)</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sz w:val="20"/>
        </w:rPr>
        <w:t>10. </w:t>
      </w:r>
      <w:r>
        <w:rPr>
          <w:rFonts w:ascii="Times New Roman" w:hAnsi="Times New Roman"/>
          <w:sz w:val="20"/>
          <w:u w:val="single"/>
        </w:rPr>
        <w:t>Representations and Agreements to Survive Delivery</w:t>
      </w:r>
      <w:r>
        <w:rPr>
          <w:rFonts w:ascii="Times New Roman" w:hAnsi="Times New Roman"/>
          <w:sz w:val="20"/>
        </w:rPr>
        <w:t xml:space="preserve">. The indemnity and contribution agreements contained in </w:t>
      </w:r>
      <w:r>
        <w:rPr>
          <w:rFonts w:ascii="Times New Roman" w:hAnsi="Times New Roman"/>
          <w:sz w:val="20"/>
          <w:u w:val="single"/>
        </w:rPr>
        <w:t>Section 9</w:t>
      </w:r>
      <w:r>
        <w:rPr>
          <w:rFonts w:ascii="Times New Roman" w:hAnsi="Times New Roman"/>
          <w:sz w:val="20"/>
        </w:rPr>
        <w:t xml:space="preserve"> of this Agreement and all representations and warranties of the Company herein or in certificates delivered pursuant hereto shall survive, as of their respective dates, regardless of (i) any investigation made by or on behalf of TD Cowen, any controlling persons, or the Company (or any of their respective officers, directors or controlling persons), (ii) delivery and acceptance of the Placement Shares and payment therefor or (iii) any termination of this Agreement. </w:t>
      </w:r>
    </w:p>
    <w:p>
      <w:pPr>
        <w:pStyle w:val="TextBody"/>
        <w:bidi w:val="0"/>
        <w:spacing w:before="12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TD Cowen shall have the right by giving notice as hereinafter specified at any time to terminate this Agreement if (i) any Material Adverse Change, or any development that could reasonably be expected to result in a Material Adverse Change has occurred that, in the reasonable judgment of TD Cowen, may materially impair the ability of TD Cowen to sell the Placement Shares hereunder, (ii) the Company shall have failed, refused or been unable to perform any agreement on its part to be performed hereunder; </w:t>
      </w:r>
      <w:r>
        <w:rPr>
          <w:rFonts w:ascii="Times New Roman" w:hAnsi="Times New Roman"/>
          <w:i/>
          <w:sz w:val="20"/>
        </w:rPr>
        <w:t>provided, however,</w:t>
      </w:r>
      <w:r>
        <w:rPr>
          <w:rFonts w:ascii="Times New Roman" w:hAnsi="Times New Roman"/>
          <w:sz w:val="20"/>
        </w:rPr>
        <w:t xml:space="preserve"> in the case of any failure of the Company to deliver (or cause another person to deliver) any certification, opinion, or letter required under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7(m)</w:t>
      </w:r>
      <w:r>
        <w:rPr>
          <w:rFonts w:ascii="Times New Roman" w:hAnsi="Times New Roman"/>
          <w:sz w:val="20"/>
        </w:rPr>
        <w:t xml:space="preserve">, </w:t>
      </w:r>
      <w:r>
        <w:rPr>
          <w:rFonts w:ascii="Times New Roman" w:hAnsi="Times New Roman"/>
          <w:sz w:val="20"/>
          <w:u w:val="single"/>
        </w:rPr>
        <w:t>7(n)</w:t>
      </w:r>
      <w:r>
        <w:rPr>
          <w:rFonts w:ascii="Times New Roman" w:hAnsi="Times New Roman"/>
          <w:sz w:val="20"/>
        </w:rPr>
        <w:t xml:space="preserve">, </w:t>
      </w:r>
      <w:r>
        <w:rPr>
          <w:rFonts w:ascii="Times New Roman" w:hAnsi="Times New Roman"/>
          <w:sz w:val="20"/>
          <w:u w:val="single"/>
        </w:rPr>
        <w:t>7(o)</w:t>
      </w:r>
      <w:r>
        <w:rPr>
          <w:rFonts w:ascii="Times New Roman" w:hAnsi="Times New Roman"/>
          <w:sz w:val="20"/>
        </w:rPr>
        <w:t xml:space="preserve"> or </w:t>
      </w:r>
      <w:r>
        <w:rPr>
          <w:rFonts w:ascii="Times New Roman" w:hAnsi="Times New Roman"/>
          <w:sz w:val="20"/>
          <w:u w:val="single"/>
        </w:rPr>
        <w:t>7(p)</w:t>
      </w:r>
      <w:r>
        <w:rPr>
          <w:rFonts w:ascii="Times New Roman" w:hAnsi="Times New Roman"/>
          <w:sz w:val="20"/>
        </w:rPr>
        <w:t xml:space="preserve">, TD Cowen’s right to terminate shall not arise unless such failure to deliver (or cause to be delivered) continues for more than thirty (30) days from the date such delivery was required; or (iii) any other condition of TD Cowen’s obligations hereunder is not fulfilled, or (iv) any suspension or limitation of trading in the Placement Shares or in securities generally on Nasdaq shall have occurred. Any such termination shall be without liability of any party to any other party except that the provisions of </w:t>
      </w:r>
      <w:r>
        <w:rPr>
          <w:rFonts w:ascii="Times New Roman" w:hAnsi="Times New Roman"/>
          <w:sz w:val="20"/>
          <w:u w:val="single"/>
        </w:rPr>
        <w:t>Section 7(g)</w:t>
      </w:r>
      <w:r>
        <w:rPr>
          <w:rFonts w:ascii="Times New Roman" w:hAnsi="Times New Roman"/>
          <w:sz w:val="20"/>
        </w:rPr>
        <w:t xml:space="preserve"> (Expenses), </w:t>
      </w:r>
      <w:r>
        <w:rPr>
          <w:rFonts w:ascii="Times New Roman" w:hAnsi="Times New Roman"/>
          <w:sz w:val="20"/>
          <w:u w:val="single"/>
        </w:rPr>
        <w:t>Section 9</w:t>
      </w:r>
      <w:r>
        <w:rPr>
          <w:rFonts w:ascii="Times New Roman" w:hAnsi="Times New Roman"/>
          <w:sz w:val="20"/>
        </w:rPr>
        <w:t xml:space="preserve"> (Indemnification and Contribution), </w:t>
      </w:r>
      <w:r>
        <w:rPr>
          <w:rFonts w:ascii="Times New Roman" w:hAnsi="Times New Roman"/>
          <w:sz w:val="20"/>
          <w:u w:val="single"/>
        </w:rPr>
        <w:t>Section 10</w:t>
      </w:r>
      <w:r>
        <w:rPr>
          <w:rFonts w:ascii="Times New Roman" w:hAnsi="Times New Roman"/>
          <w:sz w:val="20"/>
        </w:rPr>
        <w:t xml:space="preserve"> (Representations and Agreements to Survive Delivery), </w:t>
      </w:r>
      <w:r>
        <w:rPr>
          <w:rFonts w:ascii="Times New Roman" w:hAnsi="Times New Roman"/>
          <w:sz w:val="20"/>
          <w:u w:val="single"/>
        </w:rPr>
        <w:t>Section 16</w:t>
      </w:r>
      <w:r>
        <w:rPr>
          <w:rFonts w:ascii="Times New Roman" w:hAnsi="Times New Roman"/>
          <w:sz w:val="20"/>
        </w:rPr>
        <w:t xml:space="preserve"> (Applicable Law; Consent to Jurisdiction) and </w:t>
      </w:r>
      <w:r>
        <w:rPr>
          <w:rFonts w:ascii="Times New Roman" w:hAnsi="Times New Roman"/>
          <w:sz w:val="20"/>
          <w:u w:val="single"/>
        </w:rPr>
        <w:t>Section 17</w:t>
      </w:r>
      <w:r>
        <w:rPr>
          <w:rFonts w:ascii="Times New Roman" w:hAnsi="Times New Roman"/>
          <w:sz w:val="20"/>
        </w:rPr>
        <w:t xml:space="preserve"> (Waiver of Jury Trial) hereof shall remain in full force and effect notwithstanding such termination. If TD Cowen elects to terminate this Agreement as provided in this </w:t>
      </w:r>
      <w:r>
        <w:rPr>
          <w:rFonts w:ascii="Times New Roman" w:hAnsi="Times New Roman"/>
          <w:sz w:val="20"/>
          <w:u w:val="single"/>
        </w:rPr>
        <w:t>Section 11(a)</w:t>
      </w:r>
      <w:r>
        <w:rPr>
          <w:rFonts w:ascii="Times New Roman" w:hAnsi="Times New Roman"/>
          <w:sz w:val="20"/>
        </w:rPr>
        <w:t xml:space="preserve">, TD Cowen shall provide the required notice as specified in </w:t>
      </w:r>
      <w:r>
        <w:rPr>
          <w:rFonts w:ascii="Times New Roman" w:hAnsi="Times New Roman"/>
          <w:sz w:val="20"/>
          <w:u w:val="single"/>
        </w:rPr>
        <w:t>Section 12</w:t>
      </w:r>
      <w:r>
        <w:rPr>
          <w:rFonts w:ascii="Times New Roman" w:hAnsi="Times New Roman"/>
          <w:sz w:val="20"/>
        </w:rPr>
        <w:t xml:space="preserve"> (Notices).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hAnsi="Times New Roman"/>
          <w:sz w:val="20"/>
          <w:u w:val="single"/>
        </w:rPr>
        <w:t>Section 7(g)</w:t>
      </w:r>
      <w:r>
        <w:rPr>
          <w:rFonts w:ascii="Times New Roman" w:hAnsi="Times New Roman"/>
          <w:sz w:val="20"/>
        </w:rPr>
        <w:t xml:space="preserve">, </w:t>
      </w:r>
      <w:r>
        <w:rPr>
          <w:rFonts w:ascii="Times New Roman" w:hAnsi="Times New Roman"/>
          <w:sz w:val="20"/>
          <w:u w:val="single"/>
        </w:rPr>
        <w:t>Section 9</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17</w:t>
      </w:r>
      <w:r>
        <w:rPr>
          <w:rFonts w:ascii="Times New Roman" w:hAnsi="Times New Roman"/>
          <w:sz w:val="20"/>
        </w:rPr>
        <w:t xml:space="preserve"> hereof shall remain in full force and effect notwithstanding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(c) TD Cowen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hAnsi="Times New Roman"/>
          <w:sz w:val="20"/>
          <w:u w:val="single"/>
        </w:rPr>
        <w:t>Section 7(g)</w:t>
      </w:r>
      <w:r>
        <w:rPr>
          <w:rFonts w:ascii="Times New Roman" w:hAnsi="Times New Roman"/>
          <w:sz w:val="20"/>
        </w:rPr>
        <w:t xml:space="preserve">, </w:t>
      </w:r>
      <w:r>
        <w:rPr>
          <w:rFonts w:ascii="Times New Roman" w:hAnsi="Times New Roman"/>
          <w:sz w:val="20"/>
          <w:u w:val="single"/>
        </w:rPr>
        <w:t>Section 9</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17</w:t>
      </w:r>
      <w:r>
        <w:rPr>
          <w:rFonts w:ascii="Times New Roman" w:hAnsi="Times New Roman"/>
          <w:sz w:val="20"/>
        </w:rPr>
        <w:t xml:space="preserve"> hereof shall remain in full force and effect notwithstanding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(d) Unless earlier terminated pursuant to this </w:t>
      </w:r>
      <w:r>
        <w:rPr>
          <w:rFonts w:ascii="Times New Roman" w:hAnsi="Times New Roman"/>
          <w:sz w:val="20"/>
          <w:u w:val="single"/>
        </w:rPr>
        <w:t>Section 11</w:t>
      </w:r>
      <w:r>
        <w:rPr>
          <w:rFonts w:ascii="Times New Roman" w:hAnsi="Times New Roman"/>
          <w:sz w:val="20"/>
        </w:rPr>
        <w:t xml:space="preserve">, this Agreement shall automatically terminate upon the issuance and sale of all of the Placement Shares through TD Cowen on the terms and subject to the conditions set forth herein; </w:t>
      </w:r>
      <w:r>
        <w:rPr>
          <w:rFonts w:ascii="Times New Roman" w:hAnsi="Times New Roman"/>
          <w:i/>
          <w:sz w:val="20"/>
        </w:rPr>
        <w:t>provided</w:t>
      </w:r>
      <w:r>
        <w:rPr>
          <w:rFonts w:ascii="Times New Roman" w:hAnsi="Times New Roman"/>
          <w:sz w:val="20"/>
        </w:rPr>
        <w:t xml:space="preserve"> that the provisions of </w:t>
      </w:r>
      <w:r>
        <w:rPr>
          <w:rFonts w:ascii="Times New Roman" w:hAnsi="Times New Roman"/>
          <w:sz w:val="20"/>
          <w:u w:val="single"/>
        </w:rPr>
        <w:t>Section 7(g)</w:t>
      </w:r>
      <w:r>
        <w:rPr>
          <w:rFonts w:ascii="Times New Roman" w:hAnsi="Times New Roman"/>
          <w:sz w:val="20"/>
        </w:rPr>
        <w:t xml:space="preserve">, </w:t>
      </w:r>
      <w:r>
        <w:rPr>
          <w:rFonts w:ascii="Times New Roman" w:hAnsi="Times New Roman"/>
          <w:sz w:val="20"/>
          <w:u w:val="single"/>
        </w:rPr>
        <w:t>Section 9</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17</w:t>
      </w:r>
      <w:r>
        <w:rPr>
          <w:rFonts w:ascii="Times New Roman" w:hAnsi="Times New Roman"/>
          <w:sz w:val="20"/>
        </w:rPr>
        <w:t xml:space="preserve"> hereof shall remain in full force and effect notwithstanding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(e) This Agreement shall remain in full force and effect unless terminated pursuant to </w:t>
      </w:r>
      <w:r>
        <w:rPr>
          <w:rFonts w:ascii="Times New Roman" w:hAnsi="Times New Roman"/>
          <w:sz w:val="20"/>
          <w:u w:val="single"/>
        </w:rPr>
        <w:t>Sections 11(a)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 or (d)</w:t>
      </w:r>
      <w:r>
        <w:rPr>
          <w:rFonts w:ascii="Times New Roman" w:hAnsi="Times New Roman"/>
          <w:sz w:val="20"/>
        </w:rPr>
        <w:t xml:space="preserve"> above or otherwise by mutual agreement of the parties; </w:t>
      </w:r>
      <w:r>
        <w:rPr>
          <w:rFonts w:ascii="Times New Roman" w:hAnsi="Times New Roman"/>
          <w:i/>
          <w:sz w:val="20"/>
        </w:rPr>
        <w:t xml:space="preserve">provided, however, </w:t>
      </w:r>
      <w:r>
        <w:rPr>
          <w:rFonts w:ascii="Times New Roman" w:hAnsi="Times New Roman"/>
          <w:sz w:val="20"/>
        </w:rPr>
        <w:t xml:space="preserve">that any such termination by mutual agreement shall in all cases be deemed to provide that </w:t>
      </w:r>
      <w:r>
        <w:rPr>
          <w:rFonts w:ascii="Times New Roman" w:hAnsi="Times New Roman"/>
          <w:sz w:val="20"/>
          <w:u w:val="single"/>
        </w:rPr>
        <w:t>Section 7(g)</w:t>
      </w:r>
      <w:r>
        <w:rPr>
          <w:rFonts w:ascii="Times New Roman" w:hAnsi="Times New Roman"/>
          <w:sz w:val="20"/>
        </w:rPr>
        <w:t xml:space="preserve">, </w:t>
      </w:r>
      <w:r>
        <w:rPr>
          <w:rFonts w:ascii="Times New Roman" w:hAnsi="Times New Roman"/>
          <w:sz w:val="20"/>
          <w:u w:val="single"/>
        </w:rPr>
        <w:t>Section 9</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16</w:t>
      </w:r>
      <w:r>
        <w:rPr>
          <w:rFonts w:ascii="Times New Roman" w:hAnsi="Times New Roman"/>
          <w:sz w:val="20"/>
        </w:rPr>
        <w:t xml:space="preserve"> and </w:t>
      </w:r>
      <w:r>
        <w:rPr>
          <w:rFonts w:ascii="Times New Roman" w:hAnsi="Times New Roman"/>
          <w:sz w:val="20"/>
          <w:u w:val="single"/>
        </w:rPr>
        <w:t>Section 17</w:t>
      </w:r>
      <w:r>
        <w:rPr>
          <w:rFonts w:ascii="Times New Roman" w:hAnsi="Times New Roman"/>
          <w:sz w:val="20"/>
        </w:rPr>
        <w:t xml:space="preserve"> shall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(f) Any termination of this Agreement shall be effective on the date specified in such notice of termination; </w:t>
      </w:r>
      <w:r>
        <w:rPr>
          <w:rFonts w:ascii="Times New Roman" w:hAnsi="Times New Roman"/>
          <w:i/>
          <w:sz w:val="20"/>
        </w:rPr>
        <w:t>provided, however,</w:t>
      </w:r>
      <w:r>
        <w:rPr>
          <w:rFonts w:ascii="Times New Roman" w:hAnsi="Times New Roman"/>
          <w:sz w:val="20"/>
        </w:rPr>
        <w:t xml:space="preserve"> that such termination shall not be effective until the close of business on the date of receipt of such notice by TD Cowen or the Company, as the case may be. If such termination shall occur prior to the Settlement Date for any sale of Placement Shares, such Placement Shares shall settle in accordance with the provisions of this Agreement. </w:t>
      </w:r>
    </w:p>
    <w:p>
      <w:pPr>
        <w:pStyle w:val="TextBody"/>
        <w:bidi w:val="0"/>
        <w:spacing w:before="12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Notices</w:t>
      </w:r>
      <w:r>
        <w:rPr>
          <w:rFonts w:ascii="Times New Roman" w:hAnsi="Times New Roman"/>
          <w:sz w:val="20"/>
        </w:rPr>
        <w:t xml:space="preserve">. All notices or other communications required or permitted to be given by any party to any other party pursuant to the terms of this Agreement shall be in writing, unless otherwise specified in this Agreement, and if sent to TD Cowen, shall be delivered to TD Cowen at TD Securities (USA) LLC, 1 Vanderbilt Avenue, New York, NY 10017, Attention: ECM ATM Execution Team, email: atm-team@tdsecurities.com, with copies (which copies shall not constitute notice) to CIBLegal@tdsecurities.com and to Ropes &amp; Gray LLP, Prudential Tower, 800 Boylston Street, Boston, Massachusetts 02199, Attention: Thomas J. Danielski; or if sent to the Company, shall be delivered to Seres Therapeutics, Inc., 101 Cambridgepark Drive, Cambridge, MA 02140; Attention: Secretary, with a copy (which copy shall not constitute notice) to Latham &amp; Watkins LLP, 200 Clarendon Street, 27th Floor, Boston, MA 02116, Attention: Peter N. Handrinos, Esq. 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(as defined below), or, if such day is not a Business Day on the next succeeding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w:t>
      </w:r>
      <w:r>
        <w:rPr>
          <w:rFonts w:ascii="Times New Roman" w:hAnsi="Times New Roman"/>
          <w:b/>
          <w:sz w:val="20"/>
          <w:u w:val="single"/>
        </w:rPr>
        <w:t>Business Day</w:t>
      </w:r>
      <w:r>
        <w:rPr>
          <w:rFonts w:ascii="Times New Roman" w:hAnsi="Times New Roman"/>
          <w:sz w:val="20"/>
        </w:rPr>
        <w:t xml:space="preserve">” shall mean any day on which the Nasdaq and commercial banks in the City of New York are open for business. </w:t>
      </w:r>
    </w:p>
    <w:p>
      <w:pPr>
        <w:pStyle w:val="TextBody"/>
        <w:bidi w:val="0"/>
        <w:spacing w:before="12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Successors and Assigns</w:t>
      </w:r>
      <w:r>
        <w:rPr>
          <w:rFonts w:ascii="Times New Roman" w:hAnsi="Times New Roman"/>
          <w:sz w:val="20"/>
        </w:rPr>
        <w:t xml:space="preserve">. This Agreement shall inure to the benefit of and be binding upon the Company and TD Cowen and their respective successors and the affiliates, controlling persons, officers and directors referred to in </w:t>
      </w:r>
      <w:r>
        <w:rPr>
          <w:rFonts w:ascii="Times New Roman" w:hAnsi="Times New Roman"/>
          <w:sz w:val="20"/>
          <w:u w:val="single"/>
        </w:rPr>
        <w:t>Section 9</w:t>
      </w:r>
      <w:r>
        <w:rPr>
          <w:rFonts w:ascii="Times New Roman" w:hAnsi="Times New Roman"/>
          <w:sz w:val="20"/>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TD Cowen may assign its rights and obligations hereunder to an affiliate of TD Cowen without obtaining the Company’s consent. </w:t>
      </w:r>
    </w:p>
    <w:p>
      <w:pPr>
        <w:pStyle w:val="TextBody"/>
        <w:bidi w:val="0"/>
        <w:spacing w:before="120" w:after="0"/>
        <w:jc w:val="left"/>
        <w:rPr>
          <w:rFonts w:ascii="Times New Roman" w:hAnsi="Times New Roman"/>
          <w:sz w:val="20"/>
        </w:rPr>
      </w:pPr>
      <w:r>
        <w:rPr>
          <w:rFonts w:ascii="Times New Roman" w:hAnsi="Times New Roman"/>
          <w:sz w:val="20"/>
        </w:rPr>
        <w:t>14. </w:t>
      </w:r>
      <w:r>
        <w:rPr>
          <w:rFonts w:ascii="Times New Roman" w:hAnsi="Times New Roman"/>
          <w:sz w:val="20"/>
          <w:u w:val="single"/>
        </w:rPr>
        <w:t>Adjustments for Share Splits</w:t>
      </w:r>
      <w:r>
        <w:rPr>
          <w:rFonts w:ascii="Times New Roman" w:hAnsi="Times New Roman"/>
          <w:sz w:val="20"/>
        </w:rPr>
        <w:t xml:space="preserve">. The parties acknowledge and agree that all share-related numbers contained in this Agreement shall be adjusted to take into account any share split, share dividend or similar event effected with respect to the Common Stock. </w:t>
      </w:r>
    </w:p>
    <w:p>
      <w:pPr>
        <w:pStyle w:val="TextBody"/>
        <w:bidi w:val="0"/>
        <w:spacing w:before="120" w:after="0"/>
        <w:jc w:val="left"/>
        <w:rPr>
          <w:rFonts w:ascii="Times New Roman" w:hAnsi="Times New Roman"/>
          <w:sz w:val="20"/>
        </w:rPr>
      </w:pPr>
      <w:r>
        <w:rPr>
          <w:rFonts w:ascii="Times New Roman" w:hAnsi="Times New Roman"/>
          <w:sz w:val="20"/>
        </w:rPr>
        <w:t>15. </w:t>
      </w:r>
      <w:r>
        <w:rPr>
          <w:rFonts w:ascii="Times New Roman" w:hAnsi="Times New Roman"/>
          <w:sz w:val="20"/>
          <w:u w:val="single"/>
        </w:rPr>
        <w:t>Entire Agreement; Amendment; Severability</w:t>
      </w:r>
      <w:r>
        <w:rPr>
          <w:rFonts w:ascii="Times New Roman" w:hAnsi="Times New Roman"/>
          <w:sz w:val="20"/>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including that certain Sales Agreement by and between TD Cowen and the Company, dated May 21, 2021 (the “</w:t>
      </w:r>
      <w:r>
        <w:rPr>
          <w:rFonts w:ascii="Times New Roman" w:hAnsi="Times New Roman"/>
          <w:b/>
          <w:sz w:val="20"/>
          <w:u w:val="single"/>
        </w:rPr>
        <w:t>Prior Agreement</w:t>
      </w:r>
      <w:r>
        <w:rPr>
          <w:rFonts w:ascii="Times New Roman" w:hAnsi="Times New Roman"/>
          <w:sz w:val="20"/>
        </w:rPr>
        <w:t xml:space="preserve">”), which, upon the effectiveness of this Agreement, is hereby terminated and cancelled, including any placement notices thereunder. The Company and TD Cowen hereby waive all notice requirements with respect to termination under the Prior Agreement. Neither this Agreement nor any term hereof may be amended except pursuant to a written instrument executed by the Company and TD Cowen.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w:t>
      </w:r>
    </w:p>
    <w:p>
      <w:pPr>
        <w:pStyle w:val="TextBody"/>
        <w:bidi w:val="0"/>
        <w:spacing w:before="120" w:after="0"/>
        <w:jc w:val="left"/>
        <w:rPr>
          <w:rFonts w:ascii="Times New Roman" w:hAnsi="Times New Roman"/>
          <w:sz w:val="20"/>
        </w:rPr>
      </w:pPr>
      <w:r>
        <w:rPr>
          <w:rFonts w:ascii="Times New Roman" w:hAnsi="Times New Roman"/>
          <w:sz w:val="20"/>
        </w:rPr>
        <w:t>16. </w:t>
      </w:r>
      <w:r>
        <w:rPr>
          <w:rFonts w:ascii="Times New Roman" w:hAnsi="Times New Roman"/>
          <w:sz w:val="20"/>
          <w:u w:val="single"/>
        </w:rPr>
        <w:t>Applicable Law; Consent to Jurisdiction</w:t>
      </w:r>
      <w:r>
        <w:rPr>
          <w:rFonts w:ascii="Times New Roman" w:hAnsi="Times New Roman"/>
          <w:sz w:val="20"/>
        </w:rPr>
        <w:t xml:space="preserve">. This Agreement shall be governed by, and construed in accordance with, the internal laws of the State of New York without regard to the principles of conflicts of laws.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w:t>
      </w:r>
    </w:p>
    <w:p>
      <w:pPr>
        <w:pStyle w:val="TextBody"/>
        <w:bidi w:val="0"/>
        <w:spacing w:before="120" w:after="0"/>
        <w:jc w:val="left"/>
        <w:rPr>
          <w:rFonts w:ascii="Times New Roman" w:hAnsi="Times New Roman"/>
          <w:sz w:val="20"/>
        </w:rPr>
      </w:pPr>
      <w:r>
        <w:rPr>
          <w:rFonts w:ascii="Times New Roman" w:hAnsi="Times New Roman"/>
          <w:sz w:val="20"/>
        </w:rPr>
        <w:t>17. </w:t>
      </w:r>
      <w:r>
        <w:rPr>
          <w:rFonts w:ascii="Times New Roman" w:hAnsi="Times New Roman"/>
          <w:sz w:val="20"/>
          <w:u w:val="single"/>
        </w:rPr>
        <w:t>Waiver of Jury Trial</w:t>
      </w:r>
      <w:r>
        <w:rPr>
          <w:rFonts w:ascii="Times New Roman" w:hAnsi="Times New Roman"/>
          <w:sz w:val="20"/>
        </w:rPr>
        <w:t xml:space="preserve">. The Company and TD Cowen each hereby irrevocably waives any right it may have to a trial by jury in respect of any claim based upon or arising out of this Agreement or any transaction contemplated hereby. </w:t>
      </w:r>
    </w:p>
    <w:p>
      <w:pPr>
        <w:pStyle w:val="TextBody"/>
        <w:bidi w:val="0"/>
        <w:spacing w:before="120" w:after="0"/>
        <w:jc w:val="left"/>
        <w:rPr>
          <w:rFonts w:ascii="Times New Roman" w:hAnsi="Times New Roman"/>
          <w:sz w:val="20"/>
        </w:rPr>
      </w:pPr>
      <w:r>
        <w:rPr>
          <w:rFonts w:ascii="Times New Roman" w:hAnsi="Times New Roman"/>
          <w:sz w:val="20"/>
        </w:rPr>
        <w:t>18. </w:t>
      </w:r>
      <w:r>
        <w:rPr>
          <w:rFonts w:ascii="Times New Roman" w:hAnsi="Times New Roman"/>
          <w:sz w:val="20"/>
          <w:u w:val="single"/>
        </w:rPr>
        <w:t>Absence of Fiduciary Relationship</w:t>
      </w:r>
      <w:r>
        <w:rPr>
          <w:rFonts w:ascii="Times New Roman" w:hAnsi="Times New Roman"/>
          <w:i/>
          <w:sz w:val="20"/>
        </w:rPr>
        <w:t xml:space="preserve">. </w:t>
      </w:r>
      <w:r>
        <w:rPr>
          <w:rFonts w:ascii="Times New Roman" w:hAnsi="Times New Roman"/>
          <w:sz w:val="20"/>
        </w:rPr>
        <w:t xml:space="preserve">The Company acknowledges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TD Cowen has been retained solely to act as an arm’s length contractual counterparty to the Company in connection with the sale of the Placement Shares contemplated hereby and that no fiduciary, advisory or agency relationship between the Company and TD Cowen has been created in respect of any of the transactions contemplated by this Agreement, irrespective of whether TD Cowen has advised or is advising the Company on other matters; </w:t>
      </w:r>
    </w:p>
    <w:p>
      <w:pPr>
        <w:pStyle w:val="TextBody"/>
        <w:bidi w:val="0"/>
        <w:spacing w:before="120" w:after="0"/>
        <w:jc w:val="left"/>
        <w:rPr>
          <w:rFonts w:ascii="Times New Roman" w:hAnsi="Times New Roman"/>
          <w:sz w:val="20"/>
        </w:rPr>
      </w:pPr>
      <w:r>
        <w:rPr>
          <w:rFonts w:ascii="Times New Roman" w:hAnsi="Times New Roman"/>
          <w:sz w:val="20"/>
        </w:rPr>
        <w:t xml:space="preserve">(b) the Company is capable of evaluating and understanding and understands and accepts the terms, risks and conditions of the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Company has been advised that TD Cowen and its affiliates are engaged in a broad range of transactions which may involve interests that differ from those of the Company and that TD Cowen has no obligation to disclose such interests and transactions to the Company by virtue of any fiduciary, advisory or agency relationship; and </w:t>
      </w:r>
    </w:p>
    <w:p>
      <w:pPr>
        <w:pStyle w:val="TextBody"/>
        <w:bidi w:val="0"/>
        <w:spacing w:before="120" w:after="0"/>
        <w:jc w:val="left"/>
        <w:rPr>
          <w:rFonts w:ascii="Times New Roman" w:hAnsi="Times New Roman"/>
          <w:sz w:val="20"/>
        </w:rPr>
      </w:pPr>
      <w:r>
        <w:rPr>
          <w:rFonts w:ascii="Times New Roman" w:hAnsi="Times New Roman"/>
          <w:sz w:val="20"/>
        </w:rPr>
        <w:t xml:space="preserve">(d) the Company waives, to the fullest extent permitted by law, any claims it may have against TD Cowen, for breach of fiduciary duty or alleged breach of fiduciary duty and agrees that TD Cowen shall have no liability (whether direct or indirect) to the Company in respect of such a fiduciary claim or to any person asserting a fiduciary duty claim on behalf of or in right of the Company, including stockholders, partners, employees or creditors of the Company. </w:t>
      </w:r>
    </w:p>
    <w:p>
      <w:pPr>
        <w:pStyle w:val="TextBody"/>
        <w:bidi w:val="0"/>
        <w:spacing w:before="120" w:after="0"/>
        <w:jc w:val="left"/>
        <w:rPr>
          <w:rFonts w:ascii="Times New Roman" w:hAnsi="Times New Roman"/>
          <w:sz w:val="20"/>
        </w:rPr>
      </w:pPr>
      <w:r>
        <w:rPr>
          <w:rFonts w:ascii="Times New Roman" w:hAnsi="Times New Roman"/>
          <w:sz w:val="20"/>
        </w:rPr>
        <w:t>19. </w:t>
      </w:r>
      <w:r>
        <w:rPr>
          <w:rFonts w:ascii="Times New Roman" w:hAnsi="Times New Roman"/>
          <w:sz w:val="20"/>
          <w:u w:val="single"/>
        </w:rPr>
        <w:t>Counterparts; Electronic Signatures</w:t>
      </w:r>
      <w:r>
        <w:rPr>
          <w:rFonts w:ascii="Times New Roman" w:hAnsi="Times New Roman"/>
          <w:sz w:val="20"/>
        </w:rPr>
        <w:t>. This Agreement may be executed in two or more counterparts, each of which shall be deemed an original, but all of which together shall constitute one and the same instrument. Delivery of an executed Agreement by one party to the other may be made by facsimile transmission. Signature pages may be electronically executed and delivered, including by facsimile, any electronic method complying with the federal </w:t>
      </w:r>
      <w:r>
        <w:rPr>
          <w:rFonts w:ascii="Times New Roman" w:hAnsi="Times New Roman"/>
          <w:b/>
          <w:sz w:val="20"/>
        </w:rPr>
        <w:t>ESIGN</w:t>
      </w:r>
      <w:r>
        <w:rPr>
          <w:rFonts w:ascii="Times New Roman" w:hAnsi="Times New Roman"/>
          <w:sz w:val="20"/>
        </w:rPr>
        <w:t xml:space="preserve"> Act (e.g., DocuSign) or by wet ink signature captured on a pdf email attachment, and any signature pages so executed and delivered shall be valid and binding for all purposes. The foregoing provision supersedes any other consent signed by the parties related to the electronic signature and delivery of this Agreement. </w:t>
      </w:r>
    </w:p>
    <w:p>
      <w:pPr>
        <w:pStyle w:val="TextBody"/>
        <w:bidi w:val="0"/>
        <w:spacing w:before="120" w:after="0"/>
        <w:jc w:val="left"/>
        <w:rPr>
          <w:rFonts w:ascii="Times New Roman" w:hAnsi="Times New Roman"/>
          <w:sz w:val="20"/>
        </w:rPr>
      </w:pPr>
      <w:r>
        <w:rPr>
          <w:rFonts w:ascii="Times New Roman" w:hAnsi="Times New Roman"/>
          <w:sz w:val="20"/>
        </w:rPr>
        <w:t>20. 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 the event that TD Cowen is a Covered Entity and becomes subject to a proceeding under a U.S. Special Resolution Regime, the transfer from TD Cowen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 the event that TD Cowen is a Covered Entity and TD Cowen or a BHC Act Affiliate of TD Cowen becomes subject to a proceeding under a U.S. Special Resolution Regime, Default Rights under this Agreement that may be exercised against TD Cowen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120" w:after="0"/>
        <w:jc w:val="left"/>
        <w:rPr>
          <w:rFonts w:ascii="Times New Roman" w:hAnsi="Times New Roman"/>
          <w:sz w:val="20"/>
        </w:rPr>
      </w:pPr>
      <w:r>
        <w:rPr>
          <w:rFonts w:ascii="Times New Roman" w:hAnsi="Times New Roman"/>
          <w:sz w:val="20"/>
        </w:rPr>
        <w:t>(c) For purposes of this Section 20: (a) “</w:t>
      </w:r>
      <w:r>
        <w:rPr>
          <w:rFonts w:ascii="Times New Roman" w:hAnsi="Times New Roman"/>
          <w:b/>
          <w:sz w:val="20"/>
          <w:u w:val="single"/>
        </w:rPr>
        <w:t>BHC Act Affiliate</w:t>
      </w:r>
      <w:r>
        <w:rPr>
          <w:rFonts w:ascii="Times New Roman" w:hAnsi="Times New Roman"/>
          <w:sz w:val="20"/>
        </w:rPr>
        <w:t>” has the meaning assigned to the term “affiliate” in, and shall be interpreted in accordance with, 12 U.S.C. § 1841(k), (b) “</w:t>
      </w:r>
      <w:r>
        <w:rPr>
          <w:rFonts w:ascii="Times New Roman" w:hAnsi="Times New Roman"/>
          <w:b/>
          <w:sz w:val="20"/>
          <w:u w:val="single"/>
        </w:rPr>
        <w:t>Covered 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w:t>
      </w:r>
      <w:r>
        <w:rPr>
          <w:rFonts w:ascii="Times New Roman" w:hAnsi="Times New Roman"/>
          <w:b/>
          <w:sz w:val="20"/>
          <w:u w:val="single"/>
        </w:rPr>
        <w:t>Default Right</w:t>
      </w:r>
      <w:r>
        <w:rPr>
          <w:rFonts w:ascii="Times New Roman" w:hAnsi="Times New Roman"/>
          <w:sz w:val="20"/>
        </w:rPr>
        <w:t>” has the meaning assigned to that term in, and shall be interpreted in accordance with, 12 C.F.R. §§ 252.81, 47.2 or 382.1, as applicable, and (d) “</w:t>
      </w:r>
      <w:r>
        <w:rPr>
          <w:rFonts w:ascii="Times New Roman" w:hAnsi="Times New Roman"/>
          <w:b/>
          <w:sz w:val="20"/>
          <w:u w:val="single"/>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correctly sets forth the understanding between the Company and TD Cowen, please so indicate in the space provided below for that purpose, whereupon this letter shall constitute a binding agreement between the Company and TD Cowen.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24"/>
        <w:gridCol w:w="130"/>
        <w:gridCol w:w="3128"/>
      </w:tblGrid>
      <w:tr>
        <w:trPr/>
        <w:tc>
          <w:tcPr>
            <w:tcW w:w="82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TD SECURITIES (USA) LLC</w:t>
            </w:r>
          </w:p>
        </w:tc>
      </w:tr>
      <w:tr>
        <w:trPr>
          <w:trHeight w:val="240" w:hRule="atLeast"/>
        </w:trPr>
        <w:tc>
          <w:tcPr>
            <w:tcW w:w="824" w:type="dxa"/>
            <w:tcBorders/>
            <w:vAlign w:val="center"/>
          </w:tcPr>
          <w:p>
            <w:pPr>
              <w:pStyle w:val="TableContents"/>
              <w:bidi w:val="0"/>
              <w:spacing w:before="0" w:after="283"/>
              <w:jc w:val="left"/>
              <w:rPr>
                <w:sz w:val="4"/>
                <w:szCs w:val="4"/>
              </w:rPr>
            </w:pPr>
            <w:r>
              <w:rPr>
                <w:sz w:val="4"/>
                <w:szCs w:val="4"/>
              </w:rPr>
            </w:r>
          </w:p>
        </w:tc>
        <w:tc>
          <w:tcPr>
            <w:tcW w:w="3258" w:type="dxa"/>
            <w:gridSpan w:val="2"/>
            <w:tcBorders/>
            <w:vAlign w:val="center"/>
          </w:tcPr>
          <w:p>
            <w:pPr>
              <w:pStyle w:val="TableContents"/>
              <w:bidi w:val="0"/>
              <w:spacing w:before="0" w:after="283"/>
              <w:jc w:val="left"/>
              <w:rPr>
                <w:sz w:val="4"/>
                <w:szCs w:val="4"/>
              </w:rPr>
            </w:pPr>
            <w:r>
              <w:rPr>
                <w:sz w:val="4"/>
                <w:szCs w:val="4"/>
              </w:rPr>
            </w:r>
          </w:p>
        </w:tc>
      </w:tr>
      <w:tr>
        <w:trPr/>
        <w:tc>
          <w:tcPr>
            <w:tcW w:w="824" w:type="dxa"/>
            <w:tcBorders/>
          </w:tcPr>
          <w:p>
            <w:pPr>
              <w:pStyle w:val="TableContents"/>
              <w:bidi w:val="0"/>
              <w:spacing w:before="0" w:after="283"/>
              <w:jc w:val="left"/>
              <w:rPr/>
            </w:pPr>
            <w:r>
              <w:rPr/>
              <w:t>By:</w:t>
            </w:r>
          </w:p>
        </w:tc>
        <w:tc>
          <w:tcPr>
            <w:tcW w:w="130" w:type="dxa"/>
            <w:tcBorders/>
            <w:vAlign w:val="bottom"/>
          </w:tcPr>
          <w:p>
            <w:pPr>
              <w:pStyle w:val="TableContents"/>
              <w:bidi w:val="0"/>
              <w:spacing w:before="0" w:after="283"/>
              <w:jc w:val="left"/>
              <w:rPr/>
            </w:pPr>
            <w:r>
              <w:rPr/>
              <w:t> </w:t>
            </w:r>
          </w:p>
        </w:tc>
        <w:tc>
          <w:tcPr>
            <w:tcW w:w="31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Murphy</w:t>
            </w:r>
          </w:p>
        </w:tc>
      </w:tr>
      <w:tr>
        <w:trPr/>
        <w:tc>
          <w:tcPr>
            <w:tcW w:w="4082" w:type="dxa"/>
            <w:gridSpan w:val="3"/>
            <w:tcBorders/>
          </w:tcPr>
          <w:p>
            <w:pPr>
              <w:pStyle w:val="TableContents"/>
              <w:bidi w:val="0"/>
              <w:spacing w:before="0" w:after="283"/>
              <w:jc w:val="left"/>
              <w:rPr/>
            </w:pPr>
            <w:r>
              <w:rPr/>
              <w:t>Name: Michael Murphy</w:t>
            </w:r>
          </w:p>
        </w:tc>
      </w:tr>
      <w:tr>
        <w:trPr/>
        <w:tc>
          <w:tcPr>
            <w:tcW w:w="4082" w:type="dxa"/>
            <w:gridSpan w:val="3"/>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ACCEPTED as of the date first-above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SERES THERAPEUTICS, INC.</w:t>
            </w:r>
          </w:p>
        </w:tc>
      </w:tr>
      <w:tr>
        <w:trPr>
          <w:trHeight w:val="240" w:hRule="atLeast"/>
        </w:trPr>
        <w:tc>
          <w:tcPr>
            <w:tcW w:w="824" w:type="dxa"/>
            <w:tcBorders/>
            <w:vAlign w:val="center"/>
          </w:tcPr>
          <w:p>
            <w:pPr>
              <w:pStyle w:val="TableContents"/>
              <w:bidi w:val="0"/>
              <w:spacing w:before="0" w:after="283"/>
              <w:jc w:val="left"/>
              <w:rPr>
                <w:sz w:val="4"/>
                <w:szCs w:val="4"/>
              </w:rPr>
            </w:pPr>
            <w:r>
              <w:rPr>
                <w:sz w:val="4"/>
                <w:szCs w:val="4"/>
              </w:rPr>
            </w:r>
          </w:p>
        </w:tc>
        <w:tc>
          <w:tcPr>
            <w:tcW w:w="3258" w:type="dxa"/>
            <w:gridSpan w:val="2"/>
            <w:tcBorders/>
            <w:vAlign w:val="center"/>
          </w:tcPr>
          <w:p>
            <w:pPr>
              <w:pStyle w:val="TableContents"/>
              <w:bidi w:val="0"/>
              <w:spacing w:before="0" w:after="283"/>
              <w:jc w:val="left"/>
              <w:rPr>
                <w:sz w:val="4"/>
                <w:szCs w:val="4"/>
              </w:rPr>
            </w:pPr>
            <w:r>
              <w:rPr>
                <w:sz w:val="4"/>
                <w:szCs w:val="4"/>
              </w:rPr>
            </w:r>
          </w:p>
        </w:tc>
      </w:tr>
      <w:tr>
        <w:trPr/>
        <w:tc>
          <w:tcPr>
            <w:tcW w:w="824" w:type="dxa"/>
            <w:tcBorders/>
          </w:tcPr>
          <w:p>
            <w:pPr>
              <w:pStyle w:val="TableContents"/>
              <w:bidi w:val="0"/>
              <w:spacing w:before="0" w:after="283"/>
              <w:jc w:val="left"/>
              <w:rPr/>
            </w:pPr>
            <w:r>
              <w:rPr/>
              <w:t>By:</w:t>
            </w:r>
          </w:p>
        </w:tc>
        <w:tc>
          <w:tcPr>
            <w:tcW w:w="130" w:type="dxa"/>
            <w:tcBorders/>
            <w:vAlign w:val="bottom"/>
          </w:tcPr>
          <w:p>
            <w:pPr>
              <w:pStyle w:val="TableContents"/>
              <w:bidi w:val="0"/>
              <w:spacing w:before="0" w:after="283"/>
              <w:jc w:val="left"/>
              <w:rPr/>
            </w:pPr>
            <w:r>
              <w:rPr/>
              <w:t> </w:t>
            </w:r>
          </w:p>
        </w:tc>
        <w:tc>
          <w:tcPr>
            <w:tcW w:w="31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N. Kender</w:t>
            </w:r>
          </w:p>
        </w:tc>
      </w:tr>
      <w:tr>
        <w:trPr/>
        <w:tc>
          <w:tcPr>
            <w:tcW w:w="4082" w:type="dxa"/>
            <w:gridSpan w:val="3"/>
            <w:tcBorders/>
          </w:tcPr>
          <w:p>
            <w:pPr>
              <w:pStyle w:val="TableContents"/>
              <w:bidi w:val="0"/>
              <w:spacing w:before="0" w:after="283"/>
              <w:jc w:val="left"/>
              <w:rPr/>
            </w:pPr>
            <w:r>
              <w:rPr/>
              <w:t>Name: Richard N. Kender</w:t>
            </w:r>
          </w:p>
        </w:tc>
      </w:tr>
      <w:tr>
        <w:trPr/>
        <w:tc>
          <w:tcPr>
            <w:tcW w:w="4082" w:type="dxa"/>
            <w:gridSpan w:val="3"/>
            <w:tcBorders/>
          </w:tcPr>
          <w:p>
            <w:pPr>
              <w:pStyle w:val="TableContents"/>
              <w:bidi w:val="0"/>
              <w:spacing w:before="0" w:after="283"/>
              <w:jc w:val="left"/>
              <w:rPr/>
            </w:pPr>
            <w:r>
              <w:rPr/>
              <w:t>Title:  Executive Chair and Interim Chief Executive Officer</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1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PLACEMENT NOTICE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5"/>
        <w:gridCol w:w="125"/>
        <w:gridCol w:w="9325"/>
      </w:tblGrid>
      <w:tr>
        <w:trPr/>
        <w:tc>
          <w:tcPr>
            <w:tcW w:w="75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9325" w:type="dxa"/>
            <w:tcBorders/>
            <w:vAlign w:val="center"/>
          </w:tcPr>
          <w:p>
            <w:pPr>
              <w:pStyle w:val="TableContents"/>
              <w:bidi w:val="0"/>
              <w:spacing w:before="0" w:after="283"/>
              <w:jc w:val="left"/>
              <w:rPr>
                <w:sz w:val="4"/>
                <w:szCs w:val="4"/>
              </w:rPr>
            </w:pPr>
            <w:r>
              <w:rPr>
                <w:sz w:val="4"/>
                <w:szCs w:val="4"/>
              </w:rPr>
            </w:r>
          </w:p>
        </w:tc>
      </w:tr>
      <w:tr>
        <w:trPr/>
        <w:tc>
          <w:tcPr>
            <w:tcW w:w="755" w:type="dxa"/>
            <w:tcBorders/>
          </w:tcPr>
          <w:p>
            <w:pPr>
              <w:pStyle w:val="TableContents"/>
              <w:bidi w:val="0"/>
              <w:spacing w:before="0" w:after="283"/>
              <w:jc w:val="left"/>
              <w:rPr/>
            </w:pPr>
            <w:r>
              <w:rPr/>
              <w:t>From:</w:t>
            </w:r>
          </w:p>
        </w:tc>
        <w:tc>
          <w:tcPr>
            <w:tcW w:w="125" w:type="dxa"/>
            <w:tcBorders/>
            <w:vAlign w:val="bottom"/>
          </w:tcPr>
          <w:p>
            <w:pPr>
              <w:pStyle w:val="TableContents"/>
              <w:bidi w:val="0"/>
              <w:spacing w:before="0" w:after="283"/>
              <w:jc w:val="left"/>
              <w:rPr/>
            </w:pPr>
            <w:r>
              <w:rPr/>
              <w:t>  </w:t>
            </w:r>
          </w:p>
        </w:tc>
        <w:tc>
          <w:tcPr>
            <w:tcW w:w="9325" w:type="dxa"/>
            <w:tcBorders/>
          </w:tcPr>
          <w:p>
            <w:pPr>
              <w:pStyle w:val="TableContents"/>
              <w:bidi w:val="0"/>
              <w:spacing w:before="0" w:after="283"/>
              <w:jc w:val="left"/>
              <w:rPr/>
            </w:pPr>
            <w:r>
              <w:rPr/>
              <w:t>[        ]</w:t>
            </w:r>
          </w:p>
        </w:tc>
      </w:tr>
      <w:tr>
        <w:trPr/>
        <w:tc>
          <w:tcPr>
            <w:tcW w:w="755" w:type="dxa"/>
            <w:tcBorders/>
          </w:tcPr>
          <w:p>
            <w:pPr>
              <w:pStyle w:val="TableContents"/>
              <w:bidi w:val="0"/>
              <w:spacing w:before="0" w:after="283"/>
              <w:jc w:val="left"/>
              <w:rPr/>
            </w:pPr>
            <w:r>
              <w:rPr/>
              <w:t>Cc:</w:t>
            </w:r>
          </w:p>
        </w:tc>
        <w:tc>
          <w:tcPr>
            <w:tcW w:w="125" w:type="dxa"/>
            <w:tcBorders/>
            <w:vAlign w:val="bottom"/>
          </w:tcPr>
          <w:p>
            <w:pPr>
              <w:pStyle w:val="TableContents"/>
              <w:bidi w:val="0"/>
              <w:spacing w:before="0" w:after="283"/>
              <w:jc w:val="left"/>
              <w:rPr/>
            </w:pPr>
            <w:r>
              <w:rPr/>
              <w:t>  </w:t>
            </w:r>
          </w:p>
        </w:tc>
        <w:tc>
          <w:tcPr>
            <w:tcW w:w="9325" w:type="dxa"/>
            <w:tcBorders/>
          </w:tcPr>
          <w:p>
            <w:pPr>
              <w:pStyle w:val="TableContents"/>
              <w:bidi w:val="0"/>
              <w:spacing w:before="0" w:after="283"/>
              <w:jc w:val="left"/>
              <w:rPr/>
            </w:pPr>
            <w:r>
              <w:rPr/>
              <w:t>[        ]</w:t>
            </w:r>
          </w:p>
        </w:tc>
      </w:tr>
      <w:tr>
        <w:trPr/>
        <w:tc>
          <w:tcPr>
            <w:tcW w:w="755" w:type="dxa"/>
            <w:tcBorders/>
          </w:tcPr>
          <w:p>
            <w:pPr>
              <w:pStyle w:val="TableContents"/>
              <w:bidi w:val="0"/>
              <w:spacing w:before="0" w:after="283"/>
              <w:jc w:val="left"/>
              <w:rPr/>
            </w:pPr>
            <w:r>
              <w:rPr/>
              <w:t>To:</w:t>
            </w:r>
          </w:p>
        </w:tc>
        <w:tc>
          <w:tcPr>
            <w:tcW w:w="125" w:type="dxa"/>
            <w:tcBorders/>
            <w:vAlign w:val="bottom"/>
          </w:tcPr>
          <w:p>
            <w:pPr>
              <w:pStyle w:val="TableContents"/>
              <w:bidi w:val="0"/>
              <w:spacing w:before="0" w:after="283"/>
              <w:jc w:val="left"/>
              <w:rPr/>
            </w:pPr>
            <w:r>
              <w:rPr/>
              <w:t>  </w:t>
            </w:r>
          </w:p>
        </w:tc>
        <w:tc>
          <w:tcPr>
            <w:tcW w:w="9325" w:type="dxa"/>
            <w:tcBorders/>
          </w:tcPr>
          <w:p>
            <w:pPr>
              <w:pStyle w:val="TableContents"/>
              <w:bidi w:val="0"/>
              <w:spacing w:before="0" w:after="283"/>
              <w:jc w:val="left"/>
              <w:rPr/>
            </w:pPr>
            <w:r>
              <w:rPr/>
              <w:t>[        ]</w:t>
            </w:r>
          </w:p>
        </w:tc>
      </w:tr>
      <w:tr>
        <w:trPr/>
        <w:tc>
          <w:tcPr>
            <w:tcW w:w="755" w:type="dxa"/>
            <w:tcBorders/>
          </w:tcPr>
          <w:p>
            <w:pPr>
              <w:pStyle w:val="TableContents"/>
              <w:bidi w:val="0"/>
              <w:spacing w:before="0" w:after="283"/>
              <w:jc w:val="left"/>
              <w:rPr/>
            </w:pPr>
            <w:r>
              <w:rPr/>
              <w:t>Subject:</w:t>
            </w:r>
          </w:p>
        </w:tc>
        <w:tc>
          <w:tcPr>
            <w:tcW w:w="125" w:type="dxa"/>
            <w:tcBorders/>
            <w:vAlign w:val="bottom"/>
          </w:tcPr>
          <w:p>
            <w:pPr>
              <w:pStyle w:val="TableContents"/>
              <w:bidi w:val="0"/>
              <w:spacing w:before="0" w:after="283"/>
              <w:jc w:val="left"/>
              <w:rPr/>
            </w:pPr>
            <w:r>
              <w:rPr/>
              <w:t>  </w:t>
            </w:r>
          </w:p>
        </w:tc>
        <w:tc>
          <w:tcPr>
            <w:tcW w:w="9325" w:type="dxa"/>
            <w:tcBorders/>
          </w:tcPr>
          <w:p>
            <w:pPr>
              <w:pStyle w:val="TableContents"/>
              <w:bidi w:val="0"/>
              <w:spacing w:before="0" w:after="283"/>
              <w:jc w:val="left"/>
              <w:rPr/>
            </w:pPr>
            <w:r>
              <w:rPr/>
              <w:t>TD Cowen At the Market Offering—Placement Notice</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Gentlemen: </w:t>
      </w:r>
    </w:p>
    <w:p>
      <w:pPr>
        <w:pStyle w:val="TextBody"/>
        <w:bidi w:val="0"/>
        <w:spacing w:before="120" w:after="0"/>
        <w:jc w:val="left"/>
        <w:rPr>
          <w:rFonts w:ascii="Times New Roman" w:hAnsi="Times New Roman"/>
          <w:sz w:val="20"/>
        </w:rPr>
      </w:pPr>
      <w:r>
        <w:rPr>
          <w:rFonts w:ascii="Times New Roman" w:hAnsi="Times New Roman"/>
          <w:sz w:val="20"/>
        </w:rPr>
        <w:t>Pursuant to the terms and subject to the conditions contained in the Sales Agreement between Seres Therapeutics, Inc. (the “</w:t>
      </w:r>
      <w:r>
        <w:rPr>
          <w:rFonts w:ascii="Times New Roman" w:hAnsi="Times New Roman"/>
          <w:sz w:val="20"/>
          <w:u w:val="single"/>
        </w:rPr>
        <w:t>Company</w:t>
      </w:r>
      <w:r>
        <w:rPr>
          <w:rFonts w:ascii="Times New Roman" w:hAnsi="Times New Roman"/>
          <w:sz w:val="20"/>
        </w:rPr>
        <w:t>”), and TD Securities (USA) LLC (“</w:t>
      </w:r>
      <w:r>
        <w:rPr>
          <w:rFonts w:ascii="Times New Roman" w:hAnsi="Times New Roman"/>
          <w:sz w:val="20"/>
          <w:u w:val="single"/>
        </w:rPr>
        <w:t>TD Cowen</w:t>
      </w:r>
      <w:r>
        <w:rPr>
          <w:rFonts w:ascii="Times New Roman" w:hAnsi="Times New Roman"/>
          <w:sz w:val="20"/>
        </w:rPr>
        <w:t>”) dated August 13, 2026 (the “</w:t>
      </w:r>
      <w:r>
        <w:rPr>
          <w:rFonts w:ascii="Times New Roman" w:hAnsi="Times New Roman"/>
          <w:sz w:val="20"/>
          <w:u w:val="single"/>
        </w:rPr>
        <w:t>Agreement</w:t>
      </w:r>
      <w:r>
        <w:rPr>
          <w:rFonts w:ascii="Times New Roman" w:hAnsi="Times New Roman"/>
          <w:sz w:val="20"/>
        </w:rPr>
        <w:t xml:space="preserve">”), I hereby request on behalf of the Company that TD Cowen sell up to [ ] shares of the Company’s common stock, par value $0.001 per share, at a minimum market price of $_______ per share. Sales should begin on the date of this Notice and shall continue until [DATE] [all shares are sold].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2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Notice Parties </w:t>
      </w:r>
    </w:p>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Seres Therapeutics, Inc. </w:t>
      </w:r>
    </w:p>
    <w:p>
      <w:pPr>
        <w:pStyle w:val="TextBody"/>
        <w:bidi w:val="0"/>
        <w:spacing w:before="120" w:after="0"/>
        <w:jc w:val="left"/>
        <w:rPr>
          <w:rFonts w:ascii="Times New Roman" w:hAnsi="Times New Roman"/>
          <w:sz w:val="20"/>
        </w:rPr>
      </w:pPr>
      <w:r>
        <w:rPr>
          <w:rFonts w:ascii="Times New Roman" w:hAnsi="Times New Roman"/>
          <w:sz w:val="20"/>
        </w:rPr>
        <w:t xml:space="preserve">Richard Kender – Executive Chair and Interim Chief Executive Officer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TD Securities (USA) LLC </w:t>
      </w:r>
    </w:p>
    <w:p>
      <w:pPr>
        <w:pStyle w:val="TextBody"/>
        <w:bidi w:val="0"/>
        <w:spacing w:before="120" w:after="0"/>
        <w:jc w:val="left"/>
        <w:rPr>
          <w:rFonts w:ascii="Times New Roman" w:hAnsi="Times New Roman"/>
          <w:sz w:val="20"/>
        </w:rPr>
      </w:pPr>
      <w:r>
        <w:rPr>
          <w:rFonts w:ascii="Times New Roman" w:hAnsi="Times New Roman"/>
          <w:sz w:val="20"/>
        </w:rPr>
        <w:t xml:space="preserve">Michael J. Murphy – Managing Director </w:t>
      </w:r>
    </w:p>
    <w:p>
      <w:pPr>
        <w:pStyle w:val="TextBody"/>
        <w:bidi w:val="0"/>
        <w:spacing w:before="240" w:after="0"/>
        <w:jc w:val="left"/>
        <w:rPr>
          <w:rFonts w:ascii="Times New Roman" w:hAnsi="Times New Roman"/>
          <w:sz w:val="20"/>
        </w:rPr>
      </w:pPr>
      <w:r>
        <w:rPr>
          <w:rFonts w:ascii="Times New Roman" w:hAnsi="Times New Roman"/>
          <w:sz w:val="20"/>
        </w:rPr>
        <w:t xml:space="preserve">William Follis – Managing Director </w:t>
      </w:r>
    </w:p>
    <w:p>
      <w:pPr>
        <w:pStyle w:val="TextBody"/>
        <w:bidi w:val="0"/>
        <w:spacing w:before="240" w:after="0"/>
        <w:jc w:val="left"/>
        <w:rPr>
          <w:rFonts w:ascii="Times New Roman" w:hAnsi="Times New Roman"/>
          <w:sz w:val="20"/>
        </w:rPr>
      </w:pPr>
      <w:r>
        <w:rPr>
          <w:rFonts w:ascii="Times New Roman" w:hAnsi="Times New Roman"/>
          <w:sz w:val="20"/>
        </w:rPr>
        <w:t xml:space="preserve">Adriano Pierroz – Director </w:t>
      </w:r>
    </w:p>
    <w:p>
      <w:pPr>
        <w:pStyle w:val="TextBody"/>
        <w:bidi w:val="0"/>
        <w:spacing w:before="240" w:after="0"/>
        <w:jc w:val="left"/>
        <w:rPr>
          <w:rFonts w:ascii="Times New Roman" w:hAnsi="Times New Roman"/>
          <w:sz w:val="20"/>
        </w:rPr>
      </w:pPr>
      <w:r>
        <w:rPr>
          <w:rFonts w:ascii="Times New Roman" w:hAnsi="Times New Roman"/>
          <w:sz w:val="20"/>
        </w:rPr>
        <w:t xml:space="preserve">Megan Sanford – Associate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SCHEDULE 3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Compensation </w:t>
      </w:r>
    </w:p>
    <w:p>
      <w:pPr>
        <w:pStyle w:val="TextBody"/>
        <w:bidi w:val="0"/>
        <w:spacing w:before="240" w:after="0"/>
        <w:jc w:val="left"/>
        <w:rPr>
          <w:rFonts w:ascii="Times New Roman" w:hAnsi="Times New Roman"/>
          <w:sz w:val="20"/>
        </w:rPr>
      </w:pPr>
      <w:r>
        <w:rPr>
          <w:rFonts w:ascii="Times New Roman" w:hAnsi="Times New Roman"/>
          <w:sz w:val="20"/>
        </w:rPr>
        <w:t xml:space="preserve">TD Cowen shall be paid compensation up to 3.0% of the gross proceeds from the sales of Common Stock pursuant to the terms of this Agreement.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u w:val="single"/>
        </w:rPr>
      </w:pPr>
      <w:r>
        <w:rPr>
          <w:rFonts w:ascii="Times New Roman" w:hAnsi="Times New Roman"/>
          <w:b/>
          <w:sz w:val="20"/>
          <w:u w:val="single"/>
        </w:rPr>
        <w:t xml:space="preserve">Exhibit 7(m)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OFFICER CERTIFICATE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the duly qualified and elected _______________________, of </w:t>
      </w:r>
      <w:r>
        <w:rPr>
          <w:rFonts w:ascii="Times New Roman" w:hAnsi="Times New Roman"/>
          <w:b/>
          <w:sz w:val="20"/>
        </w:rPr>
        <w:t xml:space="preserve">Seres Therapeutics, Inc. </w:t>
      </w:r>
      <w:r>
        <w:rPr>
          <w:rFonts w:ascii="Times New Roman" w:hAnsi="Times New Roman"/>
          <w:sz w:val="20"/>
        </w:rPr>
        <w:t>(the “</w:t>
      </w:r>
      <w:r>
        <w:rPr>
          <w:rFonts w:ascii="Times New Roman" w:hAnsi="Times New Roman"/>
          <w:b/>
          <w:sz w:val="20"/>
          <w:u w:val="single"/>
        </w:rPr>
        <w:t>Company</w:t>
      </w:r>
      <w:r>
        <w:rPr>
          <w:rFonts w:ascii="Times New Roman" w:hAnsi="Times New Roman"/>
          <w:sz w:val="20"/>
        </w:rPr>
        <w:t xml:space="preserve">”), a Delaware corporation, does hereby certify in such capacity and on behalf of the Company, pursuant to </w:t>
      </w:r>
      <w:r>
        <w:rPr>
          <w:rFonts w:ascii="Times New Roman" w:hAnsi="Times New Roman"/>
          <w:sz w:val="20"/>
          <w:u w:val="single"/>
        </w:rPr>
        <w:t>Section 7(m)</w:t>
      </w:r>
      <w:r>
        <w:rPr>
          <w:rFonts w:ascii="Times New Roman" w:hAnsi="Times New Roman"/>
          <w:sz w:val="20"/>
        </w:rPr>
        <w:t xml:space="preserve"> of the Sales Agreement dated August 13, 2026 (the “</w:t>
      </w:r>
      <w:r>
        <w:rPr>
          <w:rFonts w:ascii="Times New Roman" w:hAnsi="Times New Roman"/>
          <w:b/>
          <w:sz w:val="20"/>
          <w:u w:val="single"/>
        </w:rPr>
        <w:t>Sales Agreement</w:t>
      </w:r>
      <w:r>
        <w:rPr>
          <w:rFonts w:ascii="Times New Roman" w:hAnsi="Times New Roman"/>
          <w:sz w:val="20"/>
        </w:rPr>
        <w:t xml:space="preserve">”) between the Company and TD Securities (USA) LLC, that to the best of the knowledge of the undersigned. </w:t>
      </w:r>
    </w:p>
    <w:p>
      <w:pPr>
        <w:pStyle w:val="TextBody"/>
        <w:bidi w:val="0"/>
        <w:spacing w:before="120" w:after="0"/>
        <w:jc w:val="left"/>
        <w:rPr>
          <w:rFonts w:ascii="Times New Roman" w:hAnsi="Times New Roman"/>
          <w:sz w:val="20"/>
        </w:rPr>
      </w:pPr>
      <w:r>
        <w:rPr>
          <w:rFonts w:ascii="Times New Roman" w:hAnsi="Times New Roman"/>
          <w:sz w:val="20"/>
        </w:rPr>
        <w:t xml:space="preserve">(i) The representations and warranties of the Company in </w:t>
      </w:r>
      <w:r>
        <w:rPr>
          <w:rFonts w:ascii="Times New Roman" w:hAnsi="Times New Roman"/>
          <w:sz w:val="20"/>
          <w:u w:val="single"/>
        </w:rPr>
        <w:t>Section 6</w:t>
      </w:r>
      <w:r>
        <w:rPr>
          <w:rFonts w:ascii="Times New Roman" w:hAnsi="Times New Roman"/>
          <w:sz w:val="20"/>
        </w:rPr>
        <w:t xml:space="preserve"> of the Sales Agreement (A) to the extent such representations and warranties are subject to qualifications and exceptions contained therein relating to materiality or Material Adverse Change,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and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has complied with all agreements and satisfied all conditions on its part to be performed or satisfied pursuant to the Sales Agreement at or prior to the date hereof.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96"/>
        <w:gridCol w:w="83"/>
        <w:gridCol w:w="3503"/>
      </w:tblGrid>
      <w:tr>
        <w:trPr/>
        <w:tc>
          <w:tcPr>
            <w:tcW w:w="496"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3503" w:type="dxa"/>
            <w:tcBorders/>
            <w:vAlign w:val="center"/>
          </w:tcPr>
          <w:p>
            <w:pPr>
              <w:pStyle w:val="TableContents"/>
              <w:bidi w:val="0"/>
              <w:spacing w:before="0" w:after="283"/>
              <w:jc w:val="left"/>
              <w:rPr>
                <w:sz w:val="4"/>
                <w:szCs w:val="4"/>
              </w:rPr>
            </w:pPr>
            <w:r>
              <w:rPr>
                <w:sz w:val="4"/>
                <w:szCs w:val="4"/>
              </w:rPr>
            </w:r>
          </w:p>
        </w:tc>
      </w:tr>
      <w:tr>
        <w:trPr/>
        <w:tc>
          <w:tcPr>
            <w:tcW w:w="496" w:type="dxa"/>
            <w:tcBorders/>
          </w:tcPr>
          <w:p>
            <w:pPr>
              <w:pStyle w:val="TableContents"/>
              <w:bidi w:val="0"/>
              <w:spacing w:before="0" w:after="283"/>
              <w:jc w:val="left"/>
              <w:rPr/>
            </w:pPr>
            <w:r>
              <w:rPr/>
              <w:t>By:</w:t>
            </w:r>
          </w:p>
        </w:tc>
        <w:tc>
          <w:tcPr>
            <w:tcW w:w="83" w:type="dxa"/>
            <w:tcBorders/>
            <w:vAlign w:val="bottom"/>
          </w:tcPr>
          <w:p>
            <w:pPr>
              <w:pStyle w:val="TableContents"/>
              <w:bidi w:val="0"/>
              <w:spacing w:before="0" w:after="283"/>
              <w:jc w:val="left"/>
              <w:rPr/>
            </w:pPr>
            <w:r>
              <w:rPr/>
              <w:t> </w:t>
            </w:r>
          </w:p>
        </w:tc>
        <w:tc>
          <w:tcPr>
            <w:tcW w:w="3503"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15"/>
        <w:gridCol w:w="62"/>
        <w:gridCol w:w="3405"/>
      </w:tblGrid>
      <w:tr>
        <w:trPr/>
        <w:tc>
          <w:tcPr>
            <w:tcW w:w="615"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405" w:type="dxa"/>
            <w:tcBorders/>
            <w:vAlign w:val="center"/>
          </w:tcPr>
          <w:p>
            <w:pPr>
              <w:pStyle w:val="TableContents"/>
              <w:bidi w:val="0"/>
              <w:spacing w:before="0" w:after="283"/>
              <w:jc w:val="left"/>
              <w:rPr>
                <w:sz w:val="4"/>
                <w:szCs w:val="4"/>
              </w:rPr>
            </w:pPr>
            <w:r>
              <w:rPr>
                <w:sz w:val="4"/>
                <w:szCs w:val="4"/>
              </w:rPr>
            </w:r>
          </w:p>
        </w:tc>
      </w:tr>
      <w:tr>
        <w:trPr/>
        <w:tc>
          <w:tcPr>
            <w:tcW w:w="615" w:type="dxa"/>
            <w:tcBorders/>
          </w:tcPr>
          <w:p>
            <w:pPr>
              <w:pStyle w:val="TableContents"/>
              <w:bidi w:val="0"/>
              <w:spacing w:before="0" w:after="283"/>
              <w:jc w:val="left"/>
              <w:rPr/>
            </w:pPr>
            <w:r>
              <w:rPr/>
              <w:t>Date:</w:t>
            </w:r>
          </w:p>
        </w:tc>
        <w:tc>
          <w:tcPr>
            <w:tcW w:w="62" w:type="dxa"/>
            <w:tcBorders/>
            <w:vAlign w:val="bottom"/>
          </w:tcPr>
          <w:p>
            <w:pPr>
              <w:pStyle w:val="TableContents"/>
              <w:bidi w:val="0"/>
              <w:spacing w:before="0" w:after="283"/>
              <w:jc w:val="left"/>
              <w:rPr/>
            </w:pPr>
            <w:r>
              <w:rPr/>
              <w:t> </w:t>
            </w:r>
          </w:p>
        </w:tc>
        <w:tc>
          <w:tcPr>
            <w:tcW w:w="3405"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right"/>
        <w:rPr>
          <w:rFonts w:ascii="Times New Roman" w:hAnsi="Times New Roman"/>
          <w:b/>
          <w:sz w:val="20"/>
        </w:rPr>
      </w:pPr>
      <w:bookmarkStart w:id="32" w:name="d215784dex43.htm"/>
      <w:bookmarkStart w:id="33" w:name="ksd215784dex43"/>
      <w:bookmarkEnd w:id="32"/>
      <w:bookmarkEnd w:id="33"/>
      <w:r>
        <w:rPr>
          <w:rFonts w:ascii="Times New Roman" w:hAnsi="Times New Roman"/>
          <w:b/>
          <w:sz w:val="20"/>
        </w:rPr>
        <w:t xml:space="preserve">Exhibit 4.3 </w:t>
      </w:r>
      <w:r>
        <w:br w:type="page"/>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SERES THERAPEUTICS,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___________, 20___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[_____________] </w:t>
      </w:r>
    </w:p>
    <w:p>
      <w:pPr>
        <w:pStyle w:val="TextBody"/>
        <w:bidi w:val="0"/>
        <w:spacing w:before="240" w:after="0"/>
        <w:jc w:val="center"/>
        <w:rPr>
          <w:rFonts w:ascii="Times New Roman" w:hAnsi="Times New Roman"/>
          <w:sz w:val="20"/>
        </w:rPr>
      </w:pPr>
      <w:r>
        <w:rPr>
          <w:rFonts w:ascii="Times New Roman" w:hAnsi="Times New Roman"/>
          <w:sz w:val="20"/>
        </w:rPr>
        <w:t xml:space="preserve">Trustee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12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83"/>
        <w:gridCol w:w="125"/>
        <w:gridCol w:w="7676"/>
        <w:gridCol w:w="173"/>
        <w:gridCol w:w="90"/>
        <w:gridCol w:w="395"/>
        <w:gridCol w:w="63"/>
      </w:tblGrid>
      <w:tr>
        <w:trPr/>
        <w:tc>
          <w:tcPr>
            <w:tcW w:w="168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676"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683"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7676"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48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 AND INCORPORATION BY REFERENCE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683" w:type="dxa"/>
            <w:tcBorders/>
            <w:vAlign w:val="center"/>
          </w:tcPr>
          <w:p>
            <w:pPr>
              <w:pStyle w:val="TableContents"/>
              <w:bidi w:val="0"/>
              <w:spacing w:before="0" w:after="283"/>
              <w:jc w:val="left"/>
              <w:rPr>
                <w:sz w:val="4"/>
                <w:szCs w:val="4"/>
              </w:rPr>
            </w:pPr>
            <w:r>
              <w:rPr>
                <w:sz w:val="4"/>
                <w:szCs w:val="4"/>
              </w:rPr>
            </w:r>
          </w:p>
        </w:tc>
        <w:tc>
          <w:tcPr>
            <w:tcW w:w="7801"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Definitions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Other Definitions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4</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Incorporation by Reference of Trust Indenture Act</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4</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Rules of Construction</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5</w:t>
            </w:r>
          </w:p>
        </w:tc>
        <w:tc>
          <w:tcPr>
            <w:tcW w:w="63" w:type="dxa"/>
            <w:tcBorders/>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283"/>
              <w:jc w:val="left"/>
              <w:rPr/>
            </w:pPr>
            <w:r>
              <w:rPr/>
              <w:t>ARTICLE II. THE SECURITIES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5</w:t>
            </w:r>
          </w:p>
        </w:tc>
        <w:tc>
          <w:tcPr>
            <w:tcW w:w="63" w:type="dxa"/>
            <w:tcBorders/>
          </w:tcPr>
          <w:p>
            <w:pPr>
              <w:pStyle w:val="TableContents"/>
              <w:bidi w:val="0"/>
              <w:spacing w:before="0" w:after="283"/>
              <w:jc w:val="left"/>
              <w:rPr/>
            </w:pPr>
            <w:r>
              <w:rPr/>
              <w:t> </w:t>
            </w:r>
          </w:p>
        </w:tc>
      </w:tr>
      <w:tr>
        <w:trPr>
          <w:trHeight w:val="120" w:hRule="atLeast"/>
        </w:trPr>
        <w:tc>
          <w:tcPr>
            <w:tcW w:w="1683" w:type="dxa"/>
            <w:tcBorders/>
            <w:vAlign w:val="center"/>
          </w:tcPr>
          <w:p>
            <w:pPr>
              <w:pStyle w:val="TableContents"/>
              <w:bidi w:val="0"/>
              <w:spacing w:before="0" w:after="283"/>
              <w:jc w:val="left"/>
              <w:rPr>
                <w:sz w:val="4"/>
                <w:szCs w:val="4"/>
              </w:rPr>
            </w:pPr>
            <w:r>
              <w:rPr>
                <w:sz w:val="4"/>
                <w:szCs w:val="4"/>
              </w:rPr>
            </w:r>
          </w:p>
        </w:tc>
        <w:tc>
          <w:tcPr>
            <w:tcW w:w="7801"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Issuable in Series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5</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Establishment of Terms of Series of Securities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6</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2.3.</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Execution and Authentication</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8</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2.4.</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Registrar, Paying Agent and Notice Agent</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9</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2.5.</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Paying Agent to Hold Money in Trust</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10</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2.6.</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Holder Lists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10</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2.7.</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Transfer and Exchange</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11</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2.8.</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Mutilated, Destroyed, Lost and Stolen Securities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11</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2.9.</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Outstanding Securities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12</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Treasury Securities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12</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Temporary Securities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12</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Cancellation</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13</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Defaulted Interest</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13</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Global Securities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13</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CUSIP Numbers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15</w:t>
            </w:r>
          </w:p>
        </w:tc>
        <w:tc>
          <w:tcPr>
            <w:tcW w:w="63" w:type="dxa"/>
            <w:tcBorders/>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283"/>
              <w:jc w:val="left"/>
              <w:rPr/>
            </w:pPr>
            <w:r>
              <w:rPr/>
              <w:t>ARTICLE III. REDEMPTION</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15</w:t>
            </w:r>
          </w:p>
        </w:tc>
        <w:tc>
          <w:tcPr>
            <w:tcW w:w="63" w:type="dxa"/>
            <w:tcBorders/>
          </w:tcPr>
          <w:p>
            <w:pPr>
              <w:pStyle w:val="TableContents"/>
              <w:bidi w:val="0"/>
              <w:spacing w:before="0" w:after="283"/>
              <w:jc w:val="left"/>
              <w:rPr/>
            </w:pPr>
            <w:r>
              <w:rPr/>
              <w:t> </w:t>
            </w:r>
          </w:p>
        </w:tc>
      </w:tr>
      <w:tr>
        <w:trPr>
          <w:trHeight w:val="120" w:hRule="atLeast"/>
        </w:trPr>
        <w:tc>
          <w:tcPr>
            <w:tcW w:w="1683" w:type="dxa"/>
            <w:tcBorders/>
            <w:vAlign w:val="center"/>
          </w:tcPr>
          <w:p>
            <w:pPr>
              <w:pStyle w:val="TableContents"/>
              <w:bidi w:val="0"/>
              <w:spacing w:before="0" w:after="283"/>
              <w:jc w:val="left"/>
              <w:rPr>
                <w:sz w:val="4"/>
                <w:szCs w:val="4"/>
              </w:rPr>
            </w:pPr>
            <w:r>
              <w:rPr>
                <w:sz w:val="4"/>
                <w:szCs w:val="4"/>
              </w:rPr>
            </w:r>
          </w:p>
        </w:tc>
        <w:tc>
          <w:tcPr>
            <w:tcW w:w="7801"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Notice to Trustee</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15</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Selection of Securities to be Redeemed</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16</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Notice of Redemption</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16</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Effect of Notice of Redemption</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17</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Deposit of Redemption Price</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17</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Securities Redeemed in Part</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17</w:t>
            </w:r>
          </w:p>
        </w:tc>
        <w:tc>
          <w:tcPr>
            <w:tcW w:w="63" w:type="dxa"/>
            <w:tcBorders/>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283"/>
              <w:jc w:val="left"/>
              <w:rPr/>
            </w:pPr>
            <w:r>
              <w:rPr/>
              <w:t>ARTICLE IV. COVENANTS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17</w:t>
            </w:r>
          </w:p>
        </w:tc>
        <w:tc>
          <w:tcPr>
            <w:tcW w:w="63" w:type="dxa"/>
            <w:tcBorders/>
          </w:tcPr>
          <w:p>
            <w:pPr>
              <w:pStyle w:val="TableContents"/>
              <w:bidi w:val="0"/>
              <w:spacing w:before="0" w:after="283"/>
              <w:jc w:val="left"/>
              <w:rPr/>
            </w:pPr>
            <w:r>
              <w:rPr/>
              <w:t> </w:t>
            </w:r>
          </w:p>
        </w:tc>
      </w:tr>
      <w:tr>
        <w:trPr>
          <w:trHeight w:val="120" w:hRule="atLeast"/>
        </w:trPr>
        <w:tc>
          <w:tcPr>
            <w:tcW w:w="1683" w:type="dxa"/>
            <w:tcBorders/>
            <w:vAlign w:val="center"/>
          </w:tcPr>
          <w:p>
            <w:pPr>
              <w:pStyle w:val="TableContents"/>
              <w:bidi w:val="0"/>
              <w:spacing w:before="0" w:after="283"/>
              <w:jc w:val="left"/>
              <w:rPr>
                <w:sz w:val="4"/>
                <w:szCs w:val="4"/>
              </w:rPr>
            </w:pPr>
            <w:r>
              <w:rPr>
                <w:sz w:val="4"/>
                <w:szCs w:val="4"/>
              </w:rPr>
            </w:r>
          </w:p>
        </w:tc>
        <w:tc>
          <w:tcPr>
            <w:tcW w:w="7801"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Payment of Principal and Interest</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17</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4.2.</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SEC Reports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18</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4.3.</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Compliance Certificate</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18</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4.4.</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Stay, Extension and Usury Laws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18</w:t>
            </w:r>
          </w:p>
        </w:tc>
        <w:tc>
          <w:tcPr>
            <w:tcW w:w="63" w:type="dxa"/>
            <w:tcBorders/>
          </w:tcPr>
          <w:p>
            <w:pPr>
              <w:pStyle w:val="TableContents"/>
              <w:bidi w:val="0"/>
              <w:spacing w:before="0" w:after="283"/>
              <w:jc w:val="left"/>
              <w:rPr/>
            </w:pPr>
            <w:r>
              <w:rPr/>
              <w:t> </w:t>
            </w:r>
          </w:p>
        </w:tc>
      </w:tr>
      <w:tr>
        <w:trPr>
          <w:trHeight w:val="120" w:hRule="atLeast"/>
        </w:trPr>
        <w:tc>
          <w:tcPr>
            <w:tcW w:w="9484" w:type="dxa"/>
            <w:gridSpan w:val="3"/>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9484" w:type="dxa"/>
            <w:gridSpan w:val="3"/>
            <w:tcBorders/>
          </w:tcPr>
          <w:p>
            <w:pPr>
              <w:pStyle w:val="TableContents"/>
              <w:bidi w:val="0"/>
              <w:spacing w:before="0" w:after="283"/>
              <w:jc w:val="left"/>
              <w:rPr/>
            </w:pPr>
            <w:r>
              <w:rPr/>
              <w:t>ARTICLE V. SUCCESSORS</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19</w:t>
            </w:r>
          </w:p>
        </w:tc>
        <w:tc>
          <w:tcPr>
            <w:tcW w:w="63" w:type="dxa"/>
            <w:tcBorders/>
          </w:tcPr>
          <w:p>
            <w:pPr>
              <w:pStyle w:val="TableContents"/>
              <w:bidi w:val="0"/>
              <w:spacing w:before="0" w:after="283"/>
              <w:jc w:val="left"/>
              <w:rPr/>
            </w:pPr>
            <w:r>
              <w:rPr/>
              <w:t> </w:t>
            </w:r>
          </w:p>
        </w:tc>
      </w:tr>
      <w:tr>
        <w:trPr>
          <w:trHeight w:val="120" w:hRule="atLeast"/>
        </w:trPr>
        <w:tc>
          <w:tcPr>
            <w:tcW w:w="1683" w:type="dxa"/>
            <w:tcBorders/>
            <w:vAlign w:val="center"/>
          </w:tcPr>
          <w:p>
            <w:pPr>
              <w:pStyle w:val="TableContents"/>
              <w:bidi w:val="0"/>
              <w:spacing w:before="0" w:after="283"/>
              <w:jc w:val="left"/>
              <w:rPr>
                <w:sz w:val="4"/>
                <w:szCs w:val="4"/>
              </w:rPr>
            </w:pPr>
            <w:r>
              <w:rPr>
                <w:sz w:val="4"/>
                <w:szCs w:val="4"/>
              </w:rPr>
            </w:r>
          </w:p>
        </w:tc>
        <w:tc>
          <w:tcPr>
            <w:tcW w:w="7801" w:type="dxa"/>
            <w:gridSpan w:val="2"/>
            <w:tcBorders/>
            <w:vAlign w:val="center"/>
          </w:tcPr>
          <w:p>
            <w:pPr>
              <w:pStyle w:val="TableContents"/>
              <w:bidi w:val="0"/>
              <w:spacing w:before="0" w:after="283"/>
              <w:jc w:val="left"/>
              <w:rPr>
                <w:sz w:val="4"/>
                <w:szCs w:val="4"/>
              </w:rPr>
            </w:pPr>
            <w:r>
              <w:rPr>
                <w:sz w:val="4"/>
                <w:szCs w:val="4"/>
              </w:rPr>
            </w:r>
          </w:p>
        </w:tc>
        <w:tc>
          <w:tcPr>
            <w:tcW w:w="721" w:type="dxa"/>
            <w:gridSpan w:val="4"/>
            <w:tcBorders/>
            <w:vAlign w:val="center"/>
          </w:tcPr>
          <w:p>
            <w:pPr>
              <w:pStyle w:val="TableContents"/>
              <w:bidi w:val="0"/>
              <w:spacing w:before="0" w:after="283"/>
              <w:jc w:val="left"/>
              <w:rPr>
                <w:sz w:val="4"/>
                <w:szCs w:val="4"/>
              </w:rPr>
            </w:pPr>
            <w:r>
              <w:rPr>
                <w:sz w:val="4"/>
                <w:szCs w:val="4"/>
              </w:rPr>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When Company May Merge, Etc.</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19</w:t>
            </w:r>
          </w:p>
        </w:tc>
        <w:tc>
          <w:tcPr>
            <w:tcW w:w="63" w:type="dxa"/>
            <w:tcBorders/>
          </w:tcPr>
          <w:p>
            <w:pPr>
              <w:pStyle w:val="TableContents"/>
              <w:bidi w:val="0"/>
              <w:spacing w:before="0" w:after="283"/>
              <w:jc w:val="left"/>
              <w:rPr/>
            </w:pPr>
            <w:r>
              <w:rPr/>
              <w:t> </w:t>
            </w:r>
          </w:p>
        </w:tc>
      </w:tr>
      <w:tr>
        <w:trPr/>
        <w:tc>
          <w:tcPr>
            <w:tcW w:w="1683"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25" w:type="dxa"/>
            <w:tcBorders/>
            <w:vAlign w:val="bottom"/>
          </w:tcPr>
          <w:p>
            <w:pPr>
              <w:pStyle w:val="TableContents"/>
              <w:bidi w:val="0"/>
              <w:spacing w:before="0" w:after="283"/>
              <w:jc w:val="left"/>
              <w:rPr/>
            </w:pPr>
            <w:r>
              <w:rPr/>
              <w:t> </w:t>
            </w:r>
          </w:p>
        </w:tc>
        <w:tc>
          <w:tcPr>
            <w:tcW w:w="7676" w:type="dxa"/>
            <w:tcBorders/>
          </w:tcPr>
          <w:p>
            <w:pPr>
              <w:pStyle w:val="TableContents"/>
              <w:bidi w:val="0"/>
              <w:spacing w:before="0" w:after="283"/>
              <w:jc w:val="left"/>
              <w:rPr/>
            </w:pPr>
            <w:r>
              <w:rPr/>
              <w:t>Successor Corporation Substituted</w:t>
            </w:r>
          </w:p>
        </w:tc>
        <w:tc>
          <w:tcPr>
            <w:tcW w:w="173" w:type="dxa"/>
            <w:tcBorders/>
            <w:vAlign w:val="bottom"/>
          </w:tcPr>
          <w:p>
            <w:pPr>
              <w:pStyle w:val="TableContents"/>
              <w:bidi w:val="0"/>
              <w:spacing w:before="0" w:after="283"/>
              <w:jc w:val="left"/>
              <w:rPr/>
            </w:pPr>
            <w:r>
              <w:rPr/>
              <w:t>  </w:t>
            </w:r>
          </w:p>
        </w:tc>
        <w:tc>
          <w:tcPr>
            <w:tcW w:w="90" w:type="dxa"/>
            <w:tcBorders/>
          </w:tcPr>
          <w:p>
            <w:pPr>
              <w:pStyle w:val="TableContents"/>
              <w:bidi w:val="0"/>
              <w:spacing w:before="0" w:after="283"/>
              <w:jc w:val="left"/>
              <w:rPr/>
            </w:pPr>
            <w:r>
              <w:rPr/>
              <w:t> </w:t>
            </w:r>
          </w:p>
        </w:tc>
        <w:tc>
          <w:tcPr>
            <w:tcW w:w="395" w:type="dxa"/>
            <w:tcBorders/>
          </w:tcPr>
          <w:p>
            <w:pPr>
              <w:pStyle w:val="TableContents"/>
              <w:bidi w:val="0"/>
              <w:spacing w:before="0" w:after="283"/>
              <w:jc w:val="right"/>
              <w:rPr/>
            </w:pPr>
            <w:r>
              <w:rPr/>
              <w:t>19</w:t>
            </w:r>
          </w:p>
        </w:tc>
        <w:tc>
          <w:tcPr>
            <w:tcW w:w="63"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24"/>
        <w:gridCol w:w="123"/>
        <w:gridCol w:w="7907"/>
        <w:gridCol w:w="165"/>
        <w:gridCol w:w="60"/>
        <w:gridCol w:w="263"/>
        <w:gridCol w:w="63"/>
      </w:tblGrid>
      <w:tr>
        <w:trPr/>
        <w:tc>
          <w:tcPr>
            <w:tcW w:w="162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907"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283"/>
              <w:jc w:val="left"/>
              <w:rPr/>
            </w:pPr>
            <w:r>
              <w:rPr/>
              <w:t>ARTICLE VI. DEFAULTS AND REMEDIES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19</w:t>
            </w:r>
          </w:p>
        </w:tc>
        <w:tc>
          <w:tcPr>
            <w:tcW w:w="63" w:type="dxa"/>
            <w:tcBorders/>
          </w:tcPr>
          <w:p>
            <w:pPr>
              <w:pStyle w:val="TableContents"/>
              <w:bidi w:val="0"/>
              <w:spacing w:before="0" w:after="283"/>
              <w:jc w:val="left"/>
              <w:rPr/>
            </w:pPr>
            <w:r>
              <w:rPr/>
              <w:t> </w:t>
            </w:r>
          </w:p>
        </w:tc>
      </w:tr>
      <w:tr>
        <w:trPr>
          <w:trHeight w:val="120" w:hRule="atLeast"/>
        </w:trPr>
        <w:tc>
          <w:tcPr>
            <w:tcW w:w="1624" w:type="dxa"/>
            <w:tcBorders/>
            <w:vAlign w:val="center"/>
          </w:tcPr>
          <w:p>
            <w:pPr>
              <w:pStyle w:val="TableContents"/>
              <w:bidi w:val="0"/>
              <w:spacing w:before="0" w:after="283"/>
              <w:jc w:val="left"/>
              <w:rPr>
                <w:sz w:val="4"/>
                <w:szCs w:val="4"/>
              </w:rPr>
            </w:pPr>
            <w:r>
              <w:rPr>
                <w:sz w:val="4"/>
                <w:szCs w:val="4"/>
              </w:rPr>
            </w:r>
          </w:p>
        </w:tc>
        <w:tc>
          <w:tcPr>
            <w:tcW w:w="8030"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Events of Default</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19</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Acceleration of Maturity; Rescission and Annulment</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21</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Collection of Indebtedness and Suits for Enforcement by Trustee</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21</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6.4.</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Trustee May File Proofs of Claim</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22</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6.5.</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Trustee May Enforce Claims Without Possession of Securities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23</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6.6.</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Application of Money Collected</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23</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6.7.</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Limitation on Suits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23</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6.8.</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Unconditional Right of Holders to Receive Principal and Interest</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24</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6.9.</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Restoration of Rights and Remedies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24</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6.10.</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Rights and Remedies Cumulative</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24</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6.11.</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Delay or Omission Not Waiver</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25</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6.12.</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Control by Holders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25</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6.13.</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Waiver of Past Defaults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25</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6.14.</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Undertaking for Costs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26</w:t>
            </w:r>
          </w:p>
        </w:tc>
        <w:tc>
          <w:tcPr>
            <w:tcW w:w="63" w:type="dxa"/>
            <w:tcBorders/>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283"/>
              <w:jc w:val="left"/>
              <w:rPr/>
            </w:pPr>
            <w:r>
              <w:rPr/>
              <w:t>ARTICLE VII. TRUSTEE</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26</w:t>
            </w:r>
          </w:p>
        </w:tc>
        <w:tc>
          <w:tcPr>
            <w:tcW w:w="63" w:type="dxa"/>
            <w:tcBorders/>
          </w:tcPr>
          <w:p>
            <w:pPr>
              <w:pStyle w:val="TableContents"/>
              <w:bidi w:val="0"/>
              <w:spacing w:before="0" w:after="283"/>
              <w:jc w:val="left"/>
              <w:rPr/>
            </w:pPr>
            <w:r>
              <w:rPr/>
              <w:t> </w:t>
            </w:r>
          </w:p>
        </w:tc>
      </w:tr>
      <w:tr>
        <w:trPr>
          <w:trHeight w:val="120" w:hRule="atLeast"/>
        </w:trPr>
        <w:tc>
          <w:tcPr>
            <w:tcW w:w="1624" w:type="dxa"/>
            <w:tcBorders/>
            <w:vAlign w:val="center"/>
          </w:tcPr>
          <w:p>
            <w:pPr>
              <w:pStyle w:val="TableContents"/>
              <w:bidi w:val="0"/>
              <w:spacing w:before="0" w:after="283"/>
              <w:jc w:val="left"/>
              <w:rPr>
                <w:sz w:val="4"/>
                <w:szCs w:val="4"/>
              </w:rPr>
            </w:pPr>
            <w:r>
              <w:rPr>
                <w:sz w:val="4"/>
                <w:szCs w:val="4"/>
              </w:rPr>
            </w:r>
          </w:p>
        </w:tc>
        <w:tc>
          <w:tcPr>
            <w:tcW w:w="8030"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Duties of Trustee</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26</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Rights of Trustee</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27</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Individual Rights of Trustee</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28</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Trustee’s Disclaimer</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29</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Notice of Defaults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29</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Reports by Trustee to Holders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29</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Compensation and Indemnity</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29</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Replacement of Trustee</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30</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Successor Trustee by Merger, Etc.</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31</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Eligibility; Disqualification</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31</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Preferential Collection of Claims Against Company</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31</w:t>
            </w:r>
          </w:p>
        </w:tc>
        <w:tc>
          <w:tcPr>
            <w:tcW w:w="63" w:type="dxa"/>
            <w:tcBorders/>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283"/>
              <w:jc w:val="left"/>
              <w:rPr/>
            </w:pPr>
            <w:r>
              <w:rPr/>
              <w:t>ARTICLE VIII. SATISFACTION AND DISCHARGE; DEFEASANCE</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32</w:t>
            </w:r>
          </w:p>
        </w:tc>
        <w:tc>
          <w:tcPr>
            <w:tcW w:w="63" w:type="dxa"/>
            <w:tcBorders/>
          </w:tcPr>
          <w:p>
            <w:pPr>
              <w:pStyle w:val="TableContents"/>
              <w:bidi w:val="0"/>
              <w:spacing w:before="0" w:after="283"/>
              <w:jc w:val="left"/>
              <w:rPr/>
            </w:pPr>
            <w:r>
              <w:rPr/>
              <w:t> </w:t>
            </w:r>
          </w:p>
        </w:tc>
      </w:tr>
      <w:tr>
        <w:trPr>
          <w:trHeight w:val="120" w:hRule="atLeast"/>
        </w:trPr>
        <w:tc>
          <w:tcPr>
            <w:tcW w:w="1624" w:type="dxa"/>
            <w:tcBorders/>
            <w:vAlign w:val="center"/>
          </w:tcPr>
          <w:p>
            <w:pPr>
              <w:pStyle w:val="TableContents"/>
              <w:bidi w:val="0"/>
              <w:spacing w:before="0" w:after="283"/>
              <w:jc w:val="left"/>
              <w:rPr>
                <w:sz w:val="4"/>
                <w:szCs w:val="4"/>
              </w:rPr>
            </w:pPr>
            <w:r>
              <w:rPr>
                <w:sz w:val="4"/>
                <w:szCs w:val="4"/>
              </w:rPr>
            </w:r>
          </w:p>
        </w:tc>
        <w:tc>
          <w:tcPr>
            <w:tcW w:w="8030"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Satisfaction and Discharge of Indenture</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32</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Application of Trust Funds; Indemnification</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33</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Legal Defeasance of Securities of any Series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33</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Covenant Defeasance</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35</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Repayment to Company</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36</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Reinstatement</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36</w:t>
            </w:r>
          </w:p>
        </w:tc>
        <w:tc>
          <w:tcPr>
            <w:tcW w:w="63" w:type="dxa"/>
            <w:tcBorders/>
          </w:tcPr>
          <w:p>
            <w:pPr>
              <w:pStyle w:val="TableContents"/>
              <w:bidi w:val="0"/>
              <w:spacing w:before="0" w:after="283"/>
              <w:jc w:val="left"/>
              <w:rPr/>
            </w:pPr>
            <w:r>
              <w:rPr/>
              <w:t> </w:t>
            </w:r>
          </w:p>
        </w:tc>
      </w:tr>
      <w:tr>
        <w:trPr>
          <w:trHeight w:val="120" w:hRule="atLeast"/>
        </w:trPr>
        <w:tc>
          <w:tcPr>
            <w:tcW w:w="9654" w:type="dxa"/>
            <w:gridSpan w:val="3"/>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gridSpan w:val="3"/>
            <w:tcBorders/>
          </w:tcPr>
          <w:p>
            <w:pPr>
              <w:pStyle w:val="TableContents"/>
              <w:bidi w:val="0"/>
              <w:spacing w:before="0" w:after="283"/>
              <w:jc w:val="left"/>
              <w:rPr/>
            </w:pPr>
            <w:r>
              <w:rPr/>
              <w:t>ARTICLE IX. AMENDMENTS AND WAIVERS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37</w:t>
            </w:r>
          </w:p>
        </w:tc>
        <w:tc>
          <w:tcPr>
            <w:tcW w:w="63" w:type="dxa"/>
            <w:tcBorders/>
          </w:tcPr>
          <w:p>
            <w:pPr>
              <w:pStyle w:val="TableContents"/>
              <w:bidi w:val="0"/>
              <w:spacing w:before="0" w:after="283"/>
              <w:jc w:val="left"/>
              <w:rPr/>
            </w:pPr>
            <w:r>
              <w:rPr/>
              <w:t> </w:t>
            </w:r>
          </w:p>
        </w:tc>
      </w:tr>
      <w:tr>
        <w:trPr>
          <w:trHeight w:val="120" w:hRule="atLeast"/>
        </w:trPr>
        <w:tc>
          <w:tcPr>
            <w:tcW w:w="1624" w:type="dxa"/>
            <w:tcBorders/>
            <w:vAlign w:val="center"/>
          </w:tcPr>
          <w:p>
            <w:pPr>
              <w:pStyle w:val="TableContents"/>
              <w:bidi w:val="0"/>
              <w:spacing w:before="0" w:after="283"/>
              <w:jc w:val="left"/>
              <w:rPr>
                <w:sz w:val="4"/>
                <w:szCs w:val="4"/>
              </w:rPr>
            </w:pPr>
            <w:r>
              <w:rPr>
                <w:sz w:val="4"/>
                <w:szCs w:val="4"/>
              </w:rPr>
            </w:r>
          </w:p>
        </w:tc>
        <w:tc>
          <w:tcPr>
            <w:tcW w:w="8030" w:type="dxa"/>
            <w:gridSpan w:val="2"/>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9.1.</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Without Consent of Holders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37</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9.2.</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With Consent of Holders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38</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9.3.</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Limitations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38</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9.4.</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Compliance with Trust Indenture Act.</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38</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9.5.</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Revocation and Effect of Consents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38</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9.6.</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Notation on or Exchange of Securities</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39</w:t>
            </w:r>
          </w:p>
        </w:tc>
        <w:tc>
          <w:tcPr>
            <w:tcW w:w="63" w:type="dxa"/>
            <w:tcBorders/>
          </w:tcPr>
          <w:p>
            <w:pPr>
              <w:pStyle w:val="TableContents"/>
              <w:bidi w:val="0"/>
              <w:spacing w:before="0" w:after="283"/>
              <w:jc w:val="left"/>
              <w:rPr/>
            </w:pPr>
            <w:r>
              <w:rPr/>
              <w:t> </w:t>
            </w:r>
          </w:p>
        </w:tc>
      </w:tr>
      <w:tr>
        <w:trPr/>
        <w:tc>
          <w:tcPr>
            <w:tcW w:w="1624" w:type="dxa"/>
            <w:tcBorders/>
          </w:tcPr>
          <w:p>
            <w:pPr>
              <w:pStyle w:val="TableContents"/>
              <w:bidi w:val="0"/>
              <w:spacing w:before="0" w:after="0"/>
              <w:jc w:val="left"/>
              <w:rPr>
                <w:rFonts w:ascii="Times New Roman" w:hAnsi="Times New Roman"/>
                <w:sz w:val="20"/>
              </w:rPr>
            </w:pPr>
            <w:r>
              <w:rPr>
                <w:rFonts w:ascii="Times New Roman" w:hAnsi="Times New Roman"/>
                <w:sz w:val="20"/>
              </w:rPr>
              <w:t>Section 9.7.</w:t>
            </w:r>
          </w:p>
        </w:tc>
        <w:tc>
          <w:tcPr>
            <w:tcW w:w="123" w:type="dxa"/>
            <w:tcBorders/>
            <w:vAlign w:val="bottom"/>
          </w:tcPr>
          <w:p>
            <w:pPr>
              <w:pStyle w:val="TableContents"/>
              <w:bidi w:val="0"/>
              <w:spacing w:before="0" w:after="283"/>
              <w:jc w:val="left"/>
              <w:rPr/>
            </w:pPr>
            <w:r>
              <w:rPr/>
              <w:t> </w:t>
            </w:r>
          </w:p>
        </w:tc>
        <w:tc>
          <w:tcPr>
            <w:tcW w:w="7907" w:type="dxa"/>
            <w:tcBorders/>
          </w:tcPr>
          <w:p>
            <w:pPr>
              <w:pStyle w:val="TableContents"/>
              <w:bidi w:val="0"/>
              <w:spacing w:before="0" w:after="283"/>
              <w:jc w:val="left"/>
              <w:rPr/>
            </w:pPr>
            <w:r>
              <w:rPr/>
              <w:t>Trustee Protected</w:t>
            </w:r>
          </w:p>
        </w:tc>
        <w:tc>
          <w:tcPr>
            <w:tcW w:w="165"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3" w:type="dxa"/>
            <w:tcBorders/>
          </w:tcPr>
          <w:p>
            <w:pPr>
              <w:pStyle w:val="TableContents"/>
              <w:bidi w:val="0"/>
              <w:spacing w:before="0" w:after="283"/>
              <w:jc w:val="right"/>
              <w:rPr/>
            </w:pPr>
            <w:r>
              <w:rPr/>
              <w:t>39</w:t>
            </w:r>
          </w:p>
        </w:tc>
        <w:tc>
          <w:tcPr>
            <w:tcW w:w="63"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82"/>
        <w:gridCol w:w="121"/>
        <w:gridCol w:w="7852"/>
        <w:gridCol w:w="164"/>
        <w:gridCol w:w="60"/>
        <w:gridCol w:w="262"/>
        <w:gridCol w:w="64"/>
      </w:tblGrid>
      <w:tr>
        <w:trPr/>
        <w:tc>
          <w:tcPr>
            <w:tcW w:w="168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852"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283"/>
              <w:jc w:val="left"/>
              <w:rPr/>
            </w:pPr>
            <w:r>
              <w:rPr/>
              <w:t>ARTICLE X. MISCELLANEOUS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39</w:t>
            </w:r>
          </w:p>
        </w:tc>
        <w:tc>
          <w:tcPr>
            <w:tcW w:w="64" w:type="dxa"/>
            <w:tcBorders/>
          </w:tcPr>
          <w:p>
            <w:pPr>
              <w:pStyle w:val="TableContents"/>
              <w:bidi w:val="0"/>
              <w:spacing w:before="0" w:after="283"/>
              <w:jc w:val="left"/>
              <w:rPr/>
            </w:pPr>
            <w:r>
              <w:rPr/>
              <w:t> </w:t>
            </w:r>
          </w:p>
        </w:tc>
      </w:tr>
      <w:tr>
        <w:trPr>
          <w:trHeight w:val="120" w:hRule="atLeast"/>
        </w:trPr>
        <w:tc>
          <w:tcPr>
            <w:tcW w:w="1682" w:type="dxa"/>
            <w:tcBorders/>
            <w:vAlign w:val="center"/>
          </w:tcPr>
          <w:p>
            <w:pPr>
              <w:pStyle w:val="TableContents"/>
              <w:bidi w:val="0"/>
              <w:spacing w:before="0" w:after="283"/>
              <w:jc w:val="left"/>
              <w:rPr>
                <w:sz w:val="4"/>
                <w:szCs w:val="4"/>
              </w:rPr>
            </w:pPr>
            <w:r>
              <w:rPr>
                <w:sz w:val="4"/>
                <w:szCs w:val="4"/>
              </w:rPr>
            </w:r>
          </w:p>
        </w:tc>
        <w:tc>
          <w:tcPr>
            <w:tcW w:w="7973"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Trust Indenture Act Controls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39</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Notices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right"/>
              <w:rPr/>
            </w:pPr>
            <w:r>
              <w:rPr/>
              <w:t>40</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Communication by Holders with Other Holders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41</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Certificate and Opinion as to Conditions Precedent</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41</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Statements Required in Certificate or Opinion</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41</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Rules by Trustee and Agents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42</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10.7.</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Legal Holidays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42</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10.8.</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No Recourse Against Others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42</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10.9.</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Counterparts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42</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10.10.</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Governing Law; Waiver of Jury Trial; Consent to Jurisdiction</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43</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10.11.</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No Adverse Interpretation of Other Agreements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43</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10.12.</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Successors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43</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10.13.</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Severability</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43</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10.14.</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Table of Contents, Headings, Etc.</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43</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10.15.</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Securities in a Foreign Currency</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44</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10.16.</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Judgment Currency</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44</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10.17.</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Force Majeure</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45</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10.18.</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U.S.A. Patriot Act.</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45</w:t>
            </w:r>
          </w:p>
        </w:tc>
        <w:tc>
          <w:tcPr>
            <w:tcW w:w="64" w:type="dxa"/>
            <w:tcBorders/>
          </w:tcPr>
          <w:p>
            <w:pPr>
              <w:pStyle w:val="TableContents"/>
              <w:bidi w:val="0"/>
              <w:spacing w:before="0" w:after="283"/>
              <w:jc w:val="left"/>
              <w:rPr/>
            </w:pPr>
            <w:r>
              <w:rPr/>
              <w:t> </w:t>
            </w:r>
          </w:p>
        </w:tc>
      </w:tr>
      <w:tr>
        <w:trPr>
          <w:trHeight w:val="120" w:hRule="atLeast"/>
        </w:trPr>
        <w:tc>
          <w:tcPr>
            <w:tcW w:w="9655" w:type="dxa"/>
            <w:gridSpan w:val="3"/>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9655" w:type="dxa"/>
            <w:gridSpan w:val="3"/>
            <w:tcBorders/>
          </w:tcPr>
          <w:p>
            <w:pPr>
              <w:pStyle w:val="TableContents"/>
              <w:bidi w:val="0"/>
              <w:spacing w:before="0" w:after="283"/>
              <w:jc w:val="left"/>
              <w:rPr/>
            </w:pPr>
            <w:r>
              <w:rPr/>
              <w:t>ARTICLE XI. SINKING FUNDS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45</w:t>
            </w:r>
          </w:p>
        </w:tc>
        <w:tc>
          <w:tcPr>
            <w:tcW w:w="64" w:type="dxa"/>
            <w:tcBorders/>
          </w:tcPr>
          <w:p>
            <w:pPr>
              <w:pStyle w:val="TableContents"/>
              <w:bidi w:val="0"/>
              <w:spacing w:before="0" w:after="283"/>
              <w:jc w:val="left"/>
              <w:rPr/>
            </w:pPr>
            <w:r>
              <w:rPr/>
              <w:t> </w:t>
            </w:r>
          </w:p>
        </w:tc>
      </w:tr>
      <w:tr>
        <w:trPr>
          <w:trHeight w:val="120" w:hRule="atLeast"/>
        </w:trPr>
        <w:tc>
          <w:tcPr>
            <w:tcW w:w="1682" w:type="dxa"/>
            <w:tcBorders/>
            <w:vAlign w:val="center"/>
          </w:tcPr>
          <w:p>
            <w:pPr>
              <w:pStyle w:val="TableContents"/>
              <w:bidi w:val="0"/>
              <w:spacing w:before="0" w:after="283"/>
              <w:jc w:val="left"/>
              <w:rPr>
                <w:sz w:val="4"/>
                <w:szCs w:val="4"/>
              </w:rPr>
            </w:pPr>
            <w:r>
              <w:rPr>
                <w:sz w:val="4"/>
                <w:szCs w:val="4"/>
              </w:rPr>
            </w:r>
          </w:p>
        </w:tc>
        <w:tc>
          <w:tcPr>
            <w:tcW w:w="7973"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11.1.</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Applicability of Article</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45</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11.2.</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Satisfaction of Sinking Fund Payments with Securities</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46</w:t>
            </w:r>
          </w:p>
        </w:tc>
        <w:tc>
          <w:tcPr>
            <w:tcW w:w="64" w:type="dxa"/>
            <w:tcBorders/>
          </w:tcPr>
          <w:p>
            <w:pPr>
              <w:pStyle w:val="TableContents"/>
              <w:bidi w:val="0"/>
              <w:spacing w:before="0" w:after="283"/>
              <w:jc w:val="left"/>
              <w:rPr/>
            </w:pPr>
            <w:r>
              <w:rPr/>
              <w:t> </w:t>
            </w:r>
          </w:p>
        </w:tc>
      </w:tr>
      <w:tr>
        <w:trPr/>
        <w:tc>
          <w:tcPr>
            <w:tcW w:w="1682" w:type="dxa"/>
            <w:tcBorders/>
          </w:tcPr>
          <w:p>
            <w:pPr>
              <w:pStyle w:val="TableContents"/>
              <w:bidi w:val="0"/>
              <w:spacing w:before="0" w:after="0"/>
              <w:jc w:val="left"/>
              <w:rPr>
                <w:rFonts w:ascii="Times New Roman" w:hAnsi="Times New Roman"/>
                <w:sz w:val="20"/>
              </w:rPr>
            </w:pPr>
            <w:r>
              <w:rPr>
                <w:rFonts w:ascii="Times New Roman" w:hAnsi="Times New Roman"/>
                <w:sz w:val="20"/>
              </w:rPr>
              <w:t>Section 11.3.</w:t>
            </w:r>
          </w:p>
        </w:tc>
        <w:tc>
          <w:tcPr>
            <w:tcW w:w="121"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283"/>
              <w:jc w:val="left"/>
              <w:rPr/>
            </w:pPr>
            <w:r>
              <w:rPr/>
              <w:t>Redemption of Securities for Sinking Fund</w:t>
            </w:r>
          </w:p>
        </w:tc>
        <w:tc>
          <w:tcPr>
            <w:tcW w:w="164"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46</w:t>
            </w:r>
          </w:p>
        </w:tc>
        <w:tc>
          <w:tcPr>
            <w:tcW w:w="64"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SERES THERAPEUTICS, INC. </w:t>
      </w:r>
    </w:p>
    <w:p>
      <w:pPr>
        <w:pStyle w:val="TextBody"/>
        <w:bidi w:val="0"/>
        <w:spacing w:before="240" w:after="0"/>
        <w:jc w:val="center"/>
        <w:rPr>
          <w:rFonts w:ascii="Times New Roman" w:hAnsi="Times New Roman"/>
          <w:sz w:val="20"/>
        </w:rPr>
      </w:pPr>
      <w:r>
        <w:rPr>
          <w:rFonts w:ascii="Times New Roman" w:hAnsi="Times New Roman"/>
          <w:sz w:val="20"/>
        </w:rPr>
        <w:t xml:space="preserve">Reconciliation and tie between Trust Indenture Act of 1939 and </w:t>
      </w:r>
    </w:p>
    <w:p>
      <w:pPr>
        <w:pStyle w:val="TextBody"/>
        <w:bidi w:val="0"/>
        <w:spacing w:before="0" w:after="0"/>
        <w:jc w:val="center"/>
        <w:rPr>
          <w:rFonts w:ascii="Times New Roman" w:hAnsi="Times New Roman"/>
          <w:sz w:val="20"/>
        </w:rPr>
      </w:pPr>
      <w:r>
        <w:rPr>
          <w:rFonts w:ascii="Times New Roman" w:hAnsi="Times New Roman"/>
          <w:sz w:val="20"/>
        </w:rPr>
        <w:t xml:space="preserve">Indenture, dated as of ____________, 20__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 310(a)(1)</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7.10</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(a)(2)</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7.10</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(a)(3)</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Not Applicable</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(a)(4)</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Not Applicable</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(a)(5)</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7.10</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7.10</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 311(a)</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7.11</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7.11</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Not Applicable</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 312(a)</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2.6</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10.3</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10.3</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 313(a)</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7.6</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(b)(1)</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7.6</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(b)(2)</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7.6</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(c)(1)</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7.6</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7.6</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 314(a)</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4.2, 10.5</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Not Applicable</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(c)(1)</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10.4</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(c)(2)</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10.4</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(c)(3)</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Not Applicable</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Not Applicable</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10.5</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(f)</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Not Applicable</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 315(a)</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7.1</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7.5</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7.1</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7.1</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6.14</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 316(a)</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2.10</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(a)(1)(A)</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6.12</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(a)(1)(B)</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6.13</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6.8</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 317(a)(1)</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6.3</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(a)(2)</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6.4</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2.5</w:t>
            </w:r>
          </w:p>
        </w:tc>
      </w:tr>
      <w:tr>
        <w:trPr/>
        <w:tc>
          <w:tcPr>
            <w:tcW w:w="5205" w:type="dxa"/>
            <w:tcBorders/>
          </w:tcPr>
          <w:p>
            <w:pPr>
              <w:pStyle w:val="TableContents"/>
              <w:bidi w:val="0"/>
              <w:spacing w:before="0" w:after="0"/>
              <w:jc w:val="left"/>
              <w:rPr>
                <w:rFonts w:ascii="Times New Roman" w:hAnsi="Times New Roman"/>
                <w:sz w:val="20"/>
              </w:rPr>
            </w:pPr>
            <w:r>
              <w:rPr>
                <w:rFonts w:ascii="Times New Roman" w:hAnsi="Times New Roman"/>
                <w:sz w:val="20"/>
              </w:rPr>
              <w:t>§ 318(a)</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right"/>
              <w:rPr/>
            </w:pPr>
            <w:r>
              <w:rPr/>
              <w:t>10.1</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0"/>
        <w:gridCol w:w="9705"/>
      </w:tblGrid>
      <w:tr>
        <w:trPr/>
        <w:tc>
          <w:tcPr>
            <w:tcW w:w="500" w:type="dxa"/>
            <w:tcBorders/>
          </w:tcPr>
          <w:p>
            <w:pPr>
              <w:pStyle w:val="TableContents"/>
              <w:bidi w:val="0"/>
              <w:spacing w:before="0" w:after="283"/>
              <w:jc w:val="left"/>
              <w:rPr/>
            </w:pPr>
            <w:r>
              <w:rPr/>
              <w:t>Note:</w:t>
            </w:r>
          </w:p>
        </w:tc>
        <w:tc>
          <w:tcPr>
            <w:tcW w:w="970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reconciliation and tie shall not, for any purpose, be deemed to be part of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__________, 20__ between Seres Therapeutics, Inc., a company incorporated under the laws of Delaware (“</w:t>
      </w:r>
      <w:r>
        <w:rPr>
          <w:rFonts w:ascii="Times New Roman" w:hAnsi="Times New Roman"/>
          <w:i/>
          <w:sz w:val="20"/>
        </w:rPr>
        <w:t>Company</w:t>
      </w:r>
      <w:r>
        <w:rPr>
          <w:rFonts w:ascii="Times New Roman" w:hAnsi="Times New Roman"/>
          <w:sz w:val="20"/>
        </w:rPr>
        <w:t>”), and [ ] (“</w:t>
      </w:r>
      <w:r>
        <w:rPr>
          <w:rFonts w:ascii="Times New Roman" w:hAnsi="Times New Roman"/>
          <w:i/>
          <w:sz w:val="20"/>
        </w:rPr>
        <w:t>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party agrees as follows for the benefit of the other party and for the equal and ratable benefit of the Holders of the Securities issued under this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p>
    <w:p>
      <w:pPr>
        <w:pStyle w:val="TextBody"/>
        <w:bidi w:val="0"/>
        <w:spacing w:before="240" w:after="0"/>
        <w:jc w:val="left"/>
        <w:rPr/>
      </w:pPr>
      <w:r>
        <w:rPr/>
        <w:t>“</w:t>
      </w:r>
      <w:r>
        <w:rPr>
          <w:rFonts w:ascii="Times New Roman" w:hAnsi="Times New Roman"/>
          <w:i/>
          <w:sz w:val="20"/>
        </w:rPr>
        <w:t>Affiliate</w:t>
      </w:r>
      <w:r>
        <w:rPr>
          <w:rFonts w:ascii="Times New Roman" w:hAnsi="Times New Roman"/>
          <w:sz w:val="20"/>
        </w:rPr>
        <w:t xml:space="preserve">”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 </w:t>
      </w:r>
    </w:p>
    <w:p>
      <w:pPr>
        <w:pStyle w:val="TextBody"/>
        <w:bidi w:val="0"/>
        <w:spacing w:before="240" w:after="0"/>
        <w:jc w:val="left"/>
        <w:rPr/>
      </w:pPr>
      <w:r>
        <w:rPr/>
        <w:t>“</w:t>
      </w:r>
      <w:r>
        <w:rPr>
          <w:rFonts w:ascii="Times New Roman" w:hAnsi="Times New Roman"/>
          <w:i/>
          <w:sz w:val="20"/>
        </w:rPr>
        <w:t>Agent</w:t>
      </w:r>
      <w:r>
        <w:rPr>
          <w:rFonts w:ascii="Times New Roman" w:hAnsi="Times New Roman"/>
          <w:sz w:val="20"/>
        </w:rPr>
        <w:t xml:space="preserve">” means any Registrar, Paying Agent or Notice Agent. </w:t>
      </w:r>
    </w:p>
    <w:p>
      <w:pPr>
        <w:pStyle w:val="TextBody"/>
        <w:bidi w:val="0"/>
        <w:spacing w:before="240" w:after="0"/>
        <w:jc w:val="left"/>
        <w:rPr/>
      </w:pPr>
      <w:r>
        <w:rPr/>
        <w:t>“</w:t>
      </w:r>
      <w:r>
        <w:rPr>
          <w:rFonts w:ascii="Times New Roman" w:hAnsi="Times New Roman"/>
          <w:i/>
          <w:sz w:val="20"/>
        </w:rPr>
        <w:t>Board of Directors</w:t>
      </w:r>
      <w:r>
        <w:rPr>
          <w:rFonts w:ascii="Times New Roman" w:hAnsi="Times New Roman"/>
          <w:sz w:val="20"/>
        </w:rPr>
        <w:t xml:space="preserve">” means the board of directors of the Company or any duly authorized committee thereof. </w:t>
      </w:r>
    </w:p>
    <w:p>
      <w:pPr>
        <w:pStyle w:val="TextBody"/>
        <w:bidi w:val="0"/>
        <w:spacing w:before="240" w:after="0"/>
        <w:jc w:val="left"/>
        <w:rPr/>
      </w:pPr>
      <w:r>
        <w:rPr/>
        <w:t>“</w:t>
      </w:r>
      <w:r>
        <w:rPr>
          <w:rFonts w:ascii="Times New Roman" w:hAnsi="Times New Roman"/>
          <w:i/>
          <w:sz w:val="20"/>
        </w:rPr>
        <w:t>Board Resolution</w:t>
      </w:r>
      <w:r>
        <w:rPr>
          <w:rFonts w:ascii="Times New Roman" w:hAnsi="Times New Roman"/>
          <w:sz w:val="20"/>
        </w:rPr>
        <w:t xml:space="preserve">”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 </w:t>
      </w:r>
    </w:p>
    <w:p>
      <w:pPr>
        <w:pStyle w:val="TextBody"/>
        <w:bidi w:val="0"/>
        <w:spacing w:before="240" w:after="0"/>
        <w:jc w:val="left"/>
        <w:rPr/>
      </w:pPr>
      <w:r>
        <w:rPr/>
        <w:t>“</w:t>
      </w:r>
      <w:r>
        <w:rPr>
          <w:rFonts w:ascii="Times New Roman" w:hAnsi="Times New Roman"/>
          <w:i/>
          <w:sz w:val="20"/>
        </w:rPr>
        <w:t>Business Day</w:t>
      </w:r>
      <w:r>
        <w:rPr>
          <w:rFonts w:ascii="Times New Roman" w:hAnsi="Times New Roman"/>
          <w:sz w:val="20"/>
        </w:rPr>
        <w:t xml:space="preserve">” means any day except a Saturday, Sunday or a legal holiday in the City of New York, New York (or in connection with any payment, the place of payment) on which banking institutions are authorized or required by law, regulation or executive order to close. </w:t>
      </w:r>
    </w:p>
    <w:p>
      <w:pPr>
        <w:pStyle w:val="TextBody"/>
        <w:bidi w:val="0"/>
        <w:spacing w:before="240" w:after="0"/>
        <w:jc w:val="left"/>
        <w:rPr/>
      </w:pPr>
      <w:r>
        <w:rPr/>
        <w:t>“</w:t>
      </w:r>
      <w:r>
        <w:rPr>
          <w:rFonts w:ascii="Times New Roman" w:hAnsi="Times New Roman"/>
          <w:i/>
          <w:sz w:val="20"/>
        </w:rPr>
        <w:t>Capital Stock</w:t>
      </w:r>
      <w:r>
        <w:rPr>
          <w:rFonts w:ascii="Times New Roman" w:hAnsi="Times New Roman"/>
          <w:sz w:val="20"/>
        </w:rPr>
        <w:t xml:space="preserve">” means any and all shares, interests, participations, rights or other equivalents (however designated) of corporate stock. </w:t>
      </w:r>
    </w:p>
    <w:p>
      <w:pPr>
        <w:pStyle w:val="TextBody"/>
        <w:bidi w:val="0"/>
        <w:spacing w:before="240" w:after="0"/>
        <w:jc w:val="left"/>
        <w:rPr/>
      </w:pPr>
      <w:r>
        <w:rPr/>
        <w:t>“</w:t>
      </w:r>
      <w:r>
        <w:rPr>
          <w:rFonts w:ascii="Times New Roman" w:hAnsi="Times New Roman"/>
          <w:i/>
          <w:sz w:val="20"/>
        </w:rPr>
        <w:t>Company</w:t>
      </w:r>
      <w:r>
        <w:rPr>
          <w:rFonts w:ascii="Times New Roman" w:hAnsi="Times New Roman"/>
          <w:sz w:val="20"/>
        </w:rPr>
        <w:t xml:space="preserve">” means the party named as such above until a successor replaces it and thereafter means the successor. </w:t>
      </w:r>
    </w:p>
    <w:p>
      <w:pPr>
        <w:pStyle w:val="TextBody"/>
        <w:bidi w:val="0"/>
        <w:spacing w:before="240" w:after="0"/>
        <w:jc w:val="left"/>
        <w:rPr/>
      </w:pPr>
      <w:r>
        <w:rPr/>
        <w:t>“</w:t>
      </w:r>
      <w:r>
        <w:rPr>
          <w:rFonts w:ascii="Times New Roman" w:hAnsi="Times New Roman"/>
          <w:i/>
          <w:sz w:val="20"/>
        </w:rPr>
        <w:t>Company Order</w:t>
      </w:r>
      <w:r>
        <w:rPr>
          <w:rFonts w:ascii="Times New Roman" w:hAnsi="Times New Roman"/>
          <w:sz w:val="20"/>
        </w:rPr>
        <w:t xml:space="preserve">” means a written order signed in the name of the Company by an Officer and delivered to the Trustee. </w:t>
      </w:r>
    </w:p>
    <w:p>
      <w:pPr>
        <w:pStyle w:val="TextBody"/>
        <w:bidi w:val="0"/>
        <w:spacing w:before="240" w:after="0"/>
        <w:jc w:val="left"/>
        <w:rPr/>
      </w:pPr>
      <w:r>
        <w:rPr/>
        <w:t>“</w:t>
      </w:r>
      <w:r>
        <w:rPr>
          <w:rFonts w:ascii="Times New Roman" w:hAnsi="Times New Roman"/>
          <w:i/>
          <w:sz w:val="20"/>
        </w:rPr>
        <w:t>Corporate Trust Office</w:t>
      </w:r>
      <w:r>
        <w:rPr>
          <w:rFonts w:ascii="Times New Roman" w:hAnsi="Times New Roman"/>
          <w:sz w:val="20"/>
        </w:rPr>
        <w:t xml:space="preserve">” means the office of the Trustee at which at any particular time its corporate trust business related to this Indenture shall be principally administered. </w:t>
      </w:r>
    </w:p>
    <w:p>
      <w:pPr>
        <w:pStyle w:val="TextBody"/>
        <w:bidi w:val="0"/>
        <w:spacing w:before="240" w:after="0"/>
        <w:jc w:val="left"/>
        <w:rPr/>
      </w:pPr>
      <w:r>
        <w:rPr/>
        <w:t>“</w:t>
      </w:r>
      <w:r>
        <w:rPr>
          <w:rFonts w:ascii="Times New Roman" w:hAnsi="Times New Roman"/>
          <w:i/>
          <w:sz w:val="20"/>
        </w:rPr>
        <w:t>Default</w:t>
      </w:r>
      <w:r>
        <w:rPr>
          <w:rFonts w:ascii="Times New Roman" w:hAnsi="Times New Roman"/>
          <w:sz w:val="20"/>
        </w:rPr>
        <w:t xml:space="preserve">” means any event which is, or after notice, passage of time or both would be, an Event of Default.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Depositary</w:t>
      </w:r>
      <w:r>
        <w:rPr>
          <w:rFonts w:ascii="Times New Roman" w:hAnsi="Times New Roman"/>
          <w:sz w:val="20"/>
        </w:rPr>
        <w:t xml:space="preserve">”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 </w:t>
      </w:r>
    </w:p>
    <w:p>
      <w:pPr>
        <w:pStyle w:val="TextBody"/>
        <w:bidi w:val="0"/>
        <w:spacing w:before="240" w:after="0"/>
        <w:jc w:val="left"/>
        <w:rPr/>
      </w:pPr>
      <w:r>
        <w:rPr/>
        <w:t>“</w:t>
      </w:r>
      <w:r>
        <w:rPr>
          <w:rFonts w:ascii="Times New Roman" w:hAnsi="Times New Roman"/>
          <w:i/>
          <w:sz w:val="20"/>
        </w:rPr>
        <w:t>Discount Security</w:t>
      </w:r>
      <w:r>
        <w:rPr>
          <w:rFonts w:ascii="Times New Roman" w:hAnsi="Times New Roman"/>
          <w:sz w:val="20"/>
        </w:rPr>
        <w:t xml:space="preserve">” means any Security that provides for an amount less than the stated principal amount thereof to be due and payable upon declaration of acceleration of the maturity thereof pursuant to Section 6.2. </w:t>
      </w:r>
    </w:p>
    <w:p>
      <w:pPr>
        <w:pStyle w:val="TextBody"/>
        <w:bidi w:val="0"/>
        <w:spacing w:before="240" w:after="0"/>
        <w:jc w:val="left"/>
        <w:rPr/>
      </w:pPr>
      <w:r>
        <w:rPr/>
        <w:t>“</w:t>
      </w:r>
      <w:r>
        <w:rPr>
          <w:rFonts w:ascii="Times New Roman" w:hAnsi="Times New Roman"/>
          <w:i/>
          <w:sz w:val="20"/>
        </w:rPr>
        <w:t>Dollars</w:t>
      </w:r>
      <w:r>
        <w:rPr>
          <w:rFonts w:ascii="Times New Roman" w:hAnsi="Times New Roman"/>
          <w:sz w:val="20"/>
        </w:rPr>
        <w:t>” and “</w:t>
      </w:r>
      <w:r>
        <w:rPr>
          <w:rFonts w:ascii="Times New Roman" w:hAnsi="Times New Roman"/>
          <w:i/>
          <w:sz w:val="20"/>
        </w:rPr>
        <w:t>$</w:t>
      </w:r>
      <w:r>
        <w:rPr>
          <w:rFonts w:ascii="Times New Roman" w:hAnsi="Times New Roman"/>
          <w:sz w:val="20"/>
        </w:rPr>
        <w:t xml:space="preserve">” means the currency of the United States of America.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i/>
          <w:sz w:val="20"/>
        </w:rPr>
        <w:t>Foreign Currency</w:t>
      </w:r>
      <w:r>
        <w:rPr>
          <w:rFonts w:ascii="Times New Roman" w:hAnsi="Times New Roman"/>
          <w:sz w:val="20"/>
        </w:rPr>
        <w:t xml:space="preserve">” means any currency or currency unit issued by a government other than the government of the United States of America. </w:t>
      </w:r>
    </w:p>
    <w:p>
      <w:pPr>
        <w:pStyle w:val="TextBody"/>
        <w:bidi w:val="0"/>
        <w:spacing w:before="240" w:after="0"/>
        <w:jc w:val="left"/>
        <w:rPr/>
      </w:pPr>
      <w:r>
        <w:rPr/>
        <w:t>“</w:t>
      </w:r>
      <w:r>
        <w:rPr>
          <w:rFonts w:ascii="Times New Roman" w:hAnsi="Times New Roman"/>
          <w:i/>
          <w:sz w:val="20"/>
        </w:rPr>
        <w:t>Foreign Government Obligations</w:t>
      </w:r>
      <w:r>
        <w:rPr>
          <w:rFonts w:ascii="Times New Roman" w:hAnsi="Times New Roman"/>
          <w:sz w:val="20"/>
        </w:rPr>
        <w:t xml:space="preserve">”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 </w:t>
      </w:r>
    </w:p>
    <w:p>
      <w:pPr>
        <w:pStyle w:val="TextBody"/>
        <w:bidi w:val="0"/>
        <w:spacing w:before="240" w:after="0"/>
        <w:jc w:val="left"/>
        <w:rPr/>
      </w:pPr>
      <w:r>
        <w:rPr/>
        <w:t>“</w:t>
      </w:r>
      <w:r>
        <w:rPr>
          <w:rFonts w:ascii="Times New Roman" w:hAnsi="Times New Roman"/>
          <w:i/>
          <w:sz w:val="20"/>
        </w:rPr>
        <w:t>GAAP”</w:t>
      </w:r>
      <w:r>
        <w:rPr>
          <w:rFonts w:ascii="Times New Roman" w:hAnsi="Times New Roman"/>
          <w:sz w:val="20"/>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 </w:t>
      </w:r>
    </w:p>
    <w:p>
      <w:pPr>
        <w:pStyle w:val="TextBody"/>
        <w:bidi w:val="0"/>
        <w:spacing w:before="240" w:after="0"/>
        <w:jc w:val="left"/>
        <w:rPr/>
      </w:pPr>
      <w:r>
        <w:rPr/>
        <w:t>“</w:t>
      </w:r>
      <w:r>
        <w:rPr>
          <w:rFonts w:ascii="Times New Roman" w:hAnsi="Times New Roman"/>
          <w:i/>
          <w:sz w:val="20"/>
        </w:rPr>
        <w:t>Global Security</w:t>
      </w:r>
      <w:r>
        <w:rPr>
          <w:rFonts w:ascii="Times New Roman" w:hAnsi="Times New Roman"/>
          <w:sz w:val="20"/>
        </w:rPr>
        <w:t>” or “</w:t>
      </w:r>
      <w:r>
        <w:rPr>
          <w:rFonts w:ascii="Times New Roman" w:hAnsi="Times New Roman"/>
          <w:i/>
          <w:sz w:val="20"/>
        </w:rPr>
        <w:t>Global Securities</w:t>
      </w:r>
      <w:r>
        <w:rPr>
          <w:rFonts w:ascii="Times New Roman" w:hAnsi="Times New Roman"/>
          <w:sz w:val="20"/>
        </w:rPr>
        <w:t xml:space="preserve">” means a Security or Securities, as the case may be, in the form established pursuant to Section 2.2 evidencing all or part of a Series of Securities, issued to the Depositary for such Series or its nominee, and registered in the name of such Depositary or nominee. </w:t>
      </w:r>
    </w:p>
    <w:p>
      <w:pPr>
        <w:pStyle w:val="TextBody"/>
        <w:bidi w:val="0"/>
        <w:spacing w:before="240" w:after="0"/>
        <w:jc w:val="left"/>
        <w:rPr/>
      </w:pPr>
      <w:r>
        <w:rPr/>
        <w:t>“</w:t>
      </w:r>
      <w:r>
        <w:rPr>
          <w:rFonts w:ascii="Times New Roman" w:hAnsi="Times New Roman"/>
          <w:i/>
          <w:sz w:val="20"/>
        </w:rPr>
        <w:t>Holder</w:t>
      </w:r>
      <w:r>
        <w:rPr>
          <w:rFonts w:ascii="Times New Roman" w:hAnsi="Times New Roman"/>
          <w:sz w:val="20"/>
        </w:rPr>
        <w:t xml:space="preserve">” means a person in whose name a Security is registered on the Registrar’s books. </w:t>
      </w:r>
    </w:p>
    <w:p>
      <w:pPr>
        <w:pStyle w:val="TextBody"/>
        <w:bidi w:val="0"/>
        <w:spacing w:before="240" w:after="0"/>
        <w:jc w:val="left"/>
        <w:rPr/>
      </w:pPr>
      <w:r>
        <w:rPr/>
        <w:t>“</w:t>
      </w:r>
      <w:r>
        <w:rPr>
          <w:rFonts w:ascii="Times New Roman" w:hAnsi="Times New Roman"/>
          <w:i/>
          <w:sz w:val="20"/>
        </w:rPr>
        <w:t>Indenture</w:t>
      </w:r>
      <w:r>
        <w:rPr>
          <w:rFonts w:ascii="Times New Roman" w:hAnsi="Times New Roman"/>
          <w:sz w:val="20"/>
        </w:rPr>
        <w:t xml:space="preserve">” means this Indenture as amended or supplemented from time to time and shall include the form and terms of particular Series of Securities established as contemplated hereunder. </w:t>
      </w:r>
    </w:p>
    <w:p>
      <w:pPr>
        <w:pStyle w:val="TextBody"/>
        <w:bidi w:val="0"/>
        <w:spacing w:before="240" w:after="0"/>
        <w:jc w:val="left"/>
        <w:rPr/>
      </w:pPr>
      <w:r>
        <w:rPr/>
        <w:t>“</w:t>
      </w:r>
      <w:r>
        <w:rPr>
          <w:rFonts w:ascii="Times New Roman" w:hAnsi="Times New Roman"/>
          <w:i/>
          <w:sz w:val="20"/>
        </w:rPr>
        <w:t>interest</w:t>
      </w:r>
      <w:r>
        <w:rPr>
          <w:rFonts w:ascii="Times New Roman" w:hAnsi="Times New Roman"/>
          <w:sz w:val="20"/>
        </w:rPr>
        <w:t xml:space="preserve">” with respect to any Discount Security which by its terms bears interest only after Maturity, means interest payable after Maturity.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Maturity</w:t>
      </w:r>
      <w:r>
        <w:rPr>
          <w:rFonts w:ascii="Times New Roman" w:hAnsi="Times New Roman"/>
          <w:sz w:val="20"/>
        </w:rPr>
        <w:t xml:space="preserve">” when used with respect to any Security, means the date on which the principal of such Security becomes due and payable as therein or herein provided, whether at the Stated Maturity or by declaration of acceleration, call for redemption or otherwise. </w:t>
      </w:r>
    </w:p>
    <w:p>
      <w:pPr>
        <w:pStyle w:val="TextBody"/>
        <w:bidi w:val="0"/>
        <w:spacing w:before="240" w:after="0"/>
        <w:jc w:val="left"/>
        <w:rPr/>
      </w:pPr>
      <w:r>
        <w:rPr/>
        <w:t>“</w:t>
      </w:r>
      <w:r>
        <w:rPr>
          <w:rFonts w:ascii="Times New Roman" w:hAnsi="Times New Roman"/>
          <w:i/>
          <w:sz w:val="20"/>
        </w:rPr>
        <w:t>Officer</w:t>
      </w:r>
      <w:r>
        <w:rPr>
          <w:rFonts w:ascii="Times New Roman" w:hAnsi="Times New Roman"/>
          <w:sz w:val="20"/>
        </w:rPr>
        <w:t xml:space="preserve">” means the Chief Executive Officer, President, the Chief Financial Officer, the Treasurer or any Assistant Treasurer, the Secretary or any Assistant Secretary and any Vice President of the Company. </w:t>
      </w:r>
    </w:p>
    <w:p>
      <w:pPr>
        <w:pStyle w:val="TextBody"/>
        <w:bidi w:val="0"/>
        <w:spacing w:before="240" w:after="0"/>
        <w:jc w:val="left"/>
        <w:rPr/>
      </w:pPr>
      <w:r>
        <w:rPr/>
        <w:t>“</w:t>
      </w:r>
      <w:r>
        <w:rPr>
          <w:rFonts w:ascii="Times New Roman" w:hAnsi="Times New Roman"/>
          <w:i/>
          <w:sz w:val="20"/>
        </w:rPr>
        <w:t>Officer’s Certificate</w:t>
      </w:r>
      <w:r>
        <w:rPr>
          <w:rFonts w:ascii="Times New Roman" w:hAnsi="Times New Roman"/>
          <w:sz w:val="20"/>
        </w:rPr>
        <w:t xml:space="preserve">” means a certificate signed by any Officer that meets the requirements of this Indenture. </w:t>
      </w:r>
    </w:p>
    <w:p>
      <w:pPr>
        <w:pStyle w:val="TextBody"/>
        <w:bidi w:val="0"/>
        <w:spacing w:before="240" w:after="0"/>
        <w:jc w:val="left"/>
        <w:rPr/>
      </w:pPr>
      <w:r>
        <w:rPr/>
        <w:t>“</w:t>
      </w:r>
      <w:r>
        <w:rPr>
          <w:rFonts w:ascii="Times New Roman" w:hAnsi="Times New Roman"/>
          <w:i/>
          <w:sz w:val="20"/>
        </w:rPr>
        <w:t>Opinion of Counsel</w:t>
      </w:r>
      <w:r>
        <w:rPr>
          <w:rFonts w:ascii="Times New Roman" w:hAnsi="Times New Roman"/>
          <w:sz w:val="20"/>
        </w:rPr>
        <w:t xml:space="preserve">” means a written opinion of legal counsel who is acceptable to the Trustee. The counsel may be an employee of or counsel to the Company. The opinion may contain customary limitations, conditions and exceptions.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partnership, joint venture, association, limited liability company, joint-stock company, trust, unincorporated organization or government or any agency or political subdivision thereof. </w:t>
      </w:r>
    </w:p>
    <w:p>
      <w:pPr>
        <w:pStyle w:val="TextBody"/>
        <w:bidi w:val="0"/>
        <w:spacing w:before="240" w:after="0"/>
        <w:jc w:val="left"/>
        <w:rPr/>
      </w:pPr>
      <w:r>
        <w:rPr/>
        <w:t>“</w:t>
      </w:r>
      <w:r>
        <w:rPr>
          <w:rFonts w:ascii="Times New Roman" w:hAnsi="Times New Roman"/>
          <w:i/>
          <w:sz w:val="20"/>
        </w:rPr>
        <w:t>principal</w:t>
      </w:r>
      <w:r>
        <w:rPr>
          <w:rFonts w:ascii="Times New Roman" w:hAnsi="Times New Roman"/>
          <w:sz w:val="20"/>
        </w:rPr>
        <w:t xml:space="preserve">” of a Security means the principal of the Security plus, when appropriate, the premium, if any, on the Security. </w:t>
      </w:r>
    </w:p>
    <w:p>
      <w:pPr>
        <w:pStyle w:val="TextBody"/>
        <w:bidi w:val="0"/>
        <w:spacing w:before="240" w:after="0"/>
        <w:jc w:val="left"/>
        <w:rPr/>
      </w:pPr>
      <w:r>
        <w:rPr/>
        <w:t>“</w:t>
      </w:r>
      <w:r>
        <w:rPr>
          <w:rFonts w:ascii="Times New Roman" w:hAnsi="Times New Roman"/>
          <w:i/>
          <w:sz w:val="20"/>
        </w:rPr>
        <w:t>Responsible Officer</w:t>
      </w:r>
      <w:r>
        <w:rPr>
          <w:rFonts w:ascii="Times New Roman" w:hAnsi="Times New Roman"/>
          <w:sz w:val="20"/>
        </w:rPr>
        <w:t xml:space="preserve">”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 </w:t>
      </w:r>
    </w:p>
    <w:p>
      <w:pPr>
        <w:pStyle w:val="TextBody"/>
        <w:bidi w:val="0"/>
        <w:spacing w:before="240" w:after="0"/>
        <w:jc w:val="left"/>
        <w:rPr/>
      </w:pPr>
      <w:r>
        <w:rPr/>
        <w:t>“</w:t>
      </w:r>
      <w:r>
        <w:rPr>
          <w:rFonts w:ascii="Times New Roman" w:hAnsi="Times New Roman"/>
          <w:i/>
          <w:sz w:val="20"/>
        </w:rPr>
        <w:t>SEC</w:t>
      </w:r>
      <w:r>
        <w:rPr>
          <w:rFonts w:ascii="Times New Roman" w:hAnsi="Times New Roman"/>
          <w:sz w:val="20"/>
        </w:rPr>
        <w:t xml:space="preserve">” means the Securities and Exchange Commission. </w:t>
      </w:r>
    </w:p>
    <w:p>
      <w:pPr>
        <w:pStyle w:val="TextBody"/>
        <w:bidi w:val="0"/>
        <w:spacing w:before="240" w:after="0"/>
        <w:jc w:val="left"/>
        <w:rPr/>
      </w:pPr>
      <w:r>
        <w:rPr/>
        <w:t>“</w:t>
      </w:r>
      <w:r>
        <w:rPr>
          <w:rFonts w:ascii="Times New Roman" w:hAnsi="Times New Roman"/>
          <w:i/>
          <w:sz w:val="20"/>
        </w:rPr>
        <w:t>Security</w:t>
      </w:r>
      <w:r>
        <w:rPr>
          <w:rFonts w:ascii="Times New Roman" w:hAnsi="Times New Roman"/>
          <w:sz w:val="20"/>
        </w:rPr>
        <w:t>” or “</w:t>
      </w:r>
      <w:r>
        <w:rPr>
          <w:rFonts w:ascii="Times New Roman" w:hAnsi="Times New Roman"/>
          <w:i/>
          <w:sz w:val="20"/>
        </w:rPr>
        <w:t>Securities</w:t>
      </w:r>
      <w:r>
        <w:rPr>
          <w:rFonts w:ascii="Times New Roman" w:hAnsi="Times New Roman"/>
          <w:sz w:val="20"/>
        </w:rPr>
        <w:t xml:space="preserve">” means the debentures, notes or other debt instruments of the Company of any Series authenticated and delivered under this Indenture. </w:t>
      </w:r>
    </w:p>
    <w:p>
      <w:pPr>
        <w:pStyle w:val="TextBody"/>
        <w:bidi w:val="0"/>
        <w:spacing w:before="240" w:after="0"/>
        <w:jc w:val="left"/>
        <w:rPr/>
      </w:pPr>
      <w:r>
        <w:rPr/>
        <w:t>“</w:t>
      </w:r>
      <w:r>
        <w:rPr>
          <w:rFonts w:ascii="Times New Roman" w:hAnsi="Times New Roman"/>
          <w:i/>
          <w:sz w:val="20"/>
        </w:rPr>
        <w:t>Series</w:t>
      </w:r>
      <w:r>
        <w:rPr>
          <w:rFonts w:ascii="Times New Roman" w:hAnsi="Times New Roman"/>
          <w:sz w:val="20"/>
        </w:rPr>
        <w:t>” or “</w:t>
      </w:r>
      <w:r>
        <w:rPr>
          <w:rFonts w:ascii="Times New Roman" w:hAnsi="Times New Roman"/>
          <w:i/>
          <w:sz w:val="20"/>
        </w:rPr>
        <w:t>Series of Securities</w:t>
      </w:r>
      <w:r>
        <w:rPr>
          <w:rFonts w:ascii="Times New Roman" w:hAnsi="Times New Roman"/>
          <w:sz w:val="20"/>
        </w:rPr>
        <w:t xml:space="preserve">” means each series of debentures, notes or other debt instruments of the Company created pursuant to Sections 2.1 and 2.2 hereof. </w:t>
      </w:r>
    </w:p>
    <w:p>
      <w:pPr>
        <w:pStyle w:val="TextBody"/>
        <w:bidi w:val="0"/>
        <w:spacing w:before="240" w:after="0"/>
        <w:jc w:val="left"/>
        <w:rPr/>
      </w:pPr>
      <w:r>
        <w:rPr/>
        <w:t>“</w:t>
      </w:r>
      <w:r>
        <w:rPr>
          <w:rFonts w:ascii="Times New Roman" w:hAnsi="Times New Roman"/>
          <w:i/>
          <w:sz w:val="20"/>
        </w:rPr>
        <w:t>Stated Maturity</w:t>
      </w:r>
      <w:r>
        <w:rPr>
          <w:rFonts w:ascii="Times New Roman" w:hAnsi="Times New Roman"/>
          <w:sz w:val="20"/>
        </w:rPr>
        <w:t xml:space="preserve">” when used with respect to any Security, means the date specified in such Security as the fixed date on which the principal of such Security or interest is due and payable.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w:t>
      </w:r>
    </w:p>
    <w:p>
      <w:pPr>
        <w:pStyle w:val="TextBody"/>
        <w:bidi w:val="0"/>
        <w:spacing w:before="240" w:after="0"/>
        <w:jc w:val="left"/>
        <w:rPr/>
      </w:pPr>
      <w:r>
        <w:rPr/>
        <w:t>“</w:t>
      </w:r>
      <w:r>
        <w:rPr>
          <w:rFonts w:ascii="Times New Roman" w:hAnsi="Times New Roman"/>
          <w:i/>
          <w:sz w:val="20"/>
        </w:rPr>
        <w:t>TIA</w:t>
      </w:r>
      <w:r>
        <w:rPr>
          <w:rFonts w:ascii="Times New Roman" w:hAnsi="Times New Roman"/>
          <w:sz w:val="20"/>
        </w:rPr>
        <w:t xml:space="preserve">” means the Trust Indenture Act of 1939 (15 U.S. Code §§ 77aaa-77bbbb) as in effect on the date of this Indenture;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the Trust Indenture Act of 1939 is amended after such date, “TIA” means, to the extent required by any such amendment, the Trust Indenture Act as so amended.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Trustee</w:t>
      </w:r>
      <w:r>
        <w:rPr>
          <w:rFonts w:ascii="Times New Roman" w:hAnsi="Times New Roman"/>
          <w:sz w:val="20"/>
        </w:rPr>
        <w:t xml:space="preserv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 </w:t>
      </w:r>
    </w:p>
    <w:p>
      <w:pPr>
        <w:pStyle w:val="TextBody"/>
        <w:bidi w:val="0"/>
        <w:spacing w:before="240" w:after="0"/>
        <w:jc w:val="left"/>
        <w:rPr/>
      </w:pPr>
      <w:r>
        <w:rPr/>
        <w:t>“</w:t>
      </w:r>
      <w:r>
        <w:rPr>
          <w:rFonts w:ascii="Times New Roman" w:hAnsi="Times New Roman"/>
          <w:i/>
          <w:sz w:val="20"/>
        </w:rPr>
        <w:t>U.S. Government Obligations</w:t>
      </w:r>
      <w:r>
        <w:rPr>
          <w:rFonts w:ascii="Times New Roman" w:hAnsi="Times New Roman"/>
          <w:sz w:val="20"/>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hAnsi="Times New Roman"/>
          <w:i/>
          <w:sz w:val="20"/>
        </w:rPr>
        <w:t>provided</w:t>
      </w:r>
      <w:r>
        <w:rPr>
          <w:rFonts w:ascii="Times New Roman" w:hAnsi="Times New Roman"/>
          <w:sz w:val="20"/>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Other Definitions</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653"/>
        <w:gridCol w:w="730"/>
        <w:gridCol w:w="218"/>
        <w:gridCol w:w="2275"/>
        <w:gridCol w:w="63"/>
      </w:tblGrid>
      <w:tr>
        <w:trPr/>
        <w:tc>
          <w:tcPr>
            <w:tcW w:w="3653" w:type="dxa"/>
            <w:tcBorders/>
            <w:vAlign w:val="center"/>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653" w:type="dxa"/>
            <w:tcBorders/>
            <w:vAlign w:val="bottom"/>
          </w:tcPr>
          <w:p>
            <w:pPr>
              <w:pStyle w:val="TableContents"/>
              <w:bidi w:val="0"/>
              <w:spacing w:before="0" w:after="283"/>
              <w:jc w:val="left"/>
              <w:rPr/>
            </w:pPr>
            <w:r>
              <w:rPr/>
              <w:t>TERM</w:t>
            </w:r>
          </w:p>
        </w:tc>
        <w:tc>
          <w:tcPr>
            <w:tcW w:w="730" w:type="dxa"/>
            <w:tcBorders/>
            <w:vAlign w:val="bottom"/>
          </w:tcPr>
          <w:p>
            <w:pPr>
              <w:pStyle w:val="TableContents"/>
              <w:bidi w:val="0"/>
              <w:spacing w:before="0" w:after="283"/>
              <w:jc w:val="left"/>
              <w:rPr/>
            </w:pPr>
            <w:r>
              <w:rPr/>
              <w:t>  </w:t>
            </w:r>
          </w:p>
        </w:tc>
        <w:tc>
          <w:tcPr>
            <w:tcW w:w="2493" w:type="dxa"/>
            <w:gridSpan w:val="2"/>
            <w:tcBorders>
              <w:bottom w:val="single" w:sz="8" w:space="0" w:color="000000"/>
            </w:tcBorders>
            <w:tcMar>
              <w:bottom w:w="28" w:type="dxa"/>
            </w:tcMar>
            <w:vAlign w:val="bottom"/>
          </w:tcPr>
          <w:p>
            <w:pPr>
              <w:pStyle w:val="TableContents"/>
              <w:bidi w:val="0"/>
              <w:spacing w:before="0" w:after="283"/>
              <w:jc w:val="center"/>
              <w:rPr/>
            </w:pPr>
            <w:r>
              <w:rPr/>
              <w:t>DEFINED IN SECTION</w:t>
            </w:r>
          </w:p>
        </w:tc>
        <w:tc>
          <w:tcPr>
            <w:tcW w:w="63"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pPr>
            <w:r>
              <w:rPr/>
              <w:t>“</w:t>
            </w:r>
            <w:r>
              <w:rPr>
                <w:rFonts w:ascii="Times New Roman" w:hAnsi="Times New Roman"/>
                <w:i/>
                <w:sz w:val="20"/>
              </w:rPr>
              <w:t>Agent Member</w:t>
            </w:r>
            <w:r>
              <w:rPr>
                <w:rFonts w:ascii="Times New Roman" w:hAnsi="Times New Roman"/>
                <w:sz w:val="20"/>
              </w:rPr>
              <w:t>”</w:t>
            </w:r>
          </w:p>
        </w:tc>
        <w:tc>
          <w:tcPr>
            <w:tcW w:w="73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275" w:type="dxa"/>
            <w:tcBorders/>
            <w:shd w:fill="CCEEFF" w:val="clear"/>
            <w:vAlign w:val="bottom"/>
          </w:tcPr>
          <w:p>
            <w:pPr>
              <w:pStyle w:val="TableContents"/>
              <w:bidi w:val="0"/>
              <w:spacing w:before="0" w:after="283"/>
              <w:jc w:val="right"/>
              <w:rPr/>
            </w:pPr>
            <w:r>
              <w:rPr/>
              <w:t>2.14.6</w:t>
            </w:r>
          </w:p>
        </w:tc>
        <w:tc>
          <w:tcPr>
            <w:tcW w:w="63" w:type="dxa"/>
            <w:tcBorders/>
            <w:shd w:fill="CCEEFF" w:val="clear"/>
            <w:vAlign w:val="bottom"/>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pPr>
            <w:r>
              <w:rPr/>
              <w:t>“</w:t>
            </w:r>
            <w:r>
              <w:rPr>
                <w:rFonts w:ascii="Times New Roman" w:hAnsi="Times New Roman"/>
                <w:i/>
                <w:sz w:val="20"/>
              </w:rPr>
              <w:t>Bankruptcy Law</w:t>
            </w:r>
            <w:r>
              <w:rPr>
                <w:rFonts w:ascii="Times New Roman" w:hAnsi="Times New Roman"/>
                <w:sz w:val="20"/>
              </w:rPr>
              <w:t>”</w:t>
            </w:r>
          </w:p>
        </w:tc>
        <w:tc>
          <w:tcPr>
            <w:tcW w:w="73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275"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pPr>
            <w:r>
              <w:rPr/>
              <w:t>“</w:t>
            </w:r>
            <w:r>
              <w:rPr>
                <w:rFonts w:ascii="Times New Roman" w:hAnsi="Times New Roman"/>
                <w:i/>
                <w:sz w:val="20"/>
              </w:rPr>
              <w:t>Custodian</w:t>
            </w:r>
            <w:r>
              <w:rPr>
                <w:rFonts w:ascii="Times New Roman" w:hAnsi="Times New Roman"/>
                <w:sz w:val="20"/>
              </w:rPr>
              <w:t>”</w:t>
            </w:r>
          </w:p>
        </w:tc>
        <w:tc>
          <w:tcPr>
            <w:tcW w:w="73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275" w:type="dxa"/>
            <w:tcBorders/>
            <w:shd w:fill="CCEEFF" w:val="clear"/>
            <w:vAlign w:val="bottom"/>
          </w:tcPr>
          <w:p>
            <w:pPr>
              <w:pStyle w:val="TableContents"/>
              <w:bidi w:val="0"/>
              <w:spacing w:before="0" w:after="283"/>
              <w:jc w:val="right"/>
              <w:rPr/>
            </w:pPr>
            <w:r>
              <w:rPr/>
              <w:t>6.1</w:t>
            </w:r>
          </w:p>
        </w:tc>
        <w:tc>
          <w:tcPr>
            <w:tcW w:w="63" w:type="dxa"/>
            <w:tcBorders/>
            <w:shd w:fill="CCEEFF" w:val="clear"/>
            <w:vAlign w:val="bottom"/>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pPr>
            <w:r>
              <w:rPr/>
              <w:t>“</w:t>
            </w:r>
            <w:r>
              <w:rPr>
                <w:rFonts w:ascii="Times New Roman" w:hAnsi="Times New Roman"/>
                <w:i/>
                <w:sz w:val="20"/>
              </w:rPr>
              <w:t>Event of Default</w:t>
            </w:r>
            <w:r>
              <w:rPr>
                <w:rFonts w:ascii="Times New Roman" w:hAnsi="Times New Roman"/>
                <w:sz w:val="20"/>
              </w:rPr>
              <w:t>”</w:t>
            </w:r>
          </w:p>
        </w:tc>
        <w:tc>
          <w:tcPr>
            <w:tcW w:w="73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275"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pPr>
            <w:r>
              <w:rPr/>
              <w:t>“</w:t>
            </w:r>
            <w:r>
              <w:rPr>
                <w:rFonts w:ascii="Times New Roman" w:hAnsi="Times New Roman"/>
                <w:i/>
                <w:sz w:val="20"/>
              </w:rPr>
              <w:t>Judgment Currency</w:t>
            </w:r>
            <w:r>
              <w:rPr>
                <w:rFonts w:ascii="Times New Roman" w:hAnsi="Times New Roman"/>
                <w:sz w:val="20"/>
              </w:rPr>
              <w:t>”</w:t>
            </w:r>
          </w:p>
        </w:tc>
        <w:tc>
          <w:tcPr>
            <w:tcW w:w="73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275" w:type="dxa"/>
            <w:tcBorders/>
            <w:shd w:fill="CCEEFF" w:val="clear"/>
            <w:vAlign w:val="bottom"/>
          </w:tcPr>
          <w:p>
            <w:pPr>
              <w:pStyle w:val="TableContents"/>
              <w:bidi w:val="0"/>
              <w:spacing w:before="0" w:after="283"/>
              <w:jc w:val="right"/>
              <w:rPr/>
            </w:pPr>
            <w:r>
              <w:rPr/>
              <w:t>10.16</w:t>
            </w:r>
          </w:p>
        </w:tc>
        <w:tc>
          <w:tcPr>
            <w:tcW w:w="63" w:type="dxa"/>
            <w:tcBorders/>
            <w:shd w:fill="CCEEFF" w:val="clear"/>
            <w:vAlign w:val="bottom"/>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pPr>
            <w:r>
              <w:rPr/>
              <w:t>“</w:t>
            </w:r>
            <w:r>
              <w:rPr>
                <w:rFonts w:ascii="Times New Roman" w:hAnsi="Times New Roman"/>
                <w:i/>
                <w:sz w:val="20"/>
              </w:rPr>
              <w:t>mandatory sinking fund payment</w:t>
            </w:r>
            <w:r>
              <w:rPr>
                <w:rFonts w:ascii="Times New Roman" w:hAnsi="Times New Roman"/>
                <w:sz w:val="20"/>
              </w:rPr>
              <w:t>”</w:t>
            </w:r>
          </w:p>
        </w:tc>
        <w:tc>
          <w:tcPr>
            <w:tcW w:w="73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275"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pPr>
            <w:r>
              <w:rPr/>
              <w:t>“</w:t>
            </w:r>
            <w:r>
              <w:rPr>
                <w:rFonts w:ascii="Times New Roman" w:hAnsi="Times New Roman"/>
                <w:i/>
                <w:sz w:val="20"/>
              </w:rPr>
              <w:t>New York Banking Day</w:t>
            </w:r>
            <w:r>
              <w:rPr>
                <w:rFonts w:ascii="Times New Roman" w:hAnsi="Times New Roman"/>
                <w:sz w:val="20"/>
              </w:rPr>
              <w:t>”</w:t>
            </w:r>
          </w:p>
        </w:tc>
        <w:tc>
          <w:tcPr>
            <w:tcW w:w="73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275" w:type="dxa"/>
            <w:tcBorders/>
            <w:shd w:fill="CCEEFF" w:val="clear"/>
            <w:vAlign w:val="bottom"/>
          </w:tcPr>
          <w:p>
            <w:pPr>
              <w:pStyle w:val="TableContents"/>
              <w:bidi w:val="0"/>
              <w:spacing w:before="0" w:after="283"/>
              <w:jc w:val="right"/>
              <w:rPr/>
            </w:pPr>
            <w:r>
              <w:rPr/>
              <w:t>10.16</w:t>
            </w:r>
          </w:p>
        </w:tc>
        <w:tc>
          <w:tcPr>
            <w:tcW w:w="63" w:type="dxa"/>
            <w:tcBorders/>
            <w:shd w:fill="CCEEFF" w:val="clear"/>
            <w:vAlign w:val="bottom"/>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pPr>
            <w:r>
              <w:rPr/>
              <w:t>“</w:t>
            </w:r>
            <w:r>
              <w:rPr>
                <w:rFonts w:ascii="Times New Roman" w:hAnsi="Times New Roman"/>
                <w:i/>
                <w:sz w:val="20"/>
              </w:rPr>
              <w:t>Notice Agent</w:t>
            </w:r>
            <w:r>
              <w:rPr>
                <w:rFonts w:ascii="Times New Roman" w:hAnsi="Times New Roman"/>
                <w:sz w:val="20"/>
              </w:rPr>
              <w:t>”</w:t>
            </w:r>
          </w:p>
        </w:tc>
        <w:tc>
          <w:tcPr>
            <w:tcW w:w="73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275"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pPr>
            <w:r>
              <w:rPr/>
              <w:t>“</w:t>
            </w:r>
            <w:r>
              <w:rPr>
                <w:rFonts w:ascii="Times New Roman" w:hAnsi="Times New Roman"/>
                <w:i/>
                <w:sz w:val="20"/>
              </w:rPr>
              <w:t>optional sinking fund payment</w:t>
            </w:r>
            <w:r>
              <w:rPr>
                <w:rFonts w:ascii="Times New Roman" w:hAnsi="Times New Roman"/>
                <w:sz w:val="20"/>
              </w:rPr>
              <w:t>”</w:t>
            </w:r>
          </w:p>
        </w:tc>
        <w:tc>
          <w:tcPr>
            <w:tcW w:w="73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275" w:type="dxa"/>
            <w:tcBorders/>
            <w:shd w:fill="CCEEFF" w:val="clear"/>
            <w:vAlign w:val="bottom"/>
          </w:tcPr>
          <w:p>
            <w:pPr>
              <w:pStyle w:val="TableContents"/>
              <w:bidi w:val="0"/>
              <w:spacing w:before="0" w:after="283"/>
              <w:jc w:val="right"/>
              <w:rPr/>
            </w:pPr>
            <w:r>
              <w:rPr/>
              <w:t>11.1</w:t>
            </w:r>
          </w:p>
        </w:tc>
        <w:tc>
          <w:tcPr>
            <w:tcW w:w="63" w:type="dxa"/>
            <w:tcBorders/>
            <w:shd w:fill="CCEEFF" w:val="clear"/>
            <w:vAlign w:val="bottom"/>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pPr>
            <w:r>
              <w:rPr/>
              <w:t>“</w:t>
            </w:r>
            <w:r>
              <w:rPr>
                <w:rFonts w:ascii="Times New Roman" w:hAnsi="Times New Roman"/>
                <w:i/>
                <w:sz w:val="20"/>
              </w:rPr>
              <w:t>Paying Agent</w:t>
            </w:r>
            <w:r>
              <w:rPr>
                <w:rFonts w:ascii="Times New Roman" w:hAnsi="Times New Roman"/>
                <w:sz w:val="20"/>
              </w:rPr>
              <w:t>”</w:t>
            </w:r>
          </w:p>
        </w:tc>
        <w:tc>
          <w:tcPr>
            <w:tcW w:w="73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275"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pPr>
            <w:r>
              <w:rPr/>
              <w:t>“</w:t>
            </w:r>
            <w:r>
              <w:rPr>
                <w:rFonts w:ascii="Times New Roman" w:hAnsi="Times New Roman"/>
                <w:i/>
                <w:sz w:val="20"/>
              </w:rPr>
              <w:t>Registrar</w:t>
            </w:r>
            <w:r>
              <w:rPr>
                <w:rFonts w:ascii="Times New Roman" w:hAnsi="Times New Roman"/>
                <w:sz w:val="20"/>
              </w:rPr>
              <w:t>”</w:t>
            </w:r>
          </w:p>
        </w:tc>
        <w:tc>
          <w:tcPr>
            <w:tcW w:w="73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275" w:type="dxa"/>
            <w:tcBorders/>
            <w:shd w:fill="CCEEFF" w:val="clear"/>
            <w:vAlign w:val="bottom"/>
          </w:tcPr>
          <w:p>
            <w:pPr>
              <w:pStyle w:val="TableContents"/>
              <w:bidi w:val="0"/>
              <w:spacing w:before="0" w:after="283"/>
              <w:jc w:val="right"/>
              <w:rPr/>
            </w:pPr>
            <w:r>
              <w:rPr/>
              <w:t>2.4</w:t>
            </w:r>
          </w:p>
        </w:tc>
        <w:tc>
          <w:tcPr>
            <w:tcW w:w="63" w:type="dxa"/>
            <w:tcBorders/>
            <w:shd w:fill="CCEEFF" w:val="clear"/>
            <w:vAlign w:val="bottom"/>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pPr>
            <w:r>
              <w:rPr/>
              <w:t>“</w:t>
            </w:r>
            <w:r>
              <w:rPr>
                <w:rFonts w:ascii="Times New Roman" w:hAnsi="Times New Roman"/>
                <w:i/>
                <w:sz w:val="20"/>
              </w:rPr>
              <w:t>Required Currency</w:t>
            </w:r>
            <w:r>
              <w:rPr>
                <w:rFonts w:ascii="Times New Roman" w:hAnsi="Times New Roman"/>
                <w:sz w:val="20"/>
              </w:rPr>
              <w:t>”</w:t>
            </w:r>
          </w:p>
        </w:tc>
        <w:tc>
          <w:tcPr>
            <w:tcW w:w="73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275" w:type="dxa"/>
            <w:tcBorders/>
            <w:vAlign w:val="bottom"/>
          </w:tcPr>
          <w:p>
            <w:pPr>
              <w:pStyle w:val="TableContents"/>
              <w:bidi w:val="0"/>
              <w:spacing w:before="0" w:after="283"/>
              <w:jc w:val="right"/>
              <w:rPr/>
            </w:pPr>
            <w:r>
              <w:rPr/>
              <w:t>10.16</w:t>
            </w:r>
          </w:p>
        </w:tc>
        <w:tc>
          <w:tcPr>
            <w:tcW w:w="63" w:type="dxa"/>
            <w:tcBorders/>
            <w:vAlign w:val="bottom"/>
          </w:tcPr>
          <w:p>
            <w:pPr>
              <w:pStyle w:val="TableContents"/>
              <w:bidi w:val="0"/>
              <w:spacing w:before="0" w:after="283"/>
              <w:jc w:val="left"/>
              <w:rPr/>
            </w:pPr>
            <w:r>
              <w:rPr/>
              <w:t> </w:t>
            </w:r>
          </w:p>
        </w:tc>
      </w:tr>
      <w:tr>
        <w:trPr/>
        <w:tc>
          <w:tcPr>
            <w:tcW w:w="3653" w:type="dxa"/>
            <w:tcBorders/>
            <w:shd w:fill="CCEEFF" w:val="clear"/>
          </w:tcPr>
          <w:p>
            <w:pPr>
              <w:pStyle w:val="TableContents"/>
              <w:bidi w:val="0"/>
              <w:spacing w:before="0" w:after="0"/>
              <w:jc w:val="left"/>
              <w:rPr/>
            </w:pPr>
            <w:r>
              <w:rPr/>
              <w:t>“</w:t>
            </w:r>
            <w:r>
              <w:rPr>
                <w:rFonts w:ascii="Times New Roman" w:hAnsi="Times New Roman"/>
                <w:i/>
                <w:sz w:val="20"/>
              </w:rPr>
              <w:t>Specified Courts</w:t>
            </w:r>
            <w:r>
              <w:rPr>
                <w:rFonts w:ascii="Times New Roman" w:hAnsi="Times New Roman"/>
                <w:sz w:val="20"/>
              </w:rPr>
              <w:t>”</w:t>
            </w:r>
          </w:p>
        </w:tc>
        <w:tc>
          <w:tcPr>
            <w:tcW w:w="73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275" w:type="dxa"/>
            <w:tcBorders/>
            <w:shd w:fill="CCEEFF" w:val="clear"/>
            <w:vAlign w:val="bottom"/>
          </w:tcPr>
          <w:p>
            <w:pPr>
              <w:pStyle w:val="TableContents"/>
              <w:bidi w:val="0"/>
              <w:spacing w:before="0" w:after="283"/>
              <w:jc w:val="right"/>
              <w:rPr/>
            </w:pPr>
            <w:r>
              <w:rPr/>
              <w:t>10.10</w:t>
            </w:r>
          </w:p>
        </w:tc>
        <w:tc>
          <w:tcPr>
            <w:tcW w:w="63" w:type="dxa"/>
            <w:tcBorders/>
            <w:shd w:fill="CCEEFF" w:val="clear"/>
            <w:vAlign w:val="bottom"/>
          </w:tcPr>
          <w:p>
            <w:pPr>
              <w:pStyle w:val="TableContents"/>
              <w:bidi w:val="0"/>
              <w:spacing w:before="0" w:after="283"/>
              <w:jc w:val="left"/>
              <w:rPr/>
            </w:pPr>
            <w:r>
              <w:rPr/>
              <w:t> </w:t>
            </w:r>
          </w:p>
        </w:tc>
      </w:tr>
      <w:tr>
        <w:trPr/>
        <w:tc>
          <w:tcPr>
            <w:tcW w:w="3653" w:type="dxa"/>
            <w:tcBorders/>
          </w:tcPr>
          <w:p>
            <w:pPr>
              <w:pStyle w:val="TableContents"/>
              <w:bidi w:val="0"/>
              <w:spacing w:before="0" w:after="0"/>
              <w:jc w:val="left"/>
              <w:rPr/>
            </w:pPr>
            <w:r>
              <w:rPr/>
              <w:t>“</w:t>
            </w:r>
            <w:r>
              <w:rPr>
                <w:rFonts w:ascii="Times New Roman" w:hAnsi="Times New Roman"/>
                <w:i/>
                <w:sz w:val="20"/>
              </w:rPr>
              <w:t>successor person</w:t>
            </w:r>
            <w:r>
              <w:rPr>
                <w:rFonts w:ascii="Times New Roman" w:hAnsi="Times New Roman"/>
                <w:sz w:val="20"/>
              </w:rPr>
              <w:t>”</w:t>
            </w:r>
          </w:p>
        </w:tc>
        <w:tc>
          <w:tcPr>
            <w:tcW w:w="73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275"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Incorporation by Reference of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Whenever this Indenture refers to a provision of the TIA, the provision is incorporated by reference in and made a part of this Indenture. The following TIA terms used in this Indenture have the following meanings: </w:t>
      </w:r>
    </w:p>
    <w:p>
      <w:pPr>
        <w:pStyle w:val="TextBody"/>
        <w:bidi w:val="0"/>
        <w:spacing w:before="120" w:after="0"/>
        <w:jc w:val="left"/>
        <w:rPr/>
      </w:pPr>
      <w:r>
        <w:rPr/>
        <w:t>“</w:t>
      </w:r>
      <w:r>
        <w:rPr>
          <w:rFonts w:ascii="Times New Roman" w:hAnsi="Times New Roman"/>
          <w:i/>
          <w:sz w:val="20"/>
        </w:rPr>
        <w:t>Commission</w:t>
      </w:r>
      <w:r>
        <w:rPr>
          <w:rFonts w:ascii="Times New Roman" w:hAnsi="Times New Roman"/>
          <w:sz w:val="20"/>
        </w:rPr>
        <w:t xml:space="preserve">” means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indenture securities</w:t>
      </w:r>
      <w:r>
        <w:rPr>
          <w:rFonts w:ascii="Times New Roman" w:hAnsi="Times New Roman"/>
          <w:sz w:val="20"/>
        </w:rPr>
        <w:t xml:space="preserve">” means the Securities. </w:t>
      </w:r>
    </w:p>
    <w:p>
      <w:pPr>
        <w:pStyle w:val="TextBody"/>
        <w:bidi w:val="0"/>
        <w:spacing w:before="240" w:after="0"/>
        <w:jc w:val="left"/>
        <w:rPr/>
      </w:pPr>
      <w:r>
        <w:rPr/>
        <w:t>“</w:t>
      </w:r>
      <w:r>
        <w:rPr>
          <w:rFonts w:ascii="Times New Roman" w:hAnsi="Times New Roman"/>
          <w:i/>
          <w:sz w:val="20"/>
        </w:rPr>
        <w:t>indenture security holder</w:t>
      </w:r>
      <w:r>
        <w:rPr>
          <w:rFonts w:ascii="Times New Roman" w:hAnsi="Times New Roman"/>
          <w:sz w:val="20"/>
        </w:rPr>
        <w:t xml:space="preserve">” means a Holder. </w:t>
      </w:r>
    </w:p>
    <w:p>
      <w:pPr>
        <w:pStyle w:val="TextBody"/>
        <w:bidi w:val="0"/>
        <w:spacing w:before="240" w:after="0"/>
        <w:jc w:val="left"/>
        <w:rPr/>
      </w:pPr>
      <w:r>
        <w:rPr/>
        <w:t>“</w:t>
      </w:r>
      <w:r>
        <w:rPr>
          <w:rFonts w:ascii="Times New Roman" w:hAnsi="Times New Roman"/>
          <w:i/>
          <w:sz w:val="20"/>
        </w:rPr>
        <w:t>indenture to be qualified</w:t>
      </w:r>
      <w:r>
        <w:rPr>
          <w:rFonts w:ascii="Times New Roman" w:hAnsi="Times New Roman"/>
          <w:sz w:val="20"/>
        </w:rPr>
        <w:t xml:space="preserve">” means this Indenture. </w:t>
      </w:r>
    </w:p>
    <w:p>
      <w:pPr>
        <w:pStyle w:val="TextBody"/>
        <w:bidi w:val="0"/>
        <w:spacing w:before="240" w:after="0"/>
        <w:jc w:val="left"/>
        <w:rPr/>
      </w:pPr>
      <w:r>
        <w:rPr/>
        <w:t>“</w:t>
      </w:r>
      <w:r>
        <w:rPr>
          <w:rFonts w:ascii="Times New Roman" w:hAnsi="Times New Roman"/>
          <w:i/>
          <w:sz w:val="20"/>
        </w:rPr>
        <w:t>indenture trustee</w:t>
      </w:r>
      <w:r>
        <w:rPr>
          <w:rFonts w:ascii="Times New Roman" w:hAnsi="Times New Roman"/>
          <w:sz w:val="20"/>
        </w:rPr>
        <w:t>” or “</w:t>
      </w:r>
      <w:r>
        <w:rPr>
          <w:rFonts w:ascii="Times New Roman" w:hAnsi="Times New Roman"/>
          <w:i/>
          <w:sz w:val="20"/>
        </w:rPr>
        <w:t>institutional trustee</w:t>
      </w:r>
      <w:r>
        <w:rPr>
          <w:rFonts w:ascii="Times New Roman" w:hAnsi="Times New Roman"/>
          <w:sz w:val="20"/>
        </w:rPr>
        <w:t xml:space="preserve">” means the Trustee. </w:t>
      </w:r>
    </w:p>
    <w:p>
      <w:pPr>
        <w:pStyle w:val="TextBody"/>
        <w:bidi w:val="0"/>
        <w:spacing w:before="240" w:after="0"/>
        <w:jc w:val="left"/>
        <w:rPr/>
      </w:pPr>
      <w:r>
        <w:rPr/>
        <w:t>“</w:t>
      </w:r>
      <w:r>
        <w:rPr>
          <w:rFonts w:ascii="Times New Roman" w:hAnsi="Times New Roman"/>
          <w:i/>
          <w:sz w:val="20"/>
        </w:rPr>
        <w:t>obligor</w:t>
      </w:r>
      <w:r>
        <w:rPr>
          <w:rFonts w:ascii="Times New Roman" w:hAnsi="Times New Roman"/>
          <w:sz w:val="20"/>
        </w:rPr>
        <w:t xml:space="preserve">” on the indenture securities means the Company and any successor obligor upon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other terms used in this Indenture that are defined by the TIA, defined by TIA reference to another statute or defined by SEC rule under the TIA and not otherwise defined herein are used herein as so defined.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a term has the meaning assigned to it; </w:t>
      </w:r>
    </w:p>
    <w:p>
      <w:pPr>
        <w:pStyle w:val="TextBody"/>
        <w:bidi w:val="0"/>
        <w:spacing w:before="240" w:after="0"/>
        <w:jc w:val="left"/>
        <w:rPr>
          <w:rFonts w:ascii="Times New Roman" w:hAnsi="Times New Roman"/>
          <w:sz w:val="20"/>
        </w:rPr>
      </w:pPr>
      <w:r>
        <w:rPr>
          <w:rFonts w:ascii="Times New Roman" w:hAnsi="Times New Roman"/>
          <w:sz w:val="20"/>
        </w:rPr>
        <w:t xml:space="preserve">(b) an accounting term not otherwise defined has the meaning assigned to it in accordance with GAAP;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i/>
          <w:sz w:val="20"/>
        </w:rPr>
        <w:t>or</w:t>
      </w:r>
      <w:r>
        <w:rPr>
          <w:rFonts w:ascii="Times New Roman" w:hAnsi="Times New Roman"/>
          <w:sz w:val="20"/>
        </w:rPr>
        <w:t xml:space="preserve">”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(d) words in the singular include the plural, and in the plural include the singular; </w:t>
      </w:r>
    </w:p>
    <w:p>
      <w:pPr>
        <w:pStyle w:val="TextBody"/>
        <w:bidi w:val="0"/>
        <w:spacing w:before="240" w:after="0"/>
        <w:jc w:val="left"/>
        <w:rPr>
          <w:rFonts w:ascii="Times New Roman" w:hAnsi="Times New Roman"/>
          <w:sz w:val="20"/>
        </w:rPr>
      </w:pPr>
      <w:r>
        <w:rPr>
          <w:rFonts w:ascii="Times New Roman" w:hAnsi="Times New Roman"/>
          <w:sz w:val="20"/>
        </w:rPr>
        <w:t xml:space="preserve">(e) provisions apply to successive events and transactions; </w:t>
      </w:r>
    </w:p>
    <w:p>
      <w:pPr>
        <w:pStyle w:val="TextBody"/>
        <w:bidi w:val="0"/>
        <w:spacing w:before="240" w:after="0"/>
        <w:jc w:val="left"/>
        <w:rPr>
          <w:rFonts w:ascii="Times New Roman" w:hAnsi="Times New Roman"/>
          <w:sz w:val="20"/>
        </w:rPr>
      </w:pPr>
      <w:r>
        <w:rPr>
          <w:rFonts w:ascii="Times New Roman" w:hAnsi="Times New Roman"/>
          <w:sz w:val="20"/>
        </w:rPr>
        <w:t xml:space="preserve">(f) in the computation of periods of time from a specified date to a later specified date, the word “from” means “from and including,” and the words “to” and “until” each mean “to but excluding”; and </w:t>
      </w:r>
    </w:p>
    <w:p>
      <w:pPr>
        <w:pStyle w:val="TextBody"/>
        <w:bidi w:val="0"/>
        <w:spacing w:before="240" w:after="0"/>
        <w:jc w:val="left"/>
        <w:rPr>
          <w:rFonts w:ascii="Times New Roman" w:hAnsi="Times New Roman"/>
          <w:sz w:val="20"/>
        </w:rPr>
      </w:pPr>
      <w:r>
        <w:rPr>
          <w:rFonts w:ascii="Times New Roman" w:hAnsi="Times New Roman"/>
          <w:sz w:val="20"/>
        </w:rPr>
        <w:t xml:space="preserve">(g) the phrase “in writing” as used herein shall be deemed to include PDFs, e-mails and other electronic means of transmission, unless otherwise indicated.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Issuable in Series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Establishment of Terms of Series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2.2.1. the title (which shall distinguish the Securities of that particular Series from the Securities of any other Series) and ranking (including the terms of any subordination provisions)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2.2.2. the price or prices (expressed as a percentage of the principal amount thereof) at which the Securities of the Series will be issued; </w:t>
      </w:r>
    </w:p>
    <w:p>
      <w:pPr>
        <w:pStyle w:val="TextBody"/>
        <w:bidi w:val="0"/>
        <w:spacing w:before="240" w:after="0"/>
        <w:jc w:val="left"/>
        <w:rPr>
          <w:rFonts w:ascii="Times New Roman" w:hAnsi="Times New Roman"/>
          <w:sz w:val="20"/>
        </w:rPr>
      </w:pPr>
      <w:r>
        <w:rPr>
          <w:rFonts w:ascii="Times New Roman" w:hAnsi="Times New Roman"/>
          <w:sz w:val="20"/>
        </w:rPr>
        <w:t xml:space="preserve">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 </w:t>
      </w:r>
    </w:p>
    <w:p>
      <w:pPr>
        <w:pStyle w:val="TextBody"/>
        <w:bidi w:val="0"/>
        <w:spacing w:before="240" w:after="0"/>
        <w:jc w:val="left"/>
        <w:rPr>
          <w:rFonts w:ascii="Times New Roman" w:hAnsi="Times New Roman"/>
          <w:sz w:val="20"/>
        </w:rPr>
      </w:pPr>
      <w:r>
        <w:rPr>
          <w:rFonts w:ascii="Times New Roman" w:hAnsi="Times New Roman"/>
          <w:sz w:val="20"/>
        </w:rPr>
        <w:t xml:space="preserve">2.2.4. the date or dates on which the principal of the Securities of the Series is payable; </w:t>
      </w:r>
    </w:p>
    <w:p>
      <w:pPr>
        <w:pStyle w:val="TextBody"/>
        <w:bidi w:val="0"/>
        <w:spacing w:before="240" w:after="0"/>
        <w:jc w:val="left"/>
        <w:rPr>
          <w:rFonts w:ascii="Times New Roman" w:hAnsi="Times New Roman"/>
          <w:sz w:val="20"/>
        </w:rPr>
      </w:pPr>
      <w:r>
        <w:rPr>
          <w:rFonts w:ascii="Times New Roman" w:hAnsi="Times New Roman"/>
          <w:sz w:val="20"/>
        </w:rPr>
        <w:t xml:space="preserve">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 </w:t>
      </w:r>
    </w:p>
    <w:p>
      <w:pPr>
        <w:pStyle w:val="TextBody"/>
        <w:bidi w:val="0"/>
        <w:spacing w:before="240" w:after="0"/>
        <w:jc w:val="left"/>
        <w:rPr>
          <w:rFonts w:ascii="Times New Roman" w:hAnsi="Times New Roman"/>
          <w:sz w:val="20"/>
        </w:rPr>
      </w:pPr>
      <w:r>
        <w:rPr>
          <w:rFonts w:ascii="Times New Roman" w:hAnsi="Times New Roman"/>
          <w:sz w:val="20"/>
        </w:rPr>
        <w:t xml:space="preserve">2.2.7. if applicable, the period or periods within which, the price or prices at which and the terms and conditions upon which the Securities of the Series may be redeemed, in whole or in part, at the option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2.2.9. the dates, if any, on which and the price or prices at which the Securities of the Series will be repurchased by the Company at the option of the Holders thereof and other detailed terms and provisions of such repurchase obligations; </w:t>
      </w:r>
    </w:p>
    <w:p>
      <w:pPr>
        <w:pStyle w:val="TextBody"/>
        <w:bidi w:val="0"/>
        <w:spacing w:before="240" w:after="0"/>
        <w:jc w:val="left"/>
        <w:rPr>
          <w:rFonts w:ascii="Times New Roman" w:hAnsi="Times New Roman"/>
          <w:sz w:val="20"/>
        </w:rPr>
      </w:pPr>
      <w:r>
        <w:rPr>
          <w:rFonts w:ascii="Times New Roman" w:hAnsi="Times New Roman"/>
          <w:sz w:val="20"/>
        </w:rPr>
        <w:t xml:space="preserve">2.2.10. if other than denominations of $1,000 and any integral multiple thereof, the denominations in which the Securities of the Series shall be issuable; </w:t>
      </w:r>
    </w:p>
    <w:p>
      <w:pPr>
        <w:pStyle w:val="TextBody"/>
        <w:bidi w:val="0"/>
        <w:spacing w:before="240" w:after="0"/>
        <w:jc w:val="left"/>
        <w:rPr>
          <w:rFonts w:ascii="Times New Roman" w:hAnsi="Times New Roman"/>
          <w:sz w:val="20"/>
        </w:rPr>
      </w:pPr>
      <w:r>
        <w:rPr>
          <w:rFonts w:ascii="Times New Roman" w:hAnsi="Times New Roman"/>
          <w:sz w:val="20"/>
        </w:rPr>
        <w:t xml:space="preserve">2.2.11. the forms of the Securities of the Series and whether the Securities will be issuable as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2.2.12. if other than the principal amount thereof, the portion of the principal amount of the Securities of the Series that shall be payable upon declaration of acceleration of the maturity thereof pursuant to Section 6.2; </w:t>
      </w:r>
    </w:p>
    <w:p>
      <w:pPr>
        <w:pStyle w:val="TextBody"/>
        <w:bidi w:val="0"/>
        <w:spacing w:before="240" w:after="0"/>
        <w:jc w:val="left"/>
        <w:rPr>
          <w:rFonts w:ascii="Times New Roman" w:hAnsi="Times New Roman"/>
          <w:sz w:val="20"/>
        </w:rPr>
      </w:pPr>
      <w:r>
        <w:rPr>
          <w:rFonts w:ascii="Times New Roman" w:hAnsi="Times New Roman"/>
          <w:sz w:val="20"/>
        </w:rPr>
        <w:t xml:space="preserve">2.2.13. the currency of denomination of the Securities of the Series, which may be Dollars or any Foreign Currency, and if such currency of denomination is a composite currency, the agency or organization, if any, responsible for overseeing such composite currency; </w:t>
      </w:r>
    </w:p>
    <w:p>
      <w:pPr>
        <w:pStyle w:val="TextBody"/>
        <w:bidi w:val="0"/>
        <w:spacing w:before="240" w:after="0"/>
        <w:jc w:val="left"/>
        <w:rPr>
          <w:rFonts w:ascii="Times New Roman" w:hAnsi="Times New Roman"/>
          <w:sz w:val="20"/>
        </w:rPr>
      </w:pPr>
      <w:r>
        <w:rPr>
          <w:rFonts w:ascii="Times New Roman" w:hAnsi="Times New Roman"/>
          <w:sz w:val="20"/>
        </w:rPr>
        <w:t xml:space="preserve">2.2.14. the designation of the currency, currencies or currency units in which payment of the principal of and interest, if any, on the Securities of the Series will be made; </w:t>
      </w:r>
    </w:p>
    <w:p>
      <w:pPr>
        <w:pStyle w:val="TextBody"/>
        <w:bidi w:val="0"/>
        <w:spacing w:before="240" w:after="0"/>
        <w:jc w:val="left"/>
        <w:rPr>
          <w:rFonts w:ascii="Times New Roman" w:hAnsi="Times New Roman"/>
          <w:sz w:val="20"/>
        </w:rPr>
      </w:pPr>
      <w:r>
        <w:rPr>
          <w:rFonts w:ascii="Times New Roman" w:hAnsi="Times New Roman"/>
          <w:sz w:val="20"/>
        </w:rPr>
        <w:t xml:space="preserve">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 </w:t>
      </w:r>
    </w:p>
    <w:p>
      <w:pPr>
        <w:pStyle w:val="TextBody"/>
        <w:bidi w:val="0"/>
        <w:spacing w:before="240" w:after="0"/>
        <w:jc w:val="left"/>
        <w:rPr>
          <w:rFonts w:ascii="Times New Roman" w:hAnsi="Times New Roman"/>
          <w:sz w:val="20"/>
        </w:rPr>
      </w:pPr>
      <w:r>
        <w:rPr>
          <w:rFonts w:ascii="Times New Roman" w:hAnsi="Times New Roman"/>
          <w:sz w:val="20"/>
        </w:rPr>
        <w:t xml:space="preserve">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 </w:t>
      </w:r>
    </w:p>
    <w:p>
      <w:pPr>
        <w:pStyle w:val="TextBody"/>
        <w:bidi w:val="0"/>
        <w:spacing w:before="240" w:after="0"/>
        <w:jc w:val="left"/>
        <w:rPr>
          <w:rFonts w:ascii="Times New Roman" w:hAnsi="Times New Roman"/>
          <w:sz w:val="20"/>
        </w:rPr>
      </w:pPr>
      <w:r>
        <w:rPr>
          <w:rFonts w:ascii="Times New Roman" w:hAnsi="Times New Roman"/>
          <w:sz w:val="20"/>
        </w:rPr>
        <w:t xml:space="preserve">2.2.17. the provisions, if any, relating to any security provided for the Securities of the Series; </w:t>
      </w:r>
    </w:p>
    <w:p>
      <w:pPr>
        <w:pStyle w:val="TextBody"/>
        <w:bidi w:val="0"/>
        <w:spacing w:before="240" w:after="0"/>
        <w:jc w:val="left"/>
        <w:rPr>
          <w:rFonts w:ascii="Times New Roman" w:hAnsi="Times New Roman"/>
          <w:sz w:val="20"/>
        </w:rPr>
      </w:pPr>
      <w:r>
        <w:rPr>
          <w:rFonts w:ascii="Times New Roman" w:hAnsi="Times New Roman"/>
          <w:sz w:val="20"/>
        </w:rPr>
        <w:t xml:space="preserve">2.2.18. any addition to, deletion of or change in the Events of Default which applies to any Securities of the Series and any change in the right of the Trustee or the requisite Holders of such Securities to declare the principal amount thereof due and payable pursuant to Section 6.2; </w:t>
      </w:r>
    </w:p>
    <w:p>
      <w:pPr>
        <w:pStyle w:val="TextBody"/>
        <w:bidi w:val="0"/>
        <w:spacing w:before="240" w:after="0"/>
        <w:jc w:val="left"/>
        <w:rPr>
          <w:rFonts w:ascii="Times New Roman" w:hAnsi="Times New Roman"/>
          <w:sz w:val="20"/>
        </w:rPr>
      </w:pPr>
      <w:r>
        <w:rPr>
          <w:rFonts w:ascii="Times New Roman" w:hAnsi="Times New Roman"/>
          <w:sz w:val="20"/>
        </w:rPr>
        <w:t xml:space="preserve">2.2.19. any addition to, deletion of or change in the covenants applicable to Securities of the Series;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2.2.20. any Depositaries, interest rate calculation agents, exchange rate calculation agents or other agents with respect to Securities of such Series if other than those appointed herein; </w:t>
      </w:r>
    </w:p>
    <w:p>
      <w:pPr>
        <w:pStyle w:val="TextBody"/>
        <w:bidi w:val="0"/>
        <w:spacing w:before="240" w:after="0"/>
        <w:jc w:val="left"/>
        <w:rPr>
          <w:rFonts w:ascii="Times New Roman" w:hAnsi="Times New Roman"/>
          <w:sz w:val="20"/>
        </w:rPr>
      </w:pPr>
      <w:r>
        <w:rPr>
          <w:rFonts w:ascii="Times New Roman" w:hAnsi="Times New Roman"/>
          <w:sz w:val="20"/>
        </w:rPr>
        <w:t xml:space="preserve">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 </w:t>
      </w:r>
    </w:p>
    <w:p>
      <w:pPr>
        <w:pStyle w:val="TextBody"/>
        <w:bidi w:val="0"/>
        <w:spacing w:before="240" w:after="0"/>
        <w:jc w:val="left"/>
        <w:rPr>
          <w:rFonts w:ascii="Times New Roman" w:hAnsi="Times New Roman"/>
          <w:sz w:val="20"/>
        </w:rPr>
      </w:pPr>
      <w:r>
        <w:rPr>
          <w:rFonts w:ascii="Times New Roman" w:hAnsi="Times New Roman"/>
          <w:sz w:val="20"/>
        </w:rPr>
        <w:t xml:space="preserve">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 </w:t>
      </w:r>
    </w:p>
    <w:p>
      <w:pPr>
        <w:pStyle w:val="TextBody"/>
        <w:bidi w:val="0"/>
        <w:spacing w:before="240" w:after="0"/>
        <w:jc w:val="left"/>
        <w:rPr>
          <w:rFonts w:ascii="Times New Roman" w:hAnsi="Times New Roman"/>
          <w:sz w:val="20"/>
        </w:rPr>
      </w:pPr>
      <w:r>
        <w:rPr>
          <w:rFonts w:ascii="Times New Roman" w:hAnsi="Times New Roman"/>
          <w:sz w:val="20"/>
        </w:rPr>
        <w:t xml:space="preserve">2.2.23. whether any of the Company’s direct or indirect Subsidiaries will guarantee the Securities of that Series, including the terms of subordination, if any, of such guarantees.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need not be issued at the same time and may be issued from time to time, consistent with the terms of this Indenture, if so provided by or pursuant to the Board Resolution, supplemental indenture hereto or Officer’s Certificate referred to above. </w:t>
      </w:r>
    </w:p>
    <w:p>
      <w:pPr>
        <w:pStyle w:val="TextBody"/>
        <w:bidi w:val="0"/>
        <w:spacing w:before="24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Execution and Authentication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 Officer shall sign the Securities for the Company by manual, facsimile or electronic signature. </w:t>
      </w:r>
    </w:p>
    <w:p>
      <w:pPr>
        <w:pStyle w:val="TextBody"/>
        <w:bidi w:val="0"/>
        <w:spacing w:before="240" w:after="0"/>
        <w:jc w:val="left"/>
        <w:rPr>
          <w:rFonts w:ascii="Times New Roman" w:hAnsi="Times New Roman"/>
          <w:sz w:val="20"/>
        </w:rPr>
      </w:pPr>
      <w:r>
        <w:rPr>
          <w:rFonts w:ascii="Times New Roman" w:hAnsi="Times New Roman"/>
          <w:sz w:val="20"/>
        </w:rPr>
        <w:t xml:space="preserve">If an Officer whose signature is on a Security no longer holds that office at the time the Security is authenticated, the Security shall nevertheless be valid. </w:t>
      </w:r>
    </w:p>
    <w:p>
      <w:pPr>
        <w:pStyle w:val="TextBody"/>
        <w:bidi w:val="0"/>
        <w:spacing w:before="240" w:after="0"/>
        <w:jc w:val="left"/>
        <w:rPr>
          <w:rFonts w:ascii="Times New Roman" w:hAnsi="Times New Roman"/>
          <w:sz w:val="20"/>
        </w:rPr>
      </w:pPr>
      <w:r>
        <w:rPr>
          <w:rFonts w:ascii="Times New Roman" w:hAnsi="Times New Roman"/>
          <w:sz w:val="20"/>
        </w:rPr>
        <w:t xml:space="preserve">A Security shall not be valid until authenticated by the manual signature of the Trustee or an authenticating agent. The signature shall be conclusive evidence that the Security has been authenticated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Sections 10.4 and 10.5, and (c) an Opinion of Counsel complying with Sections 10.4 and 10.5.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the right to decline to authenticate and deliver any Securities of such Series: (a) if the Trustee, being advised by counsel, determines that such action may not be taken lawfully; or (b) if the Trustee in good faith determines that such action may expose the Trustee to personal liability.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Registrar, Paying Agent and Notice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hAnsi="Times New Roman"/>
          <w:i/>
          <w:sz w:val="20"/>
        </w:rPr>
        <w:t>Paying Agent</w:t>
      </w:r>
      <w:r>
        <w:rPr>
          <w:rFonts w:ascii="Times New Roman" w:hAnsi="Times New Roman"/>
          <w:sz w:val="20"/>
        </w:rPr>
        <w:t>”), where Securities of such Series may be surrendered for registration of transfer or exchange (“</w:t>
      </w:r>
      <w:r>
        <w:rPr>
          <w:rFonts w:ascii="Times New Roman" w:hAnsi="Times New Roman"/>
          <w:i/>
          <w:sz w:val="20"/>
        </w:rPr>
        <w:t>Registrar</w:t>
      </w:r>
      <w:r>
        <w:rPr>
          <w:rFonts w:ascii="Times New Roman" w:hAnsi="Times New Roman"/>
          <w:sz w:val="20"/>
        </w:rPr>
        <w:t>”) and where notices and demands to or upon the Company in respect of the Securities of such Series and this Indenture may be delivered (“</w:t>
      </w:r>
      <w:r>
        <w:rPr>
          <w:rFonts w:ascii="Times New Roman" w:hAnsi="Times New Roman"/>
          <w:i/>
          <w:sz w:val="20"/>
        </w:rPr>
        <w:t>Notice Agent</w:t>
      </w:r>
      <w:r>
        <w:rPr>
          <w:rFonts w:ascii="Times New Roman" w:hAnsi="Times New Roman"/>
          <w:sz w:val="20"/>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appointment of the Trustee as the Notice Agent shall exclude the appointment of the Trustee or any office of the Trustee as an agent to receive the service of legal process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one or more co-registrars, additional paying agents or additional notice agents and may from time to time rescind such designations;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hAnsi="Times New Roman"/>
          <w:i/>
          <w:sz w:val="20"/>
        </w:rPr>
        <w:t>Registrar</w:t>
      </w:r>
      <w:r>
        <w:rPr>
          <w:rFonts w:ascii="Times New Roman" w:hAnsi="Times New Roman"/>
          <w:sz w:val="20"/>
        </w:rPr>
        <w:t>” includes any co-registrar; the term “</w:t>
      </w:r>
      <w:r>
        <w:rPr>
          <w:rFonts w:ascii="Times New Roman" w:hAnsi="Times New Roman"/>
          <w:i/>
          <w:sz w:val="20"/>
        </w:rPr>
        <w:t>Paying Agent</w:t>
      </w:r>
      <w:r>
        <w:rPr>
          <w:rFonts w:ascii="Times New Roman" w:hAnsi="Times New Roman"/>
          <w:sz w:val="20"/>
        </w:rPr>
        <w:t>” includes any additional paying agent; and the term “</w:t>
      </w:r>
      <w:r>
        <w:rPr>
          <w:rFonts w:ascii="Times New Roman" w:hAnsi="Times New Roman"/>
          <w:i/>
          <w:sz w:val="20"/>
        </w:rPr>
        <w:t>Notice Agent</w:t>
      </w:r>
      <w:r>
        <w:rPr>
          <w:rFonts w:ascii="Times New Roman" w:hAnsi="Times New Roman"/>
          <w:sz w:val="20"/>
        </w:rPr>
        <w:t xml:space="preserve">” includes any additional notice agent. The Company or any of its Affiliates may serve as Registrar or Paying Agent.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appoints the Trustee the initial Registrar, Paying Agent and Notice Agent for each Series unless another Registrar, Paying Agent or Notice Agent, as the case may be, is appointed prior to the time Securities of that Series are first issued. The rights, powers, duties, obligations and actions of each Agent under this Indenture are several and not joint or joint and several, and the Agents shall only be obliged to perform those duties expressly set out in this Indenture and shall have no implied duties.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Paying Agent to Hold Money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any bankruptcy, reorganization or similar proceeding with respect to the Company, the Trustee shall serve as Paying Agent for the Securities. For the avoidance of doubt, a Paying Agent and the Trustee shall be held harmless and have no liability with respect to payments or disbursements (including to the Holders) until they have confirmed receipt of funds sufficient to make the relevant payment. No money held by an Agent needs to be segregated except as is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Holder Lists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it is serving as Registrar, the Trustee shall preserve in as current a form as is reasonably practicable the most recent list available to it of the names and addresses of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Holders of each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Every Holder, by receiving and holding Securities, agrees with the Company and the Trustee that neither the Company nor the Trustee or any agent of either of them shall be held accountable by reason of the disclosure of any such information as to the names and addresses of the Holders in accordance with TIA § 312, regardless of the source from which such information was derived, and that the Trustee shall not be held accountable by reason of mailing any material pursuant to a request made under TIA § 312(b).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 </w:t>
      </w:r>
    </w:p>
    <w:p>
      <w:pPr>
        <w:pStyle w:val="TextBody"/>
        <w:bidi w:val="0"/>
        <w:spacing w:before="240" w:after="0"/>
        <w:jc w:val="left"/>
        <w:rPr>
          <w:rFonts w:ascii="Times New Roman" w:hAnsi="Times New Roman"/>
          <w:sz w:val="20"/>
        </w:rPr>
      </w:pPr>
      <w:r>
        <w:rPr>
          <w:rFonts w:ascii="Times New Roman" w:hAnsi="Times New Roman"/>
          <w:sz w:val="20"/>
        </w:rPr>
        <w:t xml:space="preserve">Neither the Company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(b) to register the transfer of or exchange Securities of any Series selected, called or being called for redemption as a whole or the portion being redeemed of any such Securities selected, called or being called for redemption in part or (c) to register the transfer of or exchange Securities of any Series between a record date and payment date for such Series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2.8. </w:t>
      </w:r>
      <w:r>
        <w:rPr>
          <w:rFonts w:ascii="Times New Roman" w:hAnsi="Times New Roman"/>
          <w:sz w:val="20"/>
          <w:u w:val="single"/>
        </w:rPr>
        <w:t>Mutilated, Destroyed, Lost and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mutilated Security is surrendered to the Trustee, the Company shall execute and the Trustee shall authenticate and deliver in exchange therefor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In case any such mutilated, destroyed, lost or stolen Security has become or is about to become due and payable, the Company in its discretion may, instead of issuing a new Security, pay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provisions of this Section are exclusive and shall preclude (to the extent lawful) all other rights and remedies with respect to the replacement or payment of mutilated, destroyed, lost or stolen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2.9. </w:t>
      </w:r>
      <w:r>
        <w:rPr>
          <w:rFonts w:ascii="Times New Roman" w:hAnsi="Times New Roman"/>
          <w:sz w:val="20"/>
          <w:u w:val="single"/>
        </w:rPr>
        <w:t>Outstanding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a Security is replaced pursuant to Section 2.8, it ceases to be outstanding until the Trustee receives proof satisfactory to it that the replaced Security is held by a bona fide purchaser. </w:t>
      </w:r>
    </w:p>
    <w:p>
      <w:pPr>
        <w:pStyle w:val="TextBody"/>
        <w:bidi w:val="0"/>
        <w:spacing w:before="240" w:after="0"/>
        <w:jc w:val="left"/>
        <w:rPr>
          <w:rFonts w:ascii="Times New Roman" w:hAnsi="Times New Roman"/>
          <w:sz w:val="20"/>
        </w:rPr>
      </w:pPr>
      <w:r>
        <w:rPr>
          <w:rFonts w:ascii="Times New Roman" w:hAnsi="Times New Roman"/>
          <w:sz w:val="20"/>
        </w:rPr>
        <w:t xml:space="preserve">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purchase or otherwise acquire the Securities, whether by open market purchases, negotiated transactions or otherwise. A Security does not cease to be outstanding because the Company or an Affiliate of the Company holds the Security (but see Section 2.10 below).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Treasury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requirements of the Exchange Act and the Trustee) and deliver a certificate of such cancellation to the Company upon written request of the Company. The Company may not issue new Securities to replace Securities that it has paid or delivered to the Trustee for cancellation.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Defaulted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defaults in a payment of interest on a Series of Securities, it shall pay the defaulted interest, plus, to the extent permitted by law, any interest payable on the defaulted interest, to the persons who are Holders of the Series on a subsequent special record date. The Company shall fix the record date and payment date. At least ten days before the special record date, the Company shall send to the Trustee and to each Holder of the Series a notice that states the special record date, the payment date and the amount of interest to be paid. The Company may pay defaulted interest in any other lawful manner.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Global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2.14.1. </w:t>
      </w:r>
      <w:r>
        <w:rPr>
          <w:rFonts w:ascii="Times New Roman" w:hAnsi="Times New Roman"/>
          <w:sz w:val="20"/>
          <w:u w:val="single"/>
        </w:rPr>
        <w:t>Terms of Securities</w:t>
      </w:r>
      <w:r>
        <w:rPr>
          <w:rFonts w:ascii="Times New Roman" w:hAnsi="Times New Roman"/>
          <w:sz w:val="20"/>
        </w:rPr>
        <w:t xml:space="preserve">. A Board Resolution, a supplemental indenture hereto or an Officer’s Certificate shall establish whether the Securities of a Series shall be issued in whole or in part in the form of one or more Global Securities and the Depositary for such Global Security or Securities. </w:t>
      </w:r>
    </w:p>
    <w:p>
      <w:pPr>
        <w:pStyle w:val="TextBody"/>
        <w:bidi w:val="0"/>
        <w:spacing w:before="240" w:after="0"/>
        <w:jc w:val="left"/>
        <w:rPr>
          <w:rFonts w:ascii="Times New Roman" w:hAnsi="Times New Roman"/>
          <w:sz w:val="20"/>
        </w:rPr>
      </w:pPr>
      <w:r>
        <w:rPr>
          <w:rFonts w:ascii="Times New Roman" w:hAnsi="Times New Roman"/>
          <w:sz w:val="20"/>
        </w:rPr>
        <w:t xml:space="preserve">2.14.2. </w:t>
      </w:r>
      <w:r>
        <w:rPr>
          <w:rFonts w:ascii="Times New Roman" w:hAnsi="Times New Roman"/>
          <w:sz w:val="20"/>
          <w:u w:val="single"/>
        </w:rPr>
        <w:t>Transfer and Exchange</w:t>
      </w:r>
      <w:r>
        <w:rPr>
          <w:rFonts w:ascii="Times New Roman" w:hAnsi="Times New Roman"/>
          <w:sz w:val="20"/>
        </w:rPr>
        <w:t xml:space="preserve">.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None of the Trustee or any Agent shall have any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None of the Trustee or any Agent shall have any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any Security or with respect to the delivery to any participant, member, beneficial owner or other Person (other than the Depositary) of any notice (including any notice of optional redemption) or the payment of any amount, under or with respect to such Security. </w:t>
      </w:r>
    </w:p>
    <w:p>
      <w:pPr>
        <w:pStyle w:val="TextBody"/>
        <w:bidi w:val="0"/>
        <w:spacing w:before="240" w:after="0"/>
        <w:jc w:val="left"/>
        <w:rPr>
          <w:rFonts w:ascii="Times New Roman" w:hAnsi="Times New Roman"/>
          <w:sz w:val="20"/>
        </w:rPr>
      </w:pPr>
      <w:r>
        <w:rPr>
          <w:rFonts w:ascii="Times New Roman" w:hAnsi="Times New Roman"/>
          <w:sz w:val="20"/>
        </w:rPr>
        <w:t xml:space="preserve">2.14.3. </w:t>
      </w:r>
      <w:r>
        <w:rPr>
          <w:rFonts w:ascii="Times New Roman" w:hAnsi="Times New Roman"/>
          <w:sz w:val="20"/>
          <w:u w:val="single"/>
        </w:rPr>
        <w:t>Legends</w:t>
      </w:r>
      <w:r>
        <w:rPr>
          <w:rFonts w:ascii="Times New Roman" w:hAnsi="Times New Roman"/>
          <w:sz w:val="20"/>
        </w:rPr>
        <w:t xml:space="preserve">. Any Global Security issued hereunder shall bear a legend in substantially the following form: </w:t>
      </w:r>
    </w:p>
    <w:p>
      <w:pPr>
        <w:pStyle w:val="TextBody"/>
        <w:bidi w:val="0"/>
        <w:spacing w:before="240" w:after="0"/>
        <w:jc w:val="left"/>
        <w:rPr/>
      </w:pPr>
      <w:r>
        <w:rPr/>
        <w:t>“</w:t>
      </w:r>
      <w:r>
        <w:rPr>
          <w:rFonts w:ascii="Times New Roman" w:hAnsi="Times New Roman"/>
          <w:sz w:val="20"/>
        </w:rPr>
        <w:t xml:space="preserve">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 </w:t>
      </w:r>
    </w:p>
    <w:p>
      <w:pPr>
        <w:pStyle w:val="TextBody"/>
        <w:bidi w:val="0"/>
        <w:spacing w:before="240" w:after="0"/>
        <w:jc w:val="left"/>
        <w:rPr>
          <w:rFonts w:ascii="Times New Roman" w:hAnsi="Times New Roman"/>
          <w:sz w:val="20"/>
        </w:rPr>
      </w:pPr>
      <w:r>
        <w:rPr>
          <w:rFonts w:ascii="Times New Roman" w:hAnsi="Times New Roman"/>
          <w:sz w:val="20"/>
        </w:rPr>
        <w:t xml:space="preserve">In addition, so long as the Depository Trust Company (“DTC”) is the Depositary, each Global Security registered in the name of DTC or its nominee shall bear a legend in substantially the following form: </w:t>
      </w:r>
    </w:p>
    <w:p>
      <w:pPr>
        <w:pStyle w:val="TextBody"/>
        <w:bidi w:val="0"/>
        <w:spacing w:before="240" w:after="0"/>
        <w:jc w:val="left"/>
        <w:rPr/>
      </w:pPr>
      <w:r>
        <w:rPr/>
        <w:t>“</w:t>
      </w:r>
      <w:r>
        <w:rPr>
          <w:rFonts w:ascii="Times New Roman" w:hAnsi="Times New Roman"/>
          <w:sz w:val="20"/>
        </w:rPr>
        <w:t xml:space="preserve">UNLESS THIS GLOBAL SECURITY IS PRESENTED BY AN AUTHORIZED REPRESENTATIVE OF THE DEPOSITORY TRUST COMPANY, A NEW YORK CORPORATION (“DTC”), TO THE COMPANY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2.14.4. </w:t>
      </w:r>
      <w:r>
        <w:rPr>
          <w:rFonts w:ascii="Times New Roman" w:hAnsi="Times New Roman"/>
          <w:sz w:val="20"/>
          <w:u w:val="single"/>
        </w:rPr>
        <w:t>Acts of Holders</w:t>
      </w:r>
      <w:r>
        <w:rPr>
          <w:rFonts w:ascii="Times New Roman" w:hAnsi="Times New Roman"/>
          <w:sz w:val="20"/>
        </w:rPr>
        <w:t xml:space="preserve">. The Depositary, as a Holder, may appoint agents and otherwise authorize participants to give or take any request, demand, authorization, direction, notice, consent, waiver or other action which a Holder is entitled to give or take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2.14.5. </w:t>
      </w:r>
      <w:r>
        <w:rPr>
          <w:rFonts w:ascii="Times New Roman" w:hAnsi="Times New Roman"/>
          <w:sz w:val="20"/>
          <w:u w:val="single"/>
        </w:rPr>
        <w:t>Payments</w:t>
      </w:r>
      <w:r>
        <w:rPr>
          <w:rFonts w:ascii="Times New Roman" w:hAnsi="Times New Roman"/>
          <w:sz w:val="20"/>
        </w:rPr>
        <w:t xml:space="preserve">. Notwithstanding the other provisions of this Indenture, unless otherwise specified as contemplated by Section 2.2, payment of the principal of and interest, if any, on any Global Security shall be made to the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2.14.6. </w:t>
      </w:r>
      <w:r>
        <w:rPr>
          <w:rFonts w:ascii="Times New Roman" w:hAnsi="Times New Roman"/>
          <w:sz w:val="20"/>
          <w:u w:val="single"/>
        </w:rPr>
        <w:t>Agent Members</w:t>
      </w:r>
      <w:r>
        <w:rPr>
          <w:rFonts w:ascii="Times New Roman" w:hAnsi="Times New Roman"/>
          <w:sz w:val="20"/>
        </w:rPr>
        <w:t>. The registered Holder of a Security will be treated as the owner of such Security for all purposes and only registered Holders shall have rights under this Indenture and the Securities. Members of, or participants in, the Depositary (“</w:t>
      </w:r>
      <w:r>
        <w:rPr>
          <w:rFonts w:ascii="Times New Roman" w:hAnsi="Times New Roman"/>
          <w:i/>
          <w:sz w:val="20"/>
        </w:rPr>
        <w:t>Agent Members</w:t>
      </w:r>
      <w:r>
        <w:rPr>
          <w:rFonts w:ascii="Times New Roman" w:hAnsi="Times New Roman"/>
          <w:sz w:val="20"/>
        </w:rPr>
        <w:t xml:space="preserve">”) and persons who hold beneficial interests in a Global Security through an Agent Member shall have no rights under this Indenture with respect to any Global Security held on their behalf by the Depositary. The Depositary may be treated by the Company, the Trustee, the Paying Agent, the Registrar and any agent of the foregoing as the absolute owner of the Global Securities for all purposes whatsoever. Notwithstanding the foregoing, nothing herein shall prevent the Company, the Trustee, the Paying Agent, the Registrar or any agent of the foregoing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CUSIP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in issuing the Securities may use “CUSIP” numbers (if then generally in use), and, if so, the Trustee shall use “CUSIP” numbers in notices of redemption as a convenience to Holders; </w:t>
      </w:r>
      <w:r>
        <w:rPr>
          <w:rFonts w:ascii="Times New Roman" w:hAnsi="Times New Roman"/>
          <w:sz w:val="20"/>
          <w:u w:val="single"/>
        </w:rPr>
        <w:t>provided</w:t>
      </w:r>
      <w:r>
        <w:rPr>
          <w:rFonts w:ascii="Times New Roman" w:hAnsi="Times New Roman"/>
          <w:sz w:val="20"/>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Notice to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the Series of Securities to be redeemed. The Company shall give the notice at least 15 days before the redemption date (or such shorter period as may be acceptable to the Trustee).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Selection of Securities to be Redeemed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 Neither the Trustee nor the Paying Agent shall be liable for any selection made by it in accordance with this paragraph (including the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The notice shall identify the Securities of the Series to be redeemed and shall state: </w:t>
      </w:r>
    </w:p>
    <w:p>
      <w:pPr>
        <w:pStyle w:val="TextBody"/>
        <w:bidi w:val="0"/>
        <w:spacing w:before="120" w:after="0"/>
        <w:jc w:val="left"/>
        <w:rPr>
          <w:rFonts w:ascii="Times New Roman" w:hAnsi="Times New Roman"/>
          <w:sz w:val="20"/>
        </w:rPr>
      </w:pPr>
      <w:r>
        <w:rPr>
          <w:rFonts w:ascii="Times New Roman" w:hAnsi="Times New Roman"/>
          <w:sz w:val="20"/>
        </w:rPr>
        <w:t xml:space="preserve">(a)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(b)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(c) the name and address of the Paying Agent; </w:t>
      </w:r>
    </w:p>
    <w:p>
      <w:pPr>
        <w:pStyle w:val="TextBody"/>
        <w:bidi w:val="0"/>
        <w:spacing w:before="240" w:after="0"/>
        <w:jc w:val="left"/>
        <w:rPr>
          <w:rFonts w:ascii="Times New Roman" w:hAnsi="Times New Roman"/>
          <w:sz w:val="20"/>
        </w:rPr>
      </w:pPr>
      <w:r>
        <w:rPr>
          <w:rFonts w:ascii="Times New Roman" w:hAnsi="Times New Roman"/>
          <w:sz w:val="20"/>
        </w:rPr>
        <w:t xml:space="preserve">(d) 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that Securities of the Series called for redemption must be surrendered to the Paying Agent to collect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(f) that interest on Securities of the Series called for redemption ceases to accrue on and after the redemption date unless the Company defaults in the deposit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(g) the “CUSIP” number, if any; and </w:t>
      </w:r>
    </w:p>
    <w:p>
      <w:pPr>
        <w:pStyle w:val="TextBody"/>
        <w:bidi w:val="0"/>
        <w:spacing w:before="240" w:after="0"/>
        <w:jc w:val="left"/>
        <w:rPr>
          <w:rFonts w:ascii="Times New Roman" w:hAnsi="Times New Roman"/>
          <w:sz w:val="20"/>
        </w:rPr>
      </w:pPr>
      <w:r>
        <w:rPr>
          <w:rFonts w:ascii="Times New Roman" w:hAnsi="Times New Roman"/>
          <w:sz w:val="20"/>
        </w:rPr>
        <w:t xml:space="preserve">(h) any other information as may be required by the terms of the particular Series or the Securities of a Series being redeemed. </w:t>
      </w:r>
    </w:p>
    <w:p>
      <w:pPr>
        <w:pStyle w:val="TextBody"/>
        <w:bidi w:val="0"/>
        <w:spacing w:before="240" w:after="0"/>
        <w:jc w:val="left"/>
        <w:rPr>
          <w:rFonts w:ascii="Times New Roman" w:hAnsi="Times New Roman"/>
          <w:sz w:val="20"/>
        </w:rPr>
      </w:pPr>
      <w:r>
        <w:rPr>
          <w:rFonts w:ascii="Times New Roman" w:hAnsi="Times New Roman"/>
          <w:sz w:val="20"/>
        </w:rPr>
        <w:t xml:space="preserve">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 and the form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Effect of 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Deposit of Redemption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or before 11:00 a.m., New York City time, on the redemption date, the Company shall deposit with the Paying Agent money sufficient to pay the redemption price of and accrued interest, if any, on all Securities to be redeemed on that date.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Securities Redeemed in Part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of a Security that is redeemed in part, the Trustee shall authenticate for the Holder a new Security of the same Series and the same maturity equal in principal amount to the unredeemed portion of the Security surrendered.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Payment of Principal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SEC Reports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 </w:t>
      </w:r>
    </w:p>
    <w:p>
      <w:pPr>
        <w:pStyle w:val="TextBody"/>
        <w:bidi w:val="0"/>
        <w:spacing w:before="240" w:after="0"/>
        <w:jc w:val="left"/>
        <w:rPr>
          <w:rFonts w:ascii="Times New Roman" w:hAnsi="Times New Roman"/>
          <w:sz w:val="20"/>
        </w:rPr>
      </w:pPr>
      <w:r>
        <w:rPr>
          <w:rFonts w:ascii="Times New Roman" w:hAnsi="Times New Roman"/>
          <w:sz w:val="20"/>
        </w:rPr>
        <w:t xml:space="preserve">Delivery of reports, information and documents to the Trustee under this Section 4.2 is for informational purposes only and the Trustee’s receipt of the foregoing shall not constitute constructive or actual notice of any information contained therein or determinable from information contained therein, including the Company’s compliance with any of the covenants hereunder (as to which the Trustee is entitled to rely exclusively on Officer’s Certificates).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Compliance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Stay, Extension and Usury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SUCCESSORS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When Company May Merge,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shall not consolidate with or merge with or into, or convey, transfer or lease all or substantially all of its properties and assets to, any person (a “</w:t>
      </w:r>
      <w:r>
        <w:rPr>
          <w:rFonts w:ascii="Times New Roman" w:hAnsi="Times New Roman"/>
          <w:i/>
          <w:sz w:val="20"/>
        </w:rPr>
        <w:t>successor person</w:t>
      </w:r>
      <w:r>
        <w:rPr>
          <w:rFonts w:ascii="Times New Roman" w:hAnsi="Times New Roman"/>
          <w:sz w:val="20"/>
        </w:rPr>
        <w:t xml:space="preserve">”) unless: </w:t>
      </w:r>
    </w:p>
    <w:p>
      <w:pPr>
        <w:pStyle w:val="TextBody"/>
        <w:bidi w:val="0"/>
        <w:spacing w:before="120" w:after="0"/>
        <w:jc w:val="left"/>
        <w:rPr>
          <w:rFonts w:ascii="Times New Roman" w:hAnsi="Times New Roman"/>
          <w:sz w:val="20"/>
        </w:rPr>
      </w:pPr>
      <w:r>
        <w:rPr>
          <w:rFonts w:ascii="Times New Roman" w:hAnsi="Times New Roman"/>
          <w:sz w:val="20"/>
        </w:rPr>
        <w:t xml:space="preserve">(a) the Company is the surviving entity or the successor person (if other than the Company) is a corporation, partnership, trust or other entity organized and validly existing under the laws of any U.S. domestic jurisdiction and expressly assumes by supplemental indenture the Company’s obligations on the Securities and under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(b) immediately after giving effect to the transaction,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deliver to the Trustee prior to the consummation of the proposed transaction an Officer’s Certificate to the foregoing effect and an Opinion of Counsel stating that the proposed transaction and any supplemental indenture comply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any Subsidiary of the Company may consolidate with, merge into or transfer all or part of its properties to the Company. Neither an Officer’s Certificate nor an Opinion of Counsel shall be required to be delivered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Successor Corporation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predecessor Company in the case of a sale, conveyance or other disposition (other than a lease) shall be released from all obligations and covenants under this Indenture and the Securities.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i/>
          <w:sz w:val="20"/>
        </w:rPr>
        <w:t>Event of Default</w:t>
      </w:r>
      <w:r>
        <w:rPr>
          <w:rFonts w:ascii="Times New Roman" w:hAnsi="Times New Roman"/>
          <w:sz w:val="20"/>
        </w:rPr>
        <w:t xml:space="preserve">,” wherever used herein with respect to Securities of any Series, means any one of the following events, unless in the establishing Board Resolution, supplemental indenture or Officer’s Certificate it is provided that such Series shall not have the benefit of said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(a) 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default in the payment of principal of any Security of that Series at its Maturity; </w:t>
      </w:r>
    </w:p>
    <w:p>
      <w:pPr>
        <w:pStyle w:val="TextBody"/>
        <w:bidi w:val="0"/>
        <w:spacing w:before="240" w:after="0"/>
        <w:jc w:val="left"/>
        <w:rPr>
          <w:rFonts w:ascii="Times New Roman" w:hAnsi="Times New Roman"/>
          <w:sz w:val="20"/>
        </w:rPr>
      </w:pPr>
      <w:r>
        <w:rPr>
          <w:rFonts w:ascii="Times New Roman" w:hAnsi="Times New Roman"/>
          <w:sz w:val="20"/>
        </w:rPr>
        <w:t xml:space="preserve">(c) default in the performance or breach of any covenant or warranty of the Company in this Indenture (other than defaults pursuant to paragraph (a) or (b) above or pursuant to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Company pursuant to or within the meaning of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(i) commences a voluntary case, </w:t>
      </w:r>
    </w:p>
    <w:p>
      <w:pPr>
        <w:pStyle w:val="TextBody"/>
        <w:bidi w:val="0"/>
        <w:spacing w:before="240" w:after="0"/>
        <w:jc w:val="left"/>
        <w:rPr>
          <w:rFonts w:ascii="Times New Roman" w:hAnsi="Times New Roman"/>
          <w:sz w:val="20"/>
        </w:rPr>
      </w:pPr>
      <w:r>
        <w:rPr>
          <w:rFonts w:ascii="Times New Roman" w:hAnsi="Times New Roman"/>
          <w:sz w:val="20"/>
        </w:rPr>
        <w:t xml:space="preserve">(ii) consents to the entry of an order for relief against it in an involuntary case, </w:t>
      </w:r>
    </w:p>
    <w:p>
      <w:pPr>
        <w:pStyle w:val="TextBody"/>
        <w:bidi w:val="0"/>
        <w:spacing w:before="240" w:after="0"/>
        <w:jc w:val="left"/>
        <w:rPr>
          <w:rFonts w:ascii="Times New Roman" w:hAnsi="Times New Roman"/>
          <w:sz w:val="20"/>
        </w:rPr>
      </w:pPr>
      <w:r>
        <w:rPr>
          <w:rFonts w:ascii="Times New Roman" w:hAnsi="Times New Roman"/>
          <w:sz w:val="20"/>
        </w:rPr>
        <w:t xml:space="preserve">(iii) consents to the appointment of a Custodian of it or for all or substantially all of its property, </w:t>
      </w:r>
    </w:p>
    <w:p>
      <w:pPr>
        <w:pStyle w:val="TextBody"/>
        <w:bidi w:val="0"/>
        <w:spacing w:before="240" w:after="0"/>
        <w:jc w:val="left"/>
        <w:rPr>
          <w:rFonts w:ascii="Times New Roman" w:hAnsi="Times New Roman"/>
          <w:sz w:val="20"/>
        </w:rPr>
      </w:pPr>
      <w:r>
        <w:rPr>
          <w:rFonts w:ascii="Times New Roman" w:hAnsi="Times New Roman"/>
          <w:sz w:val="20"/>
        </w:rPr>
        <w:t xml:space="preserve">(iv) makes a general assignment for the benefit of its creditors, or </w:t>
      </w:r>
    </w:p>
    <w:p>
      <w:pPr>
        <w:pStyle w:val="TextBody"/>
        <w:bidi w:val="0"/>
        <w:spacing w:before="240" w:after="0"/>
        <w:jc w:val="left"/>
        <w:rPr>
          <w:rFonts w:ascii="Times New Roman" w:hAnsi="Times New Roman"/>
          <w:sz w:val="20"/>
        </w:rPr>
      </w:pPr>
      <w:r>
        <w:rPr>
          <w:rFonts w:ascii="Times New Roman" w:hAnsi="Times New Roman"/>
          <w:sz w:val="20"/>
        </w:rPr>
        <w:t xml:space="preserve">(v) generally is unable to pay its debts as the same become due; </w:t>
      </w:r>
    </w:p>
    <w:p>
      <w:pPr>
        <w:pStyle w:val="TextBody"/>
        <w:bidi w:val="0"/>
        <w:spacing w:before="240" w:after="0"/>
        <w:jc w:val="left"/>
        <w:rPr>
          <w:rFonts w:ascii="Times New Roman" w:hAnsi="Times New Roman"/>
          <w:sz w:val="20"/>
        </w:rPr>
      </w:pPr>
      <w:r>
        <w:rPr>
          <w:rFonts w:ascii="Times New Roman" w:hAnsi="Times New Roman"/>
          <w:sz w:val="20"/>
        </w:rPr>
        <w:t xml:space="preserve">(e) a court of competent jurisdiction enters an order or decree under any Bankruptcy Law that: </w:t>
      </w:r>
    </w:p>
    <w:p>
      <w:pPr>
        <w:pStyle w:val="TextBody"/>
        <w:bidi w:val="0"/>
        <w:spacing w:before="240" w:after="0"/>
        <w:jc w:val="left"/>
        <w:rPr>
          <w:rFonts w:ascii="Times New Roman" w:hAnsi="Times New Roman"/>
          <w:sz w:val="20"/>
        </w:rPr>
      </w:pPr>
      <w:r>
        <w:rPr>
          <w:rFonts w:ascii="Times New Roman" w:hAnsi="Times New Roman"/>
          <w:sz w:val="20"/>
        </w:rPr>
        <w:t xml:space="preserve">(i) is for relief against the Company in an involuntary case, </w:t>
      </w:r>
    </w:p>
    <w:p>
      <w:pPr>
        <w:pStyle w:val="TextBody"/>
        <w:bidi w:val="0"/>
        <w:spacing w:before="240" w:after="0"/>
        <w:jc w:val="left"/>
        <w:rPr>
          <w:rFonts w:ascii="Times New Roman" w:hAnsi="Times New Roman"/>
          <w:sz w:val="20"/>
        </w:rPr>
      </w:pPr>
      <w:r>
        <w:rPr>
          <w:rFonts w:ascii="Times New Roman" w:hAnsi="Times New Roman"/>
          <w:sz w:val="20"/>
        </w:rPr>
        <w:t xml:space="preserve">(ii) appoints a Custodian of the Company or for all or substantially all of its property, or </w:t>
      </w:r>
    </w:p>
    <w:p>
      <w:pPr>
        <w:pStyle w:val="TextBody"/>
        <w:bidi w:val="0"/>
        <w:spacing w:before="240" w:after="0"/>
        <w:jc w:val="left"/>
        <w:rPr>
          <w:rFonts w:ascii="Times New Roman" w:hAnsi="Times New Roman"/>
          <w:sz w:val="20"/>
        </w:rPr>
      </w:pPr>
      <w:r>
        <w:rPr>
          <w:rFonts w:ascii="Times New Roman" w:hAnsi="Times New Roman"/>
          <w:sz w:val="20"/>
        </w:rPr>
        <w:t xml:space="preserve">(iii) orders the liquidation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and the order or decree remains unstayed and in effect for 60 days; or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(f) any other Event of Default provided with respect to Securities of that Series, which is specified in a Board Resolution, a supplemental indenture hereto or an Officer’s Certificate, in accordance with Section 2.2.18.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i/>
          <w:sz w:val="20"/>
        </w:rPr>
        <w:t>Bankruptcy Law</w:t>
      </w:r>
      <w:r>
        <w:rPr>
          <w:rFonts w:ascii="Times New Roman" w:hAnsi="Times New Roman"/>
          <w:sz w:val="20"/>
        </w:rPr>
        <w:t>” means title 11, U.S. Code or any similar Federal or State law for the relief of debtors. The term “</w:t>
      </w:r>
      <w:r>
        <w:rPr>
          <w:rFonts w:ascii="Times New Roman" w:hAnsi="Times New Roman"/>
          <w:i/>
          <w:sz w:val="20"/>
        </w:rPr>
        <w:t>Custodian</w:t>
      </w:r>
      <w:r>
        <w:rPr>
          <w:rFonts w:ascii="Times New Roman" w:hAnsi="Times New Roman"/>
          <w:sz w:val="20"/>
        </w:rPr>
        <w:t xml:space="preserve">” means any receiver, trustee, assignee, liquidator or similar official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Acceleration of Maturity; Rescission and Annulment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hAnsi="Times New Roman"/>
          <w:i/>
          <w:sz w:val="20"/>
        </w:rPr>
        <w:t>ipso facto</w:t>
      </w:r>
      <w:r>
        <w:rPr>
          <w:rFonts w:ascii="Times New Roman" w:hAnsi="Times New Roman"/>
          <w:sz w:val="20"/>
        </w:rPr>
        <w:t xml:space="preserve"> become and be immediately due and payable without any declaration or other act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shall affect any subsequent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Collection of Indebtedness and Suits for Enforcement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that if: </w:t>
      </w:r>
    </w:p>
    <w:p>
      <w:pPr>
        <w:pStyle w:val="TextBody"/>
        <w:bidi w:val="0"/>
        <w:spacing w:before="120" w:after="0"/>
        <w:jc w:val="left"/>
        <w:rPr>
          <w:rFonts w:ascii="Times New Roman" w:hAnsi="Times New Roman"/>
          <w:sz w:val="20"/>
        </w:rPr>
      </w:pPr>
      <w:r>
        <w:rPr>
          <w:rFonts w:ascii="Times New Roman" w:hAnsi="Times New Roman"/>
          <w:sz w:val="20"/>
        </w:rPr>
        <w:t xml:space="preserve">(a) default is made in the payment of any interest on any Security when such interest becomes due and payable and such default continues for a period of 30 days,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(b) default is made in the payment of principal of any Security at the Maturity thereof, or </w:t>
      </w:r>
    </w:p>
    <w:p>
      <w:pPr>
        <w:pStyle w:val="TextBody"/>
        <w:bidi w:val="0"/>
        <w:spacing w:before="240" w:after="0"/>
        <w:jc w:val="left"/>
        <w:rPr>
          <w:rFonts w:ascii="Times New Roman" w:hAnsi="Times New Roman"/>
          <w:sz w:val="20"/>
        </w:rPr>
      </w:pPr>
      <w:r>
        <w:rPr>
          <w:rFonts w:ascii="Times New Roman" w:hAnsi="Times New Roman"/>
          <w:sz w:val="20"/>
        </w:rPr>
        <w:t xml:space="preserve">(c) default is made in the deposit of any sinking fund payment, if any, when and as due by the terms of a Security, </w:t>
      </w:r>
    </w:p>
    <w:p>
      <w:pPr>
        <w:pStyle w:val="TextBody"/>
        <w:bidi w:val="0"/>
        <w:spacing w:before="240" w:after="0"/>
        <w:jc w:val="left"/>
        <w:rPr>
          <w:rFonts w:ascii="Times New Roman" w:hAnsi="Times New Roman"/>
          <w:sz w:val="20"/>
        </w:rPr>
      </w:pPr>
      <w:r>
        <w:rPr>
          <w:rFonts w:ascii="Times New Roman" w:hAnsi="Times New Roman"/>
          <w:i/>
          <w:sz w:val="20"/>
        </w:rPr>
        <w:t>then,</w:t>
      </w:r>
      <w:r>
        <w:rPr>
          <w:rFonts w:ascii="Times New Roman" w:hAnsi="Times New Roman"/>
          <w:sz w:val="20"/>
        </w:rPr>
        <w:t xml:space="preserve">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any Securities of any Series occurs and is continuing, the Trustee, subject to Article VII hereof,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Trustee May File Proofs of Claim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 </w:t>
      </w:r>
    </w:p>
    <w:p>
      <w:pPr>
        <w:pStyle w:val="TextBody"/>
        <w:bidi w:val="0"/>
        <w:spacing w:before="240" w:after="0"/>
        <w:jc w:val="left"/>
        <w:rPr>
          <w:rFonts w:ascii="Times New Roman" w:hAnsi="Times New Roman"/>
          <w:sz w:val="20"/>
        </w:rPr>
      </w:pPr>
      <w:r>
        <w:rPr>
          <w:rFonts w:ascii="Times New Roman" w:hAnsi="Times New Roman"/>
          <w:sz w:val="20"/>
        </w:rPr>
        <w:t xml:space="preserve">(a) 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(b) to collect and receive any moneys or other property payable or deliverable on any such claims and to distribute the same, </w:t>
      </w:r>
    </w:p>
    <w:p>
      <w:pPr>
        <w:pStyle w:val="TextBody"/>
        <w:bidi w:val="0"/>
        <w:spacing w:before="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Trustee May Enforce Claims Without Possession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Application of Money Collected.</w:t>
      </w:r>
    </w:p>
    <w:p>
      <w:pPr>
        <w:pStyle w:val="TextBody"/>
        <w:bidi w:val="0"/>
        <w:spacing w:before="240" w:after="0"/>
        <w:jc w:val="left"/>
        <w:rPr>
          <w:rFonts w:ascii="Times New Roman" w:hAnsi="Times New Roman"/>
          <w:sz w:val="20"/>
        </w:rPr>
      </w:pPr>
      <w:r>
        <w:rPr>
          <w:rFonts w:ascii="Times New Roman" w:hAnsi="Times New Roman"/>
          <w:sz w:val="20"/>
        </w:rPr>
        <w:t xml:space="preserve">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 </w:t>
      </w:r>
    </w:p>
    <w:p>
      <w:pPr>
        <w:pStyle w:val="TextBody"/>
        <w:bidi w:val="0"/>
        <w:spacing w:before="240" w:after="0"/>
        <w:jc w:val="left"/>
        <w:rPr>
          <w:rFonts w:ascii="Times New Roman" w:hAnsi="Times New Roman"/>
          <w:sz w:val="20"/>
        </w:rPr>
      </w:pPr>
      <w:r>
        <w:rPr>
          <w:rFonts w:ascii="Times New Roman" w:hAnsi="Times New Roman"/>
          <w:sz w:val="20"/>
        </w:rPr>
        <w:t xml:space="preserve">First: To the payment of all amounts due the Trustee under Section 7.7; and </w:t>
      </w:r>
    </w:p>
    <w:p>
      <w:pPr>
        <w:pStyle w:val="TextBody"/>
        <w:bidi w:val="0"/>
        <w:spacing w:before="240" w:after="0"/>
        <w:jc w:val="left"/>
        <w:rPr>
          <w:rFonts w:ascii="Times New Roman" w:hAnsi="Times New Roman"/>
          <w:sz w:val="20"/>
        </w:rPr>
      </w:pPr>
      <w:r>
        <w:rPr>
          <w:rFonts w:ascii="Times New Roman" w:hAnsi="Times New Roman"/>
          <w:sz w:val="20"/>
        </w:rPr>
        <w:t xml:space="preserve">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to institute any proceeding, judicial or otherwise, with respect to this Indenture, or for the appointment of a receiver or trustee, or for any other remedy hereunder, unless </w:t>
      </w:r>
    </w:p>
    <w:p>
      <w:pPr>
        <w:pStyle w:val="TextBody"/>
        <w:bidi w:val="0"/>
        <w:spacing w:before="240" w:after="0"/>
        <w:jc w:val="left"/>
        <w:rPr>
          <w:rFonts w:ascii="Times New Roman" w:hAnsi="Times New Roman"/>
          <w:sz w:val="20"/>
        </w:rPr>
      </w:pPr>
      <w:r>
        <w:rPr>
          <w:rFonts w:ascii="Times New Roman" w:hAnsi="Times New Roman"/>
          <w:sz w:val="20"/>
        </w:rPr>
        <w:t xml:space="preserve">(a) such Holder has previously given written notice to the Trustee of a continuing Event of Default with respect to the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Holders of not less than 25% in principal amount of the outstanding Securities of that Series shall have made written request to the Trustee to institute proceedings in respect of such Event of Default in its own name as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(c) such Holder or Holders have offered to the Trustee indemnity or security satisfactory to the Trustee against the costs, expenses and liabilities which might be incurred by the Trustee in compliance with such request; </w:t>
      </w:r>
    </w:p>
    <w:p>
      <w:pPr>
        <w:pStyle w:val="TextBody"/>
        <w:bidi w:val="0"/>
        <w:spacing w:before="240" w:after="0"/>
        <w:jc w:val="left"/>
        <w:rPr>
          <w:rFonts w:ascii="Times New Roman" w:hAnsi="Times New Roman"/>
          <w:sz w:val="20"/>
        </w:rPr>
      </w:pPr>
      <w:r>
        <w:rPr>
          <w:rFonts w:ascii="Times New Roman" w:hAnsi="Times New Roman"/>
          <w:sz w:val="20"/>
        </w:rPr>
        <w:t xml:space="preserve">(d) the Trustee for 60 days after its receipt of such notice, request and offer of indemnity has failed to institute any such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(e) no direction inconsistent with such written request has been given to the Trustee during such 60-day period by the Holders of a majority in principal amount of the outstanding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Unconditional Right of Holders to Receive Principal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Restoration of Rights and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Rights and Remedies Cumulative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Delay or Omission Not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Control by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 </w:t>
      </w:r>
    </w:p>
    <w:p>
      <w:pPr>
        <w:pStyle w:val="TextBody"/>
        <w:bidi w:val="0"/>
        <w:spacing w:before="240" w:after="0"/>
        <w:jc w:val="left"/>
        <w:rPr>
          <w:rFonts w:ascii="Times New Roman" w:hAnsi="Times New Roman"/>
          <w:sz w:val="20"/>
        </w:rPr>
      </w:pPr>
      <w:r>
        <w:rPr>
          <w:rFonts w:ascii="Times New Roman" w:hAnsi="Times New Roman"/>
          <w:sz w:val="20"/>
        </w:rPr>
        <w:t xml:space="preserve">(a) such direction shall not be in conflict with any rule of law or with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may take any other action deemed proper by the Trustee which is not inconsistent with such direction,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 </w:t>
      </w:r>
    </w:p>
    <w:p>
      <w:pPr>
        <w:pStyle w:val="TextBody"/>
        <w:bidi w:val="0"/>
        <w:spacing w:before="240" w:after="0"/>
        <w:jc w:val="left"/>
        <w:rPr>
          <w:rFonts w:ascii="Times New Roman" w:hAnsi="Times New Roman"/>
          <w:sz w:val="20"/>
        </w:rPr>
      </w:pPr>
      <w:r>
        <w:rPr>
          <w:rFonts w:ascii="Times New Roman" w:hAnsi="Times New Roman"/>
          <w:sz w:val="20"/>
        </w:rPr>
        <w:t xml:space="preserve">(d) prior to taking any action as directed under this Section 6.12, the Trustee shall be entitled to indemnity satisfactory to it against the costs, expenses and liabilities which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Section 6.13. </w:t>
      </w:r>
      <w:r>
        <w:rPr>
          <w:rFonts w:ascii="Times New Roman" w:hAnsi="Times New Roman"/>
          <w:sz w:val="20"/>
          <w:u w:val="single"/>
        </w:rPr>
        <w:t>Waiver of Past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Section 6.14. </w:t>
      </w:r>
      <w:r>
        <w:rPr>
          <w:rFonts w:ascii="Times New Roman" w:hAnsi="Times New Roman"/>
          <w:sz w:val="20"/>
          <w:u w:val="single"/>
        </w:rPr>
        <w:t>Undertaking for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0" w:after="0"/>
        <w:jc w:val="center"/>
        <w:rPr>
          <w:rFonts w:ascii="Times New Roman" w:hAnsi="Times New Roman"/>
          <w:sz w:val="20"/>
        </w:rPr>
      </w:pPr>
      <w:r>
        <w:rPr>
          <w:rFonts w:ascii="Times New Roman" w:hAnsi="Times New Roman"/>
          <w:sz w:val="20"/>
        </w:rPr>
        <w:t xml:space="preserve">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Duties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(b) Except during the continuance of an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(i) The Trustee need perform only those duties that are specifically set forth in this Indenture and no others, and no implied covenants or obligations will be read into this Indenture against the Trustee. </w:t>
      </w:r>
    </w:p>
    <w:p>
      <w:pPr>
        <w:pStyle w:val="TextBody"/>
        <w:bidi w:val="0"/>
        <w:spacing w:before="240" w:after="0"/>
        <w:jc w:val="left"/>
        <w:rPr>
          <w:rFonts w:ascii="Times New Roman" w:hAnsi="Times New Roman"/>
          <w:sz w:val="20"/>
        </w:rPr>
      </w:pPr>
      <w:r>
        <w:rPr>
          <w:rFonts w:ascii="Times New Roman" w:hAnsi="Times New Roman"/>
          <w:sz w:val="20"/>
        </w:rPr>
        <w:t xml:space="preserve">(ii)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hAnsi="Times New Roman"/>
          <w:sz w:val="20"/>
          <w:u w:val="single"/>
        </w:rPr>
        <w:t>however</w:t>
      </w:r>
      <w:r>
        <w:rPr>
          <w:rFonts w:ascii="Times New Roman" w:hAnsi="Times New Roman"/>
          <w:sz w:val="20"/>
        </w:rPr>
        <w:t xml:space="preserve">,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not be relieved from liability for its own negligent action, its own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(i) This paragraph does not limit the effect of paragraph (b) of this 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not be liable for any error of judgment made in good faith by a Responsible Officer, unless it is proved that the Trustee was negligent in ascertaining the pertinent facts. </w:t>
      </w:r>
    </w:p>
    <w:p>
      <w:pPr>
        <w:pStyle w:val="TextBody"/>
        <w:bidi w:val="0"/>
        <w:spacing w:before="240" w:after="0"/>
        <w:jc w:val="left"/>
        <w:rPr>
          <w:rFonts w:ascii="Times New Roman" w:hAnsi="Times New Roman"/>
          <w:sz w:val="20"/>
        </w:rPr>
      </w:pPr>
      <w:r>
        <w:rPr>
          <w:rFonts w:ascii="Times New Roman" w:hAnsi="Times New Roman"/>
          <w:sz w:val="20"/>
        </w:rPr>
        <w:t xml:space="preserve">(iii)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 </w:t>
      </w:r>
    </w:p>
    <w:p>
      <w:pPr>
        <w:pStyle w:val="TextBody"/>
        <w:bidi w:val="0"/>
        <w:spacing w:before="240" w:after="0"/>
        <w:jc w:val="left"/>
        <w:rPr>
          <w:rFonts w:ascii="Times New Roman" w:hAnsi="Times New Roman"/>
          <w:sz w:val="20"/>
        </w:rPr>
      </w:pPr>
      <w:r>
        <w:rPr>
          <w:rFonts w:ascii="Times New Roman" w:hAnsi="Times New Roman"/>
          <w:sz w:val="20"/>
        </w:rPr>
        <w:t xml:space="preserve">(d) Every provision of this Indenture that in any way relates to the Trustee is subject to paragraph (a), (b) and (c)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(e) The Trustee may refuse to perform any duty or exercise any right or power unless it receives indemnity satisfactory to it against the costs, expenses and liabilities which might be incurred by it in performing such duty or exercising such right or power. </w:t>
      </w:r>
    </w:p>
    <w:p>
      <w:pPr>
        <w:pStyle w:val="TextBody"/>
        <w:bidi w:val="0"/>
        <w:spacing w:before="240" w:after="0"/>
        <w:jc w:val="left"/>
        <w:rPr>
          <w:rFonts w:ascii="Times New Roman" w:hAnsi="Times New Roman"/>
          <w:sz w:val="20"/>
        </w:rPr>
      </w:pPr>
      <w:r>
        <w:rPr>
          <w:rFonts w:ascii="Times New Roman" w:hAnsi="Times New Roman"/>
          <w:sz w:val="20"/>
        </w:rPr>
        <w:t xml:space="preserve">(f) The Trustee shall not be liable for interest on any money received by it except as the Trustee may agree in writing with the Company. Money held in trust by the Trustee need not be segregated from other funds except to the extent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(g) 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 </w:t>
      </w:r>
    </w:p>
    <w:p>
      <w:pPr>
        <w:pStyle w:val="TextBody"/>
        <w:bidi w:val="0"/>
        <w:spacing w:before="240" w:after="0"/>
        <w:jc w:val="left"/>
        <w:rPr>
          <w:rFonts w:ascii="Times New Roman" w:hAnsi="Times New Roman"/>
          <w:sz w:val="20"/>
        </w:rPr>
      </w:pPr>
      <w:r>
        <w:rPr>
          <w:rFonts w:ascii="Times New Roman" w:hAnsi="Times New Roman"/>
          <w:sz w:val="20"/>
        </w:rPr>
        <w:t xml:space="preserve">(h) The Paying Agent, the Notice Agent, the Registrar, any authenticating agent and the Trustee when acting in any other capacity hereunder shall be entitled to the protections and immunities as are set forth in this Article VII. </w:t>
      </w:r>
    </w:p>
    <w:p>
      <w:pPr>
        <w:pStyle w:val="TextBody"/>
        <w:bidi w:val="0"/>
        <w:spacing w:before="240" w:after="0"/>
        <w:jc w:val="left"/>
        <w:rPr>
          <w:rFonts w:ascii="Times New Roman" w:hAnsi="Times New Roman"/>
          <w:sz w:val="20"/>
        </w:rPr>
      </w:pPr>
      <w:r>
        <w:rPr>
          <w:rFonts w:ascii="Times New Roman" w:hAnsi="Times New Roman"/>
          <w:sz w:val="20"/>
        </w:rPr>
        <w:t xml:space="preserve">(i) The rights, privileges, protections, immunities and benefits given to the Trustee, including its right to be indemnified, are extended to, and will be enforceable by, the Trustee in each of its capacities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 </w:t>
      </w:r>
    </w:p>
    <w:p>
      <w:pPr>
        <w:pStyle w:val="TextBody"/>
        <w:bidi w:val="0"/>
        <w:spacing w:before="240" w:after="0"/>
        <w:jc w:val="left"/>
        <w:rPr>
          <w:rFonts w:ascii="Times New Roman" w:hAnsi="Times New Roman"/>
          <w:sz w:val="20"/>
        </w:rPr>
      </w:pPr>
      <w:r>
        <w:rPr>
          <w:rFonts w:ascii="Times New Roman" w:hAnsi="Times New Roman"/>
          <w:sz w:val="20"/>
        </w:rPr>
        <w:t xml:space="preserve">(b) Before the Trustee acts or refrains from acting, it may require an Officer’s Certificate or an Opinion of Counsel or both. The Trustee shall not be liable for any action it takes or omits to take in good faith in reliance on such Officer’s Certificate or Opinion of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(c) The Trustee may act through agents and shall not be responsible for the misconduct or negligence of any agent appointed with due care. No Depositary shall be deemed an agent of the Trustee, and the Trustee shall not be responsible for any act or omission by any Depositary. </w:t>
      </w:r>
    </w:p>
    <w:p>
      <w:pPr>
        <w:pStyle w:val="TextBody"/>
        <w:bidi w:val="0"/>
        <w:spacing w:before="240" w:after="0"/>
        <w:jc w:val="left"/>
        <w:rPr>
          <w:rFonts w:ascii="Times New Roman" w:hAnsi="Times New Roman"/>
          <w:sz w:val="20"/>
        </w:rPr>
      </w:pPr>
      <w:r>
        <w:rPr>
          <w:rFonts w:ascii="Times New Roman" w:hAnsi="Times New Roman"/>
          <w:sz w:val="20"/>
        </w:rPr>
        <w:t xml:space="preserve">(d) The Trustee shall not be liable for any action it takes or omits to take in good faith which it believes to be authorized or within its rights or powers. </w:t>
      </w:r>
    </w:p>
    <w:p>
      <w:pPr>
        <w:pStyle w:val="TextBody"/>
        <w:bidi w:val="0"/>
        <w:spacing w:before="240" w:after="0"/>
        <w:jc w:val="left"/>
        <w:rPr>
          <w:rFonts w:ascii="Times New Roman" w:hAnsi="Times New Roman"/>
          <w:sz w:val="20"/>
        </w:rPr>
      </w:pPr>
      <w:r>
        <w:rPr>
          <w:rFonts w:ascii="Times New Roman" w:hAnsi="Times New Roman"/>
          <w:sz w:val="20"/>
        </w:rPr>
        <w:t xml:space="preserve">(e) The Trustee may consult with counsel and the advice of such counsel or any Opinion of Counsel shall be full and complete authorization and protection in respect of any action taken, suffered or omitted by it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(f) 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 </w:t>
      </w:r>
    </w:p>
    <w:p>
      <w:pPr>
        <w:pStyle w:val="TextBody"/>
        <w:bidi w:val="0"/>
        <w:spacing w:before="240" w:after="0"/>
        <w:jc w:val="left"/>
        <w:rPr>
          <w:rFonts w:ascii="Times New Roman" w:hAnsi="Times New Roman"/>
          <w:sz w:val="20"/>
        </w:rPr>
      </w:pPr>
      <w:r>
        <w:rPr>
          <w:rFonts w:ascii="Times New Roman" w:hAnsi="Times New Roman"/>
          <w:sz w:val="20"/>
        </w:rPr>
        <w:t xml:space="preserve">(g)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w:t>
      </w:r>
    </w:p>
    <w:p>
      <w:pPr>
        <w:pStyle w:val="TextBody"/>
        <w:bidi w:val="0"/>
        <w:spacing w:before="240" w:after="0"/>
        <w:jc w:val="left"/>
        <w:rPr>
          <w:rFonts w:ascii="Times New Roman" w:hAnsi="Times New Roman"/>
          <w:sz w:val="20"/>
        </w:rPr>
      </w:pPr>
      <w:r>
        <w:rPr>
          <w:rFonts w:ascii="Times New Roman" w:hAnsi="Times New Roman"/>
          <w:sz w:val="20"/>
        </w:rPr>
        <w:t xml:space="preserve">(h) The Trustee shall not be deemed to have notice of any Default or Event of Default unless a Responsible Officer of the Trustee has actual knowledge thereof or unless written notice of any event which is in fact such a default is received by a Responsible Officer at the Corporate Trust Office of the Trustee, and such notice references the Securities generally or the Securities of a particular Series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 In no event shall the Trustee be liable to any person for special, punitive, indirect, consequential or incidental loss or damage of any kind whatsoever (including but not limited to lost profits), even if the Trustee has been advised of the likelihood of such loss or damage. </w:t>
      </w:r>
    </w:p>
    <w:p>
      <w:pPr>
        <w:pStyle w:val="TextBody"/>
        <w:bidi w:val="0"/>
        <w:spacing w:before="240" w:after="0"/>
        <w:jc w:val="left"/>
        <w:rPr>
          <w:rFonts w:ascii="Times New Roman" w:hAnsi="Times New Roman"/>
          <w:sz w:val="20"/>
        </w:rPr>
      </w:pPr>
      <w:r>
        <w:rPr>
          <w:rFonts w:ascii="Times New Roman" w:hAnsi="Times New Roman"/>
          <w:sz w:val="20"/>
        </w:rPr>
        <w:t xml:space="preserve">(j) The permissive right of the Trustee to take the actions permitted by this Indenture shall not be construed as an obligation or duty to do so. </w:t>
      </w:r>
    </w:p>
    <w:p>
      <w:pPr>
        <w:pStyle w:val="TextBody"/>
        <w:bidi w:val="0"/>
        <w:spacing w:before="240" w:after="0"/>
        <w:jc w:val="left"/>
        <w:rPr>
          <w:rFonts w:ascii="Times New Roman" w:hAnsi="Times New Roman"/>
          <w:sz w:val="20"/>
        </w:rPr>
      </w:pPr>
      <w:r>
        <w:rPr>
          <w:rFonts w:ascii="Times New Roman" w:hAnsi="Times New Roman"/>
          <w:sz w:val="20"/>
        </w:rPr>
        <w:t xml:space="preserve">(k) The Trustee will not be required to give any bond or surety in respect of the execution of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Individual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Trustee’s Disclaimer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makes no representation as to the validity or adequacy of this Indenture or the Securities. The Trustee shall not be accountable for the Company’s use of the proceeds from the Securities and shall not be responsible for any statement in the Securities other than its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Notice of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 Default or Event of Default occurs and is continuing with respect to the Securities of any Series and if it is known to a Responsible Officer of the Trustee, the Trustee shall send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Holders of that Series. The Trustee will not be deemed to have notice or be charged with knowledge of any Default or Event of Default unless written notice thereof has been received by a Responsible Officer, and such notice references the applicable Series of Securities and this Indenture and states on its face that a Default or Event of Default has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Reports by Trustee to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Within 60 days after each [[ ] commencing [ ], [ ]], the Trustee shall transmit by mail to all Holders, as their names and addresses appear on the register kept by the Registrar, a brief report dated as of such date, in accordance with, and to the extent required under, TIA § 313. </w:t>
      </w:r>
    </w:p>
    <w:p>
      <w:pPr>
        <w:pStyle w:val="TextBody"/>
        <w:bidi w:val="0"/>
        <w:spacing w:before="240" w:after="0"/>
        <w:jc w:val="left"/>
        <w:rPr>
          <w:rFonts w:ascii="Times New Roman" w:hAnsi="Times New Roman"/>
          <w:sz w:val="20"/>
        </w:rPr>
      </w:pPr>
      <w:r>
        <w:rPr>
          <w:rFonts w:ascii="Times New Roman" w:hAnsi="Times New Roman"/>
          <w:sz w:val="20"/>
        </w:rPr>
        <w:t xml:space="preserve">A copy of each report at the time of its mailing to Holders of any Series shall be filed with the SEC and each national securities exchange on which the Securities of that Series are listed. The Company shall promptly notify the Trustee in writing when Securities of any Series are listed on any national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Compensation and Indemnity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Company need not reimburse any expense or indemnify against any loss or liability incurred by the Trustee or by any officer, director, employee, shareholder or agent of the Trustee through willful misconduct or negligence, as determined by a final decision of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When the Trustee incurs expenses or renders services after an Event of Default specified in Section 6.1(d) or (e) occurs, the expenses and the compensation for the services are intended to constitute expenses of administration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shall survive the termination of this Indenture and the resignation or removal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Replacement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resignation or removal of the Trustee and appointment of a successor Trustee shall become effective only upon the successor Trustee’s acceptance of appointment as provided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 </w:t>
      </w:r>
    </w:p>
    <w:p>
      <w:pPr>
        <w:pStyle w:val="TextBody"/>
        <w:bidi w:val="0"/>
        <w:spacing w:before="120" w:after="0"/>
        <w:jc w:val="left"/>
        <w:rPr>
          <w:rFonts w:ascii="Times New Roman" w:hAnsi="Times New Roman"/>
          <w:sz w:val="20"/>
        </w:rPr>
      </w:pPr>
      <w:r>
        <w:rPr>
          <w:rFonts w:ascii="Times New Roman" w:hAnsi="Times New Roman"/>
          <w:sz w:val="20"/>
        </w:rPr>
        <w:t xml:space="preserve">(a) the Trustee fails to comply with Section 7.10; </w:t>
      </w:r>
    </w:p>
    <w:p>
      <w:pPr>
        <w:pStyle w:val="TextBody"/>
        <w:bidi w:val="0"/>
        <w:spacing w:before="240" w:after="0"/>
        <w:jc w:val="left"/>
        <w:rPr>
          <w:rFonts w:ascii="Times New Roman" w:hAnsi="Times New Roman"/>
          <w:sz w:val="20"/>
        </w:rPr>
      </w:pPr>
      <w:r>
        <w:rPr>
          <w:rFonts w:ascii="Times New Roman" w:hAnsi="Times New Roman"/>
          <w:sz w:val="20"/>
        </w:rPr>
        <w:t xml:space="preserve">(b) the Trustee is adjudged a bankrupt or an insolvent or an order for relief is entered with respect to the Trustee under any Bankruptcy Law; </w:t>
      </w:r>
    </w:p>
    <w:p>
      <w:pPr>
        <w:pStyle w:val="TextBody"/>
        <w:bidi w:val="0"/>
        <w:spacing w:before="240" w:after="0"/>
        <w:jc w:val="left"/>
        <w:rPr>
          <w:rFonts w:ascii="Times New Roman" w:hAnsi="Times New Roman"/>
          <w:sz w:val="20"/>
        </w:rPr>
      </w:pPr>
      <w:r>
        <w:rPr>
          <w:rFonts w:ascii="Times New Roman" w:hAnsi="Times New Roman"/>
          <w:sz w:val="20"/>
        </w:rPr>
        <w:t xml:space="preserve">(c) a Custodian or public officer takes charge of the Trustee or its property; or </w:t>
      </w:r>
    </w:p>
    <w:p>
      <w:pPr>
        <w:pStyle w:val="TextBody"/>
        <w:bidi w:val="0"/>
        <w:spacing w:before="240" w:after="0"/>
        <w:jc w:val="left"/>
        <w:rPr>
          <w:rFonts w:ascii="Times New Roman" w:hAnsi="Times New Roman"/>
          <w:sz w:val="20"/>
        </w:rPr>
      </w:pPr>
      <w:r>
        <w:rPr>
          <w:rFonts w:ascii="Times New Roman" w:hAnsi="Times New Roman"/>
          <w:sz w:val="20"/>
        </w:rPr>
        <w:t xml:space="preserve">(d) the Trustee becomes incapable of acting.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Successor Trustee by Merger,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Section 7.10, without the execution or filing of any paper or any further act on the part of any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Eligibility; Disqualification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Preferential Collection of Claims Against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subject to TIA § 311(a), excluding any creditor relationship listed in TIA § 311(b). A Trustee who has resigned or been removed shall be subject to TIA § 311(a) to the extent indicated.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120" w:after="0"/>
        <w:jc w:val="center"/>
        <w:rPr>
          <w:rFonts w:ascii="Times New Roman" w:hAnsi="Times New Roman"/>
          <w:sz w:val="20"/>
        </w:rPr>
      </w:pPr>
      <w:r>
        <w:rPr>
          <w:rFonts w:ascii="Times New Roman" w:hAnsi="Times New Roman"/>
          <w:sz w:val="20"/>
        </w:rPr>
        <w:t xml:space="preserve">ARTICLE VIII. </w:t>
      </w:r>
    </w:p>
    <w:p>
      <w:pPr>
        <w:pStyle w:val="TextBody"/>
        <w:bidi w:val="0"/>
        <w:spacing w:before="0" w:after="0"/>
        <w:jc w:val="center"/>
        <w:rPr>
          <w:rFonts w:ascii="Times New Roman" w:hAnsi="Times New Roman"/>
          <w:sz w:val="20"/>
        </w:rPr>
      </w:pPr>
      <w:r>
        <w:rPr>
          <w:rFonts w:ascii="Times New Roman" w:hAnsi="Times New Roman"/>
          <w:sz w:val="20"/>
        </w:rPr>
        <w:t xml:space="preserve">SATISFACTION AND DISCHARGE; DEFEASANCE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Satisfaction and 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 </w:t>
      </w:r>
    </w:p>
    <w:p>
      <w:pPr>
        <w:pStyle w:val="TextBody"/>
        <w:bidi w:val="0"/>
        <w:spacing w:before="240" w:after="0"/>
        <w:jc w:val="left"/>
        <w:rPr>
          <w:rFonts w:ascii="Times New Roman" w:hAnsi="Times New Roman"/>
          <w:sz w:val="20"/>
        </w:rPr>
      </w:pPr>
      <w:r>
        <w:rPr>
          <w:rFonts w:ascii="Times New Roman" w:hAnsi="Times New Roman"/>
          <w:sz w:val="20"/>
        </w:rPr>
        <w:t xml:space="preserve">(a) either </w:t>
      </w:r>
    </w:p>
    <w:p>
      <w:pPr>
        <w:pStyle w:val="TextBody"/>
        <w:bidi w:val="0"/>
        <w:spacing w:before="240" w:after="0"/>
        <w:jc w:val="left"/>
        <w:rPr>
          <w:rFonts w:ascii="Times New Roman" w:hAnsi="Times New Roman"/>
          <w:sz w:val="20"/>
        </w:rPr>
      </w:pPr>
      <w:r>
        <w:rPr>
          <w:rFonts w:ascii="Times New Roman" w:hAnsi="Times New Roman"/>
          <w:sz w:val="20"/>
        </w:rPr>
        <w:t xml:space="preserve">(i) all Securities of such Series theretofore authenticated and delivered (other than Securities that have been destroyed, lost or stolen and that have been replaced or paid) have been delivered to the Trustee for cancellation; or </w:t>
      </w:r>
    </w:p>
    <w:p>
      <w:pPr>
        <w:pStyle w:val="TextBody"/>
        <w:bidi w:val="0"/>
        <w:spacing w:before="240" w:after="0"/>
        <w:jc w:val="left"/>
        <w:rPr>
          <w:rFonts w:ascii="Times New Roman" w:hAnsi="Times New Roman"/>
          <w:sz w:val="20"/>
        </w:rPr>
      </w:pPr>
      <w:r>
        <w:rPr>
          <w:rFonts w:ascii="Times New Roman" w:hAnsi="Times New Roman"/>
          <w:sz w:val="20"/>
        </w:rPr>
        <w:t xml:space="preserve">(ii) all such Securities of such Series not theretofore delivered to the Trustee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(1) have become due and payable by reason of sending a notice of redemption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(2) will become due and payable at their Stated Maturity within one year, </w:t>
      </w:r>
    </w:p>
    <w:p>
      <w:pPr>
        <w:pStyle w:val="TextBody"/>
        <w:bidi w:val="0"/>
        <w:spacing w:before="240" w:after="0"/>
        <w:jc w:val="left"/>
        <w:rPr>
          <w:rFonts w:ascii="Times New Roman" w:hAnsi="Times New Roman"/>
          <w:sz w:val="20"/>
        </w:rPr>
      </w:pPr>
      <w:r>
        <w:rPr>
          <w:rFonts w:ascii="Times New Roman" w:hAnsi="Times New Roman"/>
          <w:sz w:val="20"/>
        </w:rPr>
        <w:t xml:space="preserve">(3) have been called for redemption or are to be called for redemption within one year under arrangements satisfactory to the Trustee for the giving of notice of redemption by the Trustee in the name, and at the expense,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(4) are deemed paid and discharged pursuant to Section 8.3, as applicable; </w:t>
      </w:r>
    </w:p>
    <w:p>
      <w:pPr>
        <w:pStyle w:val="TextBody"/>
        <w:bidi w:val="0"/>
        <w:spacing w:before="240" w:after="0"/>
        <w:jc w:val="left"/>
        <w:rPr>
          <w:rFonts w:ascii="Times New Roman" w:hAnsi="Times New Roman"/>
          <w:sz w:val="20"/>
        </w:rPr>
      </w:pPr>
      <w:r>
        <w:rPr>
          <w:rFonts w:ascii="Times New Roman" w:hAnsi="Times New Roman"/>
          <w:sz w:val="20"/>
        </w:rPr>
        <w:t xml:space="preserve">and the Company, in the case of (1), (2) or (3) above, has irrevocably deposited or caused to be deposited with the Trustee as trust funds in trust an amount of money or U.S. Government Obligations, which amount shall be sufficient for the purpose of paying and discharging each installment of principal (including mandatory sinking fund payments or analogous payments) of and interest on all the Securities of such Series on the dates such installments of principal or interest are due;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paid or caused to be paid all other sums payable hereunder by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all conditions precedent provided for relating to the satisfaction and discharge contemplated by this Section have been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satisfaction and discharge of this Indenture, (x) the obligations of the Company to the Trustee under Section 7.7, (y) if money shall have been deposited with the Trustee pursuant to clause (a) of this Section, the provisions of Sections 2.4, 2.7, 2.8, 8.2 and 8.5, and (z) the rights, powers, trusts and immunities of the Trustee hereunder and the Company’s obligations in connection therewith shall survive. </w:t>
      </w:r>
    </w:p>
    <w:p>
      <w:pPr>
        <w:pStyle w:val="TextBody"/>
        <w:bidi w:val="0"/>
        <w:spacing w:before="24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Application of Trust Funds;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pay and shall indemnify the Trustee (which indemnity shall survive termination of this Indenture)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 </w:t>
      </w:r>
    </w:p>
    <w:p>
      <w:pPr>
        <w:pStyle w:val="TextBody"/>
        <w:bidi w:val="0"/>
        <w:spacing w:before="240" w:after="0"/>
        <w:jc w:val="left"/>
        <w:rPr>
          <w:rFonts w:ascii="Times New Roman" w:hAnsi="Times New Roman"/>
          <w:sz w:val="20"/>
        </w:rPr>
      </w:pPr>
      <w:r>
        <w:rPr>
          <w:rFonts w:ascii="Times New Roman" w:hAnsi="Times New Roman"/>
          <w:sz w:val="20"/>
        </w:rPr>
        <w:t xml:space="preserve">(c) 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Legal Defeasance of Securities of any Series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(a) 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Sections 2.4, 2.5, 2.7, 2.8, 7.7, 8.2, 8.3, 8.5 and 8.6; and </w:t>
      </w:r>
    </w:p>
    <w:p>
      <w:pPr>
        <w:pStyle w:val="TextBody"/>
        <w:bidi w:val="0"/>
        <w:spacing w:before="240" w:after="0"/>
        <w:jc w:val="left"/>
        <w:rPr>
          <w:rFonts w:ascii="Times New Roman" w:hAnsi="Times New Roman"/>
          <w:sz w:val="20"/>
        </w:rPr>
      </w:pPr>
      <w:r>
        <w:rPr>
          <w:rFonts w:ascii="Times New Roman" w:hAnsi="Times New Roman"/>
          <w:sz w:val="20"/>
        </w:rPr>
        <w:t xml:space="preserve">(c) the rights, powers, trusts and immunities of the Trustee hereunder and the Company’s obligations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provided that, the following conditions shall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 </w:t>
      </w:r>
    </w:p>
    <w:p>
      <w:pPr>
        <w:pStyle w:val="TextBody"/>
        <w:bidi w:val="0"/>
        <w:spacing w:before="240" w:after="0"/>
        <w:jc w:val="left"/>
        <w:rPr>
          <w:rFonts w:ascii="Times New Roman" w:hAnsi="Times New Roman"/>
          <w:sz w:val="20"/>
        </w:rPr>
      </w:pPr>
      <w:r>
        <w:rPr>
          <w:rFonts w:ascii="Times New Roman" w:hAnsi="Times New Roman"/>
          <w:sz w:val="20"/>
        </w:rPr>
        <w:t xml:space="preserve">(e) such deposit will not result in a breach or violation of, or constitute a default under, this Indenture or any other agreement or instrument to which the Company is a party or by which it is bound; </w:t>
      </w:r>
    </w:p>
    <w:p>
      <w:pPr>
        <w:pStyle w:val="TextBody"/>
        <w:bidi w:val="0"/>
        <w:spacing w:before="240" w:after="0"/>
        <w:jc w:val="left"/>
        <w:rPr>
          <w:rFonts w:ascii="Times New Roman" w:hAnsi="Times New Roman"/>
          <w:sz w:val="20"/>
        </w:rPr>
      </w:pPr>
      <w:r>
        <w:rPr>
          <w:rFonts w:ascii="Times New Roman" w:hAnsi="Times New Roman"/>
          <w:sz w:val="20"/>
        </w:rPr>
        <w:t xml:space="preserve">(f) no Default or Event of Default with respect to the Securities of such Series shall have occurred and be continuing on the date of such deposit or during the period ending on the 91st day after such date; </w:t>
      </w:r>
    </w:p>
    <w:p>
      <w:pPr>
        <w:pStyle w:val="TextBody"/>
        <w:bidi w:val="0"/>
        <w:spacing w:before="240" w:after="0"/>
        <w:jc w:val="left"/>
        <w:rPr>
          <w:rFonts w:ascii="Times New Roman" w:hAnsi="Times New Roman"/>
          <w:sz w:val="20"/>
        </w:rPr>
      </w:pPr>
      <w:r>
        <w:rPr>
          <w:rFonts w:ascii="Times New Roman" w:hAnsi="Times New Roman"/>
          <w:sz w:val="20"/>
        </w:rPr>
        <w:t xml:space="preserve">(g)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(h) the Company shall have delivered to the Trustee an Officer’s Certificate stating that the deposit was not made by the Company with the intent of defeating, hindering, delaying or defrauding any other creditors of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(i) the Company shall have delivered to the Trustee an Officer’s Certificate and an Opinion of Counsel, each stating that all conditions precedent provided for relating to the defeasance contemplated by this Section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(a) 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payments or analogous payments) of and interest on all the Securities of such Series on the dates such installments of principal or interest are due; </w:t>
      </w:r>
    </w:p>
    <w:p>
      <w:pPr>
        <w:pStyle w:val="TextBody"/>
        <w:bidi w:val="0"/>
        <w:spacing w:before="240" w:after="0"/>
        <w:jc w:val="left"/>
        <w:rPr>
          <w:rFonts w:ascii="Times New Roman" w:hAnsi="Times New Roman"/>
          <w:sz w:val="20"/>
        </w:rPr>
      </w:pPr>
      <w:r>
        <w:rPr>
          <w:rFonts w:ascii="Times New Roman" w:hAnsi="Times New Roman"/>
          <w:sz w:val="20"/>
        </w:rPr>
        <w:t xml:space="preserve">(b) such deposit will not result in a breach or violation of, or constitute a default under, this Indenture or any other agreement or instrument to which the Company is a party or by which it is bound;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(c) no Default or Event of Default with respect to the Securities of such Series shall have occurred and be continuing on the date of such deposit;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have delivered to the Trustee an Officer’s Certificate stating the deposit was not made by the Company with the intent of defeating, hindering, delaying or defrauding any other creditors of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(f) The Company shall have delivered to the Trustee an Officer’s Certificate and an Opinion of Counsel, each stating that all conditions precedent herein provided for relating to the covenant defeasance contemplated by this Section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Repayment to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applicable abandoned property law, the Trustee and the Paying Agent shall pay to the Company upon request any money held by them for the payment of principal and interest that remains unclaimed for two years. After that, Holders entitled to the money must look to the Company for payment as general creditors unless an applicable abandoned property law designates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Reinstatement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Company has made any payment of principal of or interest on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IX. </w:t>
      </w:r>
    </w:p>
    <w:p>
      <w:pPr>
        <w:pStyle w:val="TextBody"/>
        <w:bidi w:val="0"/>
        <w:spacing w:before="0" w:after="0"/>
        <w:jc w:val="center"/>
        <w:rPr>
          <w:rFonts w:ascii="Times New Roman" w:hAnsi="Times New Roman"/>
          <w:sz w:val="20"/>
        </w:rPr>
      </w:pPr>
      <w:r>
        <w:rPr>
          <w:rFonts w:ascii="Times New Roman" w:hAnsi="Times New Roman"/>
          <w:sz w:val="20"/>
        </w:rPr>
        <w:t xml:space="preserve">AMENDMENTS AND WAIVERS </w:t>
      </w:r>
    </w:p>
    <w:p>
      <w:pPr>
        <w:pStyle w:val="TextBody"/>
        <w:bidi w:val="0"/>
        <w:spacing w:before="240" w:after="0"/>
        <w:jc w:val="left"/>
        <w:rPr>
          <w:rFonts w:ascii="Times New Roman" w:hAnsi="Times New Roman"/>
          <w:sz w:val="20"/>
        </w:rPr>
      </w:pPr>
      <w:r>
        <w:rPr>
          <w:rFonts w:ascii="Times New Roman" w:hAnsi="Times New Roman"/>
          <w:sz w:val="20"/>
        </w:rPr>
        <w:t xml:space="preserve">Section 9.1. </w:t>
      </w:r>
      <w:r>
        <w:rPr>
          <w:rFonts w:ascii="Times New Roman" w:hAnsi="Times New Roman"/>
          <w:sz w:val="20"/>
          <w:u w:val="single"/>
        </w:rPr>
        <w:t>Without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Trustee may amend or supplement this Indenture or the Securities of one or more Series without the consent of any Holder: </w:t>
      </w:r>
    </w:p>
    <w:p>
      <w:pPr>
        <w:pStyle w:val="TextBody"/>
        <w:bidi w:val="0"/>
        <w:spacing w:before="120" w:after="0"/>
        <w:jc w:val="left"/>
        <w:rPr>
          <w:rFonts w:ascii="Times New Roman" w:hAnsi="Times New Roman"/>
          <w:sz w:val="20"/>
        </w:rPr>
      </w:pPr>
      <w:r>
        <w:rPr>
          <w:rFonts w:ascii="Times New Roman" w:hAnsi="Times New Roman"/>
          <w:sz w:val="20"/>
        </w:rPr>
        <w:t xml:space="preserve">(a) to cure any ambiguity, defect or inconsistency; </w:t>
      </w:r>
    </w:p>
    <w:p>
      <w:pPr>
        <w:pStyle w:val="TextBody"/>
        <w:bidi w:val="0"/>
        <w:spacing w:before="240" w:after="0"/>
        <w:jc w:val="left"/>
        <w:rPr>
          <w:rFonts w:ascii="Times New Roman" w:hAnsi="Times New Roman"/>
          <w:sz w:val="20"/>
        </w:rPr>
      </w:pPr>
      <w:r>
        <w:rPr>
          <w:rFonts w:ascii="Times New Roman" w:hAnsi="Times New Roman"/>
          <w:sz w:val="20"/>
        </w:rPr>
        <w:t xml:space="preserve">(b) to comply with Article V; </w:t>
      </w:r>
    </w:p>
    <w:p>
      <w:pPr>
        <w:pStyle w:val="TextBody"/>
        <w:bidi w:val="0"/>
        <w:spacing w:before="240" w:after="0"/>
        <w:jc w:val="left"/>
        <w:rPr>
          <w:rFonts w:ascii="Times New Roman" w:hAnsi="Times New Roman"/>
          <w:sz w:val="20"/>
        </w:rPr>
      </w:pPr>
      <w:r>
        <w:rPr>
          <w:rFonts w:ascii="Times New Roman" w:hAnsi="Times New Roman"/>
          <w:sz w:val="20"/>
        </w:rPr>
        <w:t xml:space="preserve">(c) to provide for uncertificated Securities in addition to or in place of certificated Securities; </w:t>
      </w:r>
    </w:p>
    <w:p>
      <w:pPr>
        <w:pStyle w:val="TextBody"/>
        <w:bidi w:val="0"/>
        <w:spacing w:before="240" w:after="0"/>
        <w:jc w:val="left"/>
        <w:rPr>
          <w:rFonts w:ascii="Times New Roman" w:hAnsi="Times New Roman"/>
          <w:sz w:val="20"/>
        </w:rPr>
      </w:pPr>
      <w:r>
        <w:rPr>
          <w:rFonts w:ascii="Times New Roman" w:hAnsi="Times New Roman"/>
          <w:sz w:val="20"/>
        </w:rPr>
        <w:t xml:space="preserve">(d) to add guarantees with respect to Securities of any Series or secure Securities of any Series; </w:t>
      </w:r>
    </w:p>
    <w:p>
      <w:pPr>
        <w:pStyle w:val="TextBody"/>
        <w:bidi w:val="0"/>
        <w:spacing w:before="240" w:after="0"/>
        <w:jc w:val="left"/>
        <w:rPr>
          <w:rFonts w:ascii="Times New Roman" w:hAnsi="Times New Roman"/>
          <w:sz w:val="20"/>
        </w:rPr>
      </w:pPr>
      <w:r>
        <w:rPr>
          <w:rFonts w:ascii="Times New Roman" w:hAnsi="Times New Roman"/>
          <w:sz w:val="20"/>
        </w:rPr>
        <w:t xml:space="preserve">(e) to surrender any of the Company’s rights or powers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(f) to add covenants or events of default for the benefit of the holders of Securities of any Series; </w:t>
      </w:r>
    </w:p>
    <w:p>
      <w:pPr>
        <w:pStyle w:val="TextBody"/>
        <w:bidi w:val="0"/>
        <w:spacing w:before="240" w:after="0"/>
        <w:jc w:val="left"/>
        <w:rPr>
          <w:rFonts w:ascii="Times New Roman" w:hAnsi="Times New Roman"/>
          <w:sz w:val="20"/>
        </w:rPr>
      </w:pPr>
      <w:r>
        <w:rPr>
          <w:rFonts w:ascii="Times New Roman" w:hAnsi="Times New Roman"/>
          <w:sz w:val="20"/>
        </w:rPr>
        <w:t xml:space="preserve">(g) to comply with the applicable procedures of the applicable depositary; </w:t>
      </w:r>
    </w:p>
    <w:p>
      <w:pPr>
        <w:pStyle w:val="TextBody"/>
        <w:bidi w:val="0"/>
        <w:spacing w:before="240" w:after="0"/>
        <w:jc w:val="left"/>
        <w:rPr>
          <w:rFonts w:ascii="Times New Roman" w:hAnsi="Times New Roman"/>
          <w:sz w:val="20"/>
        </w:rPr>
      </w:pPr>
      <w:r>
        <w:rPr>
          <w:rFonts w:ascii="Times New Roman" w:hAnsi="Times New Roman"/>
          <w:sz w:val="20"/>
        </w:rPr>
        <w:t xml:space="preserve">(h) to make any change that does not adversely affect the rights of any Holder; </w:t>
      </w:r>
    </w:p>
    <w:p>
      <w:pPr>
        <w:pStyle w:val="TextBody"/>
        <w:bidi w:val="0"/>
        <w:spacing w:before="240" w:after="0"/>
        <w:jc w:val="left"/>
        <w:rPr>
          <w:rFonts w:ascii="Times New Roman" w:hAnsi="Times New Roman"/>
          <w:sz w:val="20"/>
        </w:rPr>
      </w:pPr>
      <w:r>
        <w:rPr>
          <w:rFonts w:ascii="Times New Roman" w:hAnsi="Times New Roman"/>
          <w:sz w:val="20"/>
        </w:rPr>
        <w:t xml:space="preserve">(i) to provide for the issuance of and establish the form and terms and conditions of Securities of any Series as permitted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(j)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 </w:t>
      </w:r>
    </w:p>
    <w:p>
      <w:pPr>
        <w:pStyle w:val="TextBody"/>
        <w:bidi w:val="0"/>
        <w:spacing w:before="240" w:after="0"/>
        <w:jc w:val="left"/>
        <w:rPr>
          <w:rFonts w:ascii="Times New Roman" w:hAnsi="Times New Roman"/>
          <w:sz w:val="20"/>
        </w:rPr>
      </w:pPr>
      <w:r>
        <w:rPr>
          <w:rFonts w:ascii="Times New Roman" w:hAnsi="Times New Roman"/>
          <w:sz w:val="20"/>
        </w:rPr>
        <w:t xml:space="preserve">(k) to comply with requirements of the SEC in order to effect or maintain the qualification of this Indenture under the TIA. </w:t>
      </w:r>
    </w:p>
    <w:p>
      <w:pPr>
        <w:pStyle w:val="TextBody"/>
        <w:bidi w:val="0"/>
        <w:spacing w:before="240" w:after="0"/>
        <w:jc w:val="left"/>
        <w:rPr>
          <w:rFonts w:ascii="Times New Roman" w:hAnsi="Times New Roman"/>
          <w:sz w:val="20"/>
        </w:rPr>
      </w:pPr>
      <w:r>
        <w:rPr>
          <w:rFonts w:ascii="Times New Roman" w:hAnsi="Times New Roman"/>
          <w:sz w:val="20"/>
        </w:rPr>
        <w:t xml:space="preserve">Section 9.2. </w:t>
      </w:r>
      <w:r>
        <w:rPr>
          <w:rFonts w:ascii="Times New Roman" w:hAnsi="Times New Roman"/>
          <w:sz w:val="20"/>
          <w:u w:val="single"/>
        </w:rPr>
        <w:t>With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9.3,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and subject to Section 9.3,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Section 9.3. </w:t>
      </w:r>
      <w:r>
        <w:rPr>
          <w:rFonts w:ascii="Times New Roman" w:hAnsi="Times New Roman"/>
          <w:sz w:val="20"/>
          <w:u w:val="single"/>
        </w:rPr>
        <w:t>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Without the consent of each Holder affected, an amendment or waiver may not: </w:t>
      </w:r>
    </w:p>
    <w:p>
      <w:pPr>
        <w:pStyle w:val="TextBody"/>
        <w:bidi w:val="0"/>
        <w:spacing w:before="120" w:after="0"/>
        <w:jc w:val="left"/>
        <w:rPr>
          <w:rFonts w:ascii="Times New Roman" w:hAnsi="Times New Roman"/>
          <w:sz w:val="20"/>
        </w:rPr>
      </w:pPr>
      <w:r>
        <w:rPr>
          <w:rFonts w:ascii="Times New Roman" w:hAnsi="Times New Roman"/>
          <w:sz w:val="20"/>
        </w:rPr>
        <w:t xml:space="preserve">(a) reduce the principal amount of Securities whose Holders must consent to an amendment, supplement or waiver; </w:t>
      </w:r>
    </w:p>
    <w:p>
      <w:pPr>
        <w:pStyle w:val="TextBody"/>
        <w:bidi w:val="0"/>
        <w:spacing w:before="240" w:after="0"/>
        <w:jc w:val="left"/>
        <w:rPr>
          <w:rFonts w:ascii="Times New Roman" w:hAnsi="Times New Roman"/>
          <w:sz w:val="20"/>
        </w:rPr>
      </w:pPr>
      <w:r>
        <w:rPr>
          <w:rFonts w:ascii="Times New Roman" w:hAnsi="Times New Roman"/>
          <w:sz w:val="20"/>
        </w:rPr>
        <w:t xml:space="preserve">(b) reduce the rate of or extend the time for payment of interest (including default interest) on any Security; </w:t>
      </w:r>
    </w:p>
    <w:p>
      <w:pPr>
        <w:pStyle w:val="TextBody"/>
        <w:bidi w:val="0"/>
        <w:spacing w:before="240" w:after="0"/>
        <w:jc w:val="left"/>
        <w:rPr>
          <w:rFonts w:ascii="Times New Roman" w:hAnsi="Times New Roman"/>
          <w:sz w:val="20"/>
        </w:rPr>
      </w:pPr>
      <w:r>
        <w:rPr>
          <w:rFonts w:ascii="Times New Roman" w:hAnsi="Times New Roman"/>
          <w:sz w:val="20"/>
        </w:rPr>
        <w:t xml:space="preserve">(c) reduce the principal or change the Stated Maturity of any Security or reduce the amount of, or postpone the date fixed for, the payment of any sinking fund or analogous obligation; </w:t>
      </w:r>
    </w:p>
    <w:p>
      <w:pPr>
        <w:pStyle w:val="TextBody"/>
        <w:bidi w:val="0"/>
        <w:spacing w:before="240" w:after="0"/>
        <w:jc w:val="left"/>
        <w:rPr>
          <w:rFonts w:ascii="Times New Roman" w:hAnsi="Times New Roman"/>
          <w:sz w:val="20"/>
        </w:rPr>
      </w:pPr>
      <w:r>
        <w:rPr>
          <w:rFonts w:ascii="Times New Roman" w:hAnsi="Times New Roman"/>
          <w:sz w:val="20"/>
        </w:rPr>
        <w:t xml:space="preserve">(d) reduce the principal amount of Discount Securities payable upon acceleration of the maturity thereof; </w:t>
      </w:r>
    </w:p>
    <w:p>
      <w:pPr>
        <w:pStyle w:val="TextBody"/>
        <w:bidi w:val="0"/>
        <w:spacing w:before="240" w:after="0"/>
        <w:jc w:val="left"/>
        <w:rPr>
          <w:rFonts w:ascii="Times New Roman" w:hAnsi="Times New Roman"/>
          <w:sz w:val="20"/>
        </w:rPr>
      </w:pPr>
      <w:r>
        <w:rPr>
          <w:rFonts w:ascii="Times New Roman" w:hAnsi="Times New Roman"/>
          <w:sz w:val="20"/>
        </w:rPr>
        <w:t xml:space="preserve">(e)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 </w:t>
      </w:r>
    </w:p>
    <w:p>
      <w:pPr>
        <w:pStyle w:val="TextBody"/>
        <w:bidi w:val="0"/>
        <w:spacing w:before="240" w:after="0"/>
        <w:jc w:val="left"/>
        <w:rPr>
          <w:rFonts w:ascii="Times New Roman" w:hAnsi="Times New Roman"/>
          <w:sz w:val="20"/>
        </w:rPr>
      </w:pPr>
      <w:r>
        <w:rPr>
          <w:rFonts w:ascii="Times New Roman" w:hAnsi="Times New Roman"/>
          <w:sz w:val="20"/>
        </w:rPr>
        <w:t xml:space="preserve">(f) make the principal of or interest, if any, on any Security payable in any currency other than that stated in the Security; </w:t>
      </w:r>
    </w:p>
    <w:p>
      <w:pPr>
        <w:pStyle w:val="TextBody"/>
        <w:bidi w:val="0"/>
        <w:spacing w:before="240" w:after="0"/>
        <w:jc w:val="left"/>
        <w:rPr>
          <w:rFonts w:ascii="Times New Roman" w:hAnsi="Times New Roman"/>
          <w:sz w:val="20"/>
        </w:rPr>
      </w:pPr>
      <w:r>
        <w:rPr>
          <w:rFonts w:ascii="Times New Roman" w:hAnsi="Times New Roman"/>
          <w:sz w:val="20"/>
        </w:rPr>
        <w:t xml:space="preserve">(g) make any change in Sections 6.8, 6.13 or 9.3 (this sentence); or </w:t>
      </w:r>
    </w:p>
    <w:p>
      <w:pPr>
        <w:pStyle w:val="TextBody"/>
        <w:bidi w:val="0"/>
        <w:spacing w:before="240" w:after="0"/>
        <w:jc w:val="left"/>
        <w:rPr>
          <w:rFonts w:ascii="Times New Roman" w:hAnsi="Times New Roman"/>
          <w:sz w:val="20"/>
        </w:rPr>
      </w:pPr>
      <w:r>
        <w:rPr>
          <w:rFonts w:ascii="Times New Roman" w:hAnsi="Times New Roman"/>
          <w:sz w:val="20"/>
        </w:rPr>
        <w:t xml:space="preserve">(h) waive a redemption payment with respect to any Security, provided that such redemption is made at the Company’s option. </w:t>
      </w:r>
    </w:p>
    <w:p>
      <w:pPr>
        <w:pStyle w:val="TextBody"/>
        <w:bidi w:val="0"/>
        <w:spacing w:before="240" w:after="0"/>
        <w:jc w:val="left"/>
        <w:rPr>
          <w:rFonts w:ascii="Times New Roman" w:hAnsi="Times New Roman"/>
          <w:sz w:val="20"/>
        </w:rPr>
      </w:pPr>
      <w:r>
        <w:rPr>
          <w:rFonts w:ascii="Times New Roman" w:hAnsi="Times New Roman"/>
          <w:sz w:val="20"/>
        </w:rPr>
        <w:t xml:space="preserve">Section 9.4. </w:t>
      </w:r>
      <w:r>
        <w:rPr>
          <w:rFonts w:ascii="Times New Roman" w:hAnsi="Times New Roman"/>
          <w:sz w:val="20"/>
          <w:u w:val="single"/>
        </w:rPr>
        <w:t>Compliance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Every amendment to this Indenture or the Securities of one or more Series shall be set forth in a supplemental indenture hereto that complies with the TIA as then in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9.5. </w:t>
      </w:r>
      <w:r>
        <w:rPr>
          <w:rFonts w:ascii="Times New Roman" w:hAnsi="Times New Roman"/>
          <w:sz w:val="20"/>
          <w:u w:val="single"/>
        </w:rPr>
        <w:t>Revocation and Effect of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Any amendment or waiver once effective shall bind every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Section 9.6. </w:t>
      </w:r>
      <w:r>
        <w:rPr>
          <w:rFonts w:ascii="Times New Roman" w:hAnsi="Times New Roman"/>
          <w:sz w:val="20"/>
          <w:u w:val="single"/>
        </w:rPr>
        <w:t>Notation on or Exchange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may, but shall not be obligated to,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 </w:t>
      </w:r>
    </w:p>
    <w:p>
      <w:pPr>
        <w:pStyle w:val="TextBody"/>
        <w:bidi w:val="0"/>
        <w:spacing w:before="240" w:after="0"/>
        <w:jc w:val="left"/>
        <w:rPr>
          <w:rFonts w:ascii="Times New Roman" w:hAnsi="Times New Roman"/>
          <w:sz w:val="20"/>
        </w:rPr>
      </w:pPr>
      <w:r>
        <w:rPr>
          <w:rFonts w:ascii="Times New Roman" w:hAnsi="Times New Roman"/>
          <w:sz w:val="20"/>
        </w:rPr>
        <w:t xml:space="preserve">Section 9.7. </w:t>
      </w:r>
      <w:r>
        <w:rPr>
          <w:rFonts w:ascii="Times New Roman" w:hAnsi="Times New Roman"/>
          <w:sz w:val="20"/>
          <w:u w:val="single"/>
        </w:rPr>
        <w:t>Trustee Protected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executing, or accepting the additional trusts created by, any supplemental indenture permitted by this Article or the modifications thereby of the trusts created by this Indenture, the Trustee shall be entitled to receive, upon request, an Officer’s Certificate and/or an Opinion of Counsel complying with Sections 10.4 and 10.5 and (subject to Section 7.1) shall be fully protected in relying upon such Officer’s Certificate and/or Opinion of Counsel.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Trust Indenture Act Controls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provision of this Indenture limits, qualifies or conflicts with another provision which is required or deemed to be included in this Indenture by the TIA, such required or deemed provision shall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by the Company or the Trustee to the other, or by a Holder to the Company or the Trustee, is duly given if in writing and delivered in person or mailed by first-class mail (registered or certified, return receipt requested), email or overnight air courier guaranteeing next day delivery, to the others’ address: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Seres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101 Cambridgepark Drive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02140 </w:t>
      </w:r>
    </w:p>
    <w:p>
      <w:pPr>
        <w:pStyle w:val="TextBody"/>
        <w:bidi w:val="0"/>
        <w:spacing w:before="0" w:after="0"/>
        <w:jc w:val="left"/>
        <w:rPr>
          <w:rFonts w:ascii="Times New Roman" w:hAnsi="Times New Roman"/>
          <w:sz w:val="20"/>
        </w:rPr>
      </w:pPr>
      <w:r>
        <w:rPr>
          <w:rFonts w:ascii="Times New Roman" w:hAnsi="Times New Roman"/>
          <w:sz w:val="20"/>
        </w:rPr>
        <w:t xml:space="preserve">Attention: Executive Chair and Interim Chief Executive Officer </w:t>
      </w:r>
    </w:p>
    <w:p>
      <w:pPr>
        <w:pStyle w:val="TextBody"/>
        <w:bidi w:val="0"/>
        <w:spacing w:before="0" w:after="0"/>
        <w:jc w:val="left"/>
        <w:rPr>
          <w:rFonts w:ascii="Times New Roman" w:hAnsi="Times New Roman"/>
          <w:sz w:val="20"/>
        </w:rPr>
      </w:pPr>
      <w:r>
        <w:rPr>
          <w:rFonts w:ascii="Times New Roman" w:hAnsi="Times New Roman"/>
          <w:sz w:val="20"/>
        </w:rPr>
        <w:t>Telephone: (617) 945-9626</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200 Clarendon Street, 27th Floor </w:t>
      </w:r>
    </w:p>
    <w:p>
      <w:pPr>
        <w:pStyle w:val="TextBody"/>
        <w:bidi w:val="0"/>
        <w:spacing w:before="0" w:after="0"/>
        <w:jc w:val="left"/>
        <w:rPr>
          <w:rFonts w:ascii="Times New Roman" w:hAnsi="Times New Roman"/>
          <w:sz w:val="20"/>
        </w:rPr>
      </w:pPr>
      <w:r>
        <w:rPr>
          <w:rFonts w:ascii="Times New Roman" w:hAnsi="Times New Roman"/>
          <w:sz w:val="20"/>
        </w:rPr>
        <w:t xml:space="preserve">Boston, MA 02116 </w:t>
      </w:r>
    </w:p>
    <w:p>
      <w:pPr>
        <w:pStyle w:val="TextBody"/>
        <w:bidi w:val="0"/>
        <w:spacing w:before="0" w:after="0"/>
        <w:jc w:val="left"/>
        <w:rPr>
          <w:rFonts w:ascii="Times New Roman" w:hAnsi="Times New Roman"/>
          <w:sz w:val="20"/>
        </w:rPr>
      </w:pPr>
      <w:r>
        <w:rPr>
          <w:rFonts w:ascii="Times New Roman" w:hAnsi="Times New Roman"/>
          <w:sz w:val="20"/>
        </w:rPr>
        <w:t xml:space="preserve">Attention: Peter N. Handrinos, Esq., Wesley C. Holmes, Esq. and Jennifer A. Yoon, Esq. </w:t>
      </w:r>
    </w:p>
    <w:p>
      <w:pPr>
        <w:pStyle w:val="TextBody"/>
        <w:bidi w:val="0"/>
        <w:spacing w:before="0" w:after="0"/>
        <w:jc w:val="left"/>
        <w:rPr>
          <w:rFonts w:ascii="Times New Roman" w:hAnsi="Times New Roman"/>
          <w:sz w:val="20"/>
        </w:rPr>
      </w:pPr>
      <w:r>
        <w:rPr>
          <w:rFonts w:ascii="Times New Roman" w:hAnsi="Times New Roman"/>
          <w:sz w:val="20"/>
        </w:rPr>
        <w:t>Telephone: (617) 948-6000</w:t>
      </w:r>
    </w:p>
    <w:p>
      <w:pPr>
        <w:pStyle w:val="TextBody"/>
        <w:bidi w:val="0"/>
        <w:spacing w:before="240" w:after="0"/>
        <w:jc w:val="left"/>
        <w:rPr>
          <w:rFonts w:ascii="Times New Roman" w:hAnsi="Times New Roman"/>
          <w:sz w:val="20"/>
        </w:rPr>
      </w:pPr>
      <w:r>
        <w:rPr>
          <w:rFonts w:ascii="Times New Roman" w:hAnsi="Times New Roman"/>
          <w:sz w:val="20"/>
        </w:rPr>
        <w:t xml:space="preserve">if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Attention: [____] </w:t>
      </w:r>
    </w:p>
    <w:p>
      <w:pPr>
        <w:pStyle w:val="TextBody"/>
        <w:bidi w:val="0"/>
        <w:spacing w:before="0" w:after="0"/>
        <w:jc w:val="left"/>
        <w:rPr>
          <w:rFonts w:ascii="Times New Roman" w:hAnsi="Times New Roman"/>
          <w:sz w:val="20"/>
        </w:rPr>
      </w:pPr>
      <w:r>
        <w:rPr>
          <w:rFonts w:ascii="Times New Roman" w:hAnsi="Times New Roman"/>
          <w:sz w:val="20"/>
        </w:rPr>
        <w:t xml:space="preserve">Telephone: [____] </w:t>
      </w:r>
    </w:p>
    <w:p>
      <w:pPr>
        <w:pStyle w:val="TextBody"/>
        <w:bidi w:val="0"/>
        <w:spacing w:before="24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[_____] </w:t>
      </w:r>
    </w:p>
    <w:p>
      <w:pPr>
        <w:pStyle w:val="TextBody"/>
        <w:bidi w:val="0"/>
        <w:spacing w:before="0" w:after="0"/>
        <w:jc w:val="left"/>
        <w:rPr>
          <w:rFonts w:ascii="Times New Roman" w:hAnsi="Times New Roman"/>
          <w:sz w:val="20"/>
        </w:rPr>
      </w:pPr>
      <w:r>
        <w:rPr>
          <w:rFonts w:ascii="Times New Roman" w:hAnsi="Times New Roman"/>
          <w:sz w:val="20"/>
        </w:rPr>
        <w:t xml:space="preserve">Attention: [____] </w:t>
      </w:r>
    </w:p>
    <w:p>
      <w:pPr>
        <w:pStyle w:val="TextBody"/>
        <w:bidi w:val="0"/>
        <w:spacing w:before="0" w:after="0"/>
        <w:jc w:val="left"/>
        <w:rPr>
          <w:rFonts w:ascii="Times New Roman" w:hAnsi="Times New Roman"/>
          <w:sz w:val="20"/>
        </w:rPr>
      </w:pPr>
      <w:r>
        <w:rPr>
          <w:rFonts w:ascii="Times New Roman" w:hAnsi="Times New Roman"/>
          <w:sz w:val="20"/>
        </w:rPr>
        <w:t xml:space="preserve">Telephone: [____]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by notice to the other may designate additional or different addresses for subsequent notices or communications. </w:t>
      </w:r>
    </w:p>
    <w:p>
      <w:pPr>
        <w:pStyle w:val="TextBody"/>
        <w:bidi w:val="0"/>
        <w:spacing w:before="240" w:after="0"/>
        <w:jc w:val="left"/>
        <w:rPr>
          <w:rFonts w:ascii="Times New Roman" w:hAnsi="Times New Roman"/>
          <w:sz w:val="20"/>
        </w:rPr>
      </w:pPr>
      <w:r>
        <w:rPr>
          <w:rFonts w:ascii="Times New Roman" w:hAnsi="Times New Roman"/>
          <w:sz w:val="20"/>
        </w:rPr>
        <w:t xml:space="preserve">Any notice or communication to a Holder shall be sent electronically or by first-class mail or overnight air courier to his, her or its address shown on the register kept by the Registrar, in accordance with the procedures of the Depositary. Failure to send a notice or communication to a Holder of any Series or any defect in it shall not affect its sufficiency with respect to other Holders of that or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If a notice or communication is sent or published in the manner provided above, within the time prescribed, it is duly given, whether or not the Holder receives it.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sends a notice or communication to Holders, it shall send a copy to the Trustee and each Agent at the same time.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have any duty to confirm that the person sending any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The Company assumes all risks arising out of the use of electronic signatures and electronic methods to send communications to the Trustee, including without limitation the risk of the Trustee acting on an unauthorized communication, and the risk of interception or misuse by third parties.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Communication by Holders with Other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Holders of any Series may communicate pursuant to TIA § 312(b) with other Holders of that Series or any other Series with respect to their rights under this Indenture or the Securities of that Series or all Series. The Company, the Trustee, the Registrar and anyone else shall have the protection of TIA § 312(c).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Certificate and Opinion as to 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request or application by the Company to the Trustee to take any action under this Indenture, the Company shall furnish to the Trustee: </w:t>
      </w:r>
    </w:p>
    <w:p>
      <w:pPr>
        <w:pStyle w:val="TextBody"/>
        <w:bidi w:val="0"/>
        <w:spacing w:before="120" w:after="0"/>
        <w:jc w:val="left"/>
        <w:rPr>
          <w:rFonts w:ascii="Times New Roman" w:hAnsi="Times New Roman"/>
          <w:sz w:val="20"/>
        </w:rPr>
      </w:pPr>
      <w:r>
        <w:rPr>
          <w:rFonts w:ascii="Times New Roman" w:hAnsi="Times New Roman"/>
          <w:sz w:val="20"/>
        </w:rPr>
        <w:t xml:space="preserve">(a) an Officer’s Certificate stating that, in the opinion of the signers, all conditions precedent, if any, provided for in this Indenture relating to the proposed action have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(b) an Opinion of Counsel stating that, in the opinion of such counsel, all such conditions precedent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Statements Required in Certificate or Opinion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certificate or opinion with respect to compliance with a condition or covenant provided for in this Indenture (other than a certificate provided pursuant to TIA § 314(a)(4)) shall comply with the provisions of TIA § 314(e) and shall include: </w:t>
      </w:r>
    </w:p>
    <w:p>
      <w:pPr>
        <w:pStyle w:val="TextBody"/>
        <w:bidi w:val="0"/>
        <w:spacing w:before="120" w:after="0"/>
        <w:jc w:val="left"/>
        <w:rPr>
          <w:rFonts w:ascii="Times New Roman" w:hAnsi="Times New Roman"/>
          <w:sz w:val="20"/>
        </w:rPr>
      </w:pPr>
      <w:r>
        <w:rPr>
          <w:rFonts w:ascii="Times New Roman" w:hAnsi="Times New Roman"/>
          <w:sz w:val="20"/>
        </w:rPr>
        <w:t xml:space="preserve">(a) a statement that the person making such certificate or opinion has read such covenant or condition; </w:t>
      </w:r>
    </w:p>
    <w:p>
      <w:pPr>
        <w:pStyle w:val="TextBody"/>
        <w:bidi w:val="0"/>
        <w:spacing w:before="24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or opinions contained in such certificate or opinion are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(c) a statement that, in the opinion of such person, such person has made such examination or investigation as is necessary to enable such person to express an informed opinion as to whether or not such covenant or condition has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(d) a statement as to whether or not, in the opinion of such person,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Rules by Trustee and Agents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may make reasonable rules for action by or a meeting of Holders of one or more Series. Any Agent may make reasonable rules and set reasonable requirements for its functions.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Legal Holidays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 payment date for any payment made under this Indenture is not a Business Day, payment may be made on the next succeeding Business Day, and no interest shall accrue for the intervening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No Recourse Against Others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Section 10.10. </w:t>
      </w:r>
      <w:r>
        <w:rPr>
          <w:rFonts w:ascii="Times New Roman" w:hAnsi="Times New Roman"/>
          <w:sz w:val="20"/>
          <w:u w:val="single"/>
        </w:rPr>
        <w:t>Governing Law; Waiver of Jury Trial; Consent to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THIS INDENTURE AND THE SECURITIES, INCLUDING ANY CLAIM OR CONTROVERSY ARISING OUT OF OR RELATING TO THE INDENTURE OR THE SECURITIES, SHALL BE GOVERNED BY THE LAWS OF THE STATE OF NEW YORK.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hAnsi="Times New Roman"/>
          <w:i/>
          <w:sz w:val="20"/>
        </w:rPr>
        <w:t>Specified Courts</w:t>
      </w:r>
      <w:r>
        <w:rPr>
          <w:rFonts w:ascii="Times New Roman" w:hAnsi="Times New Roman"/>
          <w:sz w:val="20"/>
        </w:rPr>
        <w:t xml:space="preserve">”),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 xml:space="preserve">Section 10.11. </w:t>
      </w:r>
      <w:r>
        <w:rPr>
          <w:rFonts w:ascii="Times New Roman" w:hAnsi="Times New Roman"/>
          <w:sz w:val="20"/>
          <w:u w:val="single"/>
        </w:rPr>
        <w:t>No Adverse Interpretation of Other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not be used to interpret another indenture, loan or debt agreement of the Company or a Subsidiary of the Company. Any such indenture, loan or debt agreement may not be used to interpret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10.12. </w:t>
      </w:r>
      <w:r>
        <w:rPr>
          <w:rFonts w:ascii="Times New Roman" w:hAnsi="Times New Roman"/>
          <w:sz w:val="20"/>
          <w:u w:val="single"/>
        </w:rPr>
        <w:t>Successors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agreements of the Company in this Indenture and the Securities shall bind its successor. All agreements of the Trustee in this Indenture shall bind its successor. </w:t>
      </w:r>
    </w:p>
    <w:p>
      <w:pPr>
        <w:pStyle w:val="TextBody"/>
        <w:bidi w:val="0"/>
        <w:spacing w:before="240" w:after="0"/>
        <w:jc w:val="left"/>
        <w:rPr>
          <w:rFonts w:ascii="Times New Roman" w:hAnsi="Times New Roman"/>
          <w:sz w:val="20"/>
        </w:rPr>
      </w:pPr>
      <w:r>
        <w:rPr>
          <w:rFonts w:ascii="Times New Roman" w:hAnsi="Times New Roman"/>
          <w:sz w:val="20"/>
        </w:rPr>
        <w:t xml:space="preserve">Section 10.13. </w:t>
      </w:r>
      <w:r>
        <w:rPr>
          <w:rFonts w:ascii="Times New Roman" w:hAnsi="Times New Roman"/>
          <w:sz w:val="20"/>
          <w:u w:val="single"/>
        </w:rPr>
        <w:t>Severability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this Indenture or in the Securities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10.14. </w:t>
      </w:r>
      <w:r>
        <w:rPr>
          <w:rFonts w:ascii="Times New Roman" w:hAnsi="Times New Roman"/>
          <w:sz w:val="20"/>
          <w:u w:val="single"/>
        </w:rPr>
        <w:t>Table of Contents, Headings,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Cross Reference Table, headings of the Articles and Sections of this Indenture have been inserted for convenience of reference only, are not to be considered a part hereof and shall in no way modify or restrict any of the terms or provisions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Section 10.15. </w:t>
      </w:r>
      <w:r>
        <w:rPr>
          <w:rFonts w:ascii="Times New Roman" w:hAnsi="Times New Roman"/>
          <w:sz w:val="20"/>
          <w:u w:val="single"/>
        </w:rPr>
        <w:t>Securities in a Foreign Currency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determinations provided for in the preceding paragraph shall, in the absence of manifest error, to the extent permitted by law, be conclusive for all purposes and irrevocably binding upon the Trustee and all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10.16. </w:t>
      </w:r>
      <w:r>
        <w:rPr>
          <w:rFonts w:ascii="Times New Roman" w:hAnsi="Times New Roman"/>
          <w:sz w:val="20"/>
          <w:u w:val="single"/>
        </w:rPr>
        <w:t>Judgment Currency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hAnsi="Times New Roman"/>
          <w:i/>
          <w:sz w:val="20"/>
        </w:rPr>
        <w:t>Required Currency</w:t>
      </w:r>
      <w:r>
        <w:rPr>
          <w:rFonts w:ascii="Times New Roman" w:hAnsi="Times New Roman"/>
          <w:sz w:val="20"/>
        </w:rPr>
        <w:t>”) into a currency in which a judgment will be rendered (the “</w:t>
      </w:r>
      <w:r>
        <w:rPr>
          <w:rFonts w:ascii="Times New Roman" w:hAnsi="Times New Roman"/>
          <w:i/>
          <w:sz w:val="20"/>
        </w:rPr>
        <w:t>Judgment Currency</w:t>
      </w:r>
      <w:r>
        <w:rPr>
          <w:rFonts w:ascii="Times New Roman" w:hAnsi="Times New Roman"/>
          <w:sz w:val="20"/>
        </w:rPr>
        <w:t xml:space="preserve">”),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hAnsi="Times New Roman"/>
          <w:i/>
          <w:sz w:val="20"/>
        </w:rPr>
        <w:t>New York Banking Day</w:t>
      </w:r>
      <w:r>
        <w:rPr>
          <w:rFonts w:ascii="Times New Roman" w:hAnsi="Times New Roman"/>
          <w:sz w:val="20"/>
        </w:rPr>
        <w:t xml:space="preserve">” means any day except a Saturday, Sunday or a legal holiday in the City of New York on which banking institutions are authorized or required by law, regulation or executive order to close. </w:t>
      </w:r>
    </w:p>
    <w:p>
      <w:pPr>
        <w:pStyle w:val="TextBody"/>
        <w:bidi w:val="0"/>
        <w:spacing w:before="240" w:after="0"/>
        <w:jc w:val="left"/>
        <w:rPr>
          <w:rFonts w:ascii="Times New Roman" w:hAnsi="Times New Roman"/>
          <w:sz w:val="20"/>
        </w:rPr>
      </w:pPr>
      <w:r>
        <w:rPr>
          <w:rFonts w:ascii="Times New Roman" w:hAnsi="Times New Roman"/>
          <w:sz w:val="20"/>
        </w:rPr>
        <w:t xml:space="preserve">Section 10.17. </w:t>
      </w:r>
      <w:r>
        <w:rPr>
          <w:rFonts w:ascii="Times New Roman" w:hAnsi="Times New Roman"/>
          <w:sz w:val="20"/>
          <w:u w:val="single"/>
        </w:rPr>
        <w:t>Force Majeure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pandemics, epidemics or other public health emergencies,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Section 10.18.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480" w:after="0"/>
        <w:jc w:val="center"/>
        <w:rPr>
          <w:rFonts w:ascii="Times New Roman" w:hAnsi="Times New Roman"/>
          <w:sz w:val="20"/>
        </w:rPr>
      </w:pPr>
      <w:r>
        <w:rPr>
          <w:rFonts w:ascii="Times New Roman" w:hAnsi="Times New Roman"/>
          <w:sz w:val="20"/>
        </w:rPr>
        <w:t xml:space="preserve">ARTICLE XI. </w:t>
      </w:r>
    </w:p>
    <w:p>
      <w:pPr>
        <w:pStyle w:val="TextBody"/>
        <w:bidi w:val="0"/>
        <w:spacing w:before="0" w:after="0"/>
        <w:jc w:val="center"/>
        <w:rPr>
          <w:rFonts w:ascii="Times New Roman" w:hAnsi="Times New Roman"/>
          <w:sz w:val="20"/>
        </w:rPr>
      </w:pPr>
      <w:r>
        <w:rPr>
          <w:rFonts w:ascii="Times New Roman" w:hAnsi="Times New Roman"/>
          <w:sz w:val="20"/>
        </w:rPr>
        <w:t xml:space="preserve">SINKING FUNDS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Applicability of Article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Article shall be applicable to any sinking fund for the retirement of the Securities of a Series if so provided by the terms of such Securities pursuant to Section 2.2, except as otherwise permitted or required by any form of Security of such Series issued pursuant to this Indenture. </w:t>
      </w:r>
    </w:p>
    <w:p>
      <w:pPr>
        <w:pStyle w:val="TextBody"/>
        <w:bidi w:val="0"/>
        <w:spacing w:before="240" w:after="0"/>
        <w:jc w:val="left"/>
        <w:rPr>
          <w:rFonts w:ascii="Times New Roman" w:hAnsi="Times New Roman"/>
          <w:sz w:val="20"/>
        </w:rPr>
      </w:pPr>
      <w:r>
        <w:rPr>
          <w:rFonts w:ascii="Times New Roman" w:hAnsi="Times New Roman"/>
          <w:sz w:val="20"/>
        </w:rPr>
        <w:t>The minimum amount of any sinking fund payment provided for by the terms of the Securities of any Series is herein referred to as a “</w:t>
      </w:r>
      <w:r>
        <w:rPr>
          <w:rFonts w:ascii="Times New Roman" w:hAnsi="Times New Roman"/>
          <w:i/>
          <w:sz w:val="20"/>
        </w:rPr>
        <w:t>mandatory sinking fund payment</w:t>
      </w:r>
      <w:r>
        <w:rPr>
          <w:rFonts w:ascii="Times New Roman" w:hAnsi="Times New Roman"/>
          <w:sz w:val="20"/>
        </w:rPr>
        <w:t>” and any other amount provided for by the terms of Securities of such Series is herein referred to as an “</w:t>
      </w:r>
      <w:r>
        <w:rPr>
          <w:rFonts w:ascii="Times New Roman" w:hAnsi="Times New Roman"/>
          <w:i/>
          <w:sz w:val="20"/>
        </w:rPr>
        <w:t>optional sinking fund payment</w:t>
      </w:r>
      <w:r>
        <w:rPr>
          <w:rFonts w:ascii="Times New Roman" w:hAnsi="Times New Roman"/>
          <w:sz w:val="20"/>
        </w:rPr>
        <w:t xml:space="preserve">.”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Satisfaction of Sinking Fund Payments with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Redemption of Securities for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12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the day and year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92"/>
        <w:gridCol w:w="105"/>
        <w:gridCol w:w="3385"/>
      </w:tblGrid>
      <w:tr>
        <w:trPr/>
        <w:tc>
          <w:tcPr>
            <w:tcW w:w="592"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338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SERES THERAPEUTICS, INC.</w:t>
            </w:r>
          </w:p>
        </w:tc>
      </w:tr>
      <w:tr>
        <w:trPr>
          <w:trHeight w:val="240" w:hRule="atLeast"/>
        </w:trPr>
        <w:tc>
          <w:tcPr>
            <w:tcW w:w="592" w:type="dxa"/>
            <w:tcBorders/>
            <w:vAlign w:val="center"/>
          </w:tcPr>
          <w:p>
            <w:pPr>
              <w:pStyle w:val="TableContents"/>
              <w:bidi w:val="0"/>
              <w:spacing w:before="0" w:after="283"/>
              <w:jc w:val="left"/>
              <w:rPr>
                <w:sz w:val="4"/>
                <w:szCs w:val="4"/>
              </w:rPr>
            </w:pPr>
            <w:r>
              <w:rPr>
                <w:sz w:val="4"/>
                <w:szCs w:val="4"/>
              </w:rPr>
            </w:r>
          </w:p>
        </w:tc>
        <w:tc>
          <w:tcPr>
            <w:tcW w:w="3490" w:type="dxa"/>
            <w:gridSpan w:val="2"/>
            <w:tcBorders/>
            <w:vAlign w:val="center"/>
          </w:tcPr>
          <w:p>
            <w:pPr>
              <w:pStyle w:val="TableContents"/>
              <w:bidi w:val="0"/>
              <w:spacing w:before="0" w:after="283"/>
              <w:jc w:val="left"/>
              <w:rPr>
                <w:sz w:val="4"/>
                <w:szCs w:val="4"/>
              </w:rPr>
            </w:pPr>
            <w:r>
              <w:rPr>
                <w:sz w:val="4"/>
                <w:szCs w:val="4"/>
              </w:rPr>
            </w:r>
          </w:p>
        </w:tc>
      </w:tr>
      <w:tr>
        <w:trPr/>
        <w:tc>
          <w:tcPr>
            <w:tcW w:w="592" w:type="dxa"/>
            <w:tcBorders/>
          </w:tcPr>
          <w:p>
            <w:pPr>
              <w:pStyle w:val="TableContents"/>
              <w:bidi w:val="0"/>
              <w:spacing w:before="0" w:after="283"/>
              <w:jc w:val="left"/>
              <w:rPr/>
            </w:pPr>
            <w:r>
              <w:rPr/>
              <w:t>By:</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3385" w:type="dxa"/>
            <w:tcBorders>
              <w:bottom w:val="single" w:sz="2" w:space="0" w:color="000000"/>
            </w:tcBorders>
            <w:tcMar>
              <w:bottom w:w="28" w:type="dxa"/>
            </w:tcMar>
          </w:tcPr>
          <w:p>
            <w:pPr>
              <w:pStyle w:val="TableContents"/>
              <w:bidi w:val="0"/>
              <w:spacing w:before="0" w:after="283"/>
              <w:jc w:val="left"/>
              <w:rPr/>
            </w:pPr>
            <w:r>
              <w:rPr/>
              <w:t> </w:t>
            </w:r>
          </w:p>
        </w:tc>
      </w:tr>
      <w:tr>
        <w:trPr/>
        <w:tc>
          <w:tcPr>
            <w:tcW w:w="592"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3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92"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3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 as Trustee</w:t>
            </w:r>
          </w:p>
        </w:tc>
      </w:tr>
      <w:tr>
        <w:trPr>
          <w:trHeight w:val="240" w:hRule="atLeast"/>
        </w:trPr>
        <w:tc>
          <w:tcPr>
            <w:tcW w:w="592" w:type="dxa"/>
            <w:tcBorders/>
            <w:vAlign w:val="center"/>
          </w:tcPr>
          <w:p>
            <w:pPr>
              <w:pStyle w:val="TableContents"/>
              <w:bidi w:val="0"/>
              <w:spacing w:before="0" w:after="283"/>
              <w:jc w:val="left"/>
              <w:rPr>
                <w:sz w:val="4"/>
                <w:szCs w:val="4"/>
              </w:rPr>
            </w:pPr>
            <w:r>
              <w:rPr>
                <w:sz w:val="4"/>
                <w:szCs w:val="4"/>
              </w:rPr>
            </w:r>
          </w:p>
        </w:tc>
        <w:tc>
          <w:tcPr>
            <w:tcW w:w="3490" w:type="dxa"/>
            <w:gridSpan w:val="2"/>
            <w:tcBorders/>
            <w:vAlign w:val="center"/>
          </w:tcPr>
          <w:p>
            <w:pPr>
              <w:pStyle w:val="TableContents"/>
              <w:bidi w:val="0"/>
              <w:spacing w:before="0" w:after="283"/>
              <w:jc w:val="left"/>
              <w:rPr>
                <w:sz w:val="4"/>
                <w:szCs w:val="4"/>
              </w:rPr>
            </w:pPr>
            <w:r>
              <w:rPr>
                <w:sz w:val="4"/>
                <w:szCs w:val="4"/>
              </w:rPr>
            </w:r>
          </w:p>
        </w:tc>
      </w:tr>
      <w:tr>
        <w:trPr/>
        <w:tc>
          <w:tcPr>
            <w:tcW w:w="592" w:type="dxa"/>
            <w:tcBorders/>
          </w:tcPr>
          <w:p>
            <w:pPr>
              <w:pStyle w:val="TableContents"/>
              <w:bidi w:val="0"/>
              <w:spacing w:before="0" w:after="283"/>
              <w:jc w:val="left"/>
              <w:rPr/>
            </w:pPr>
            <w:r>
              <w:rPr/>
              <w:t>By:</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3385" w:type="dxa"/>
            <w:tcBorders>
              <w:bottom w:val="single" w:sz="2" w:space="0" w:color="000000"/>
            </w:tcBorders>
            <w:tcMar>
              <w:bottom w:w="28" w:type="dxa"/>
            </w:tcMar>
          </w:tcPr>
          <w:p>
            <w:pPr>
              <w:pStyle w:val="TableContents"/>
              <w:bidi w:val="0"/>
              <w:spacing w:before="0" w:after="283"/>
              <w:jc w:val="left"/>
              <w:rPr/>
            </w:pPr>
            <w:r>
              <w:rPr/>
              <w:t> </w:t>
            </w:r>
          </w:p>
        </w:tc>
      </w:tr>
      <w:tr>
        <w:trPr/>
        <w:tc>
          <w:tcPr>
            <w:tcW w:w="592"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3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592" w:type="dxa"/>
            <w:tcBorders/>
            <w:vAlign w:val="bottom"/>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33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Its:</w:t>
            </w:r>
          </w:p>
        </w:tc>
      </w:tr>
    </w:tbl>
    <w:p>
      <w:pPr>
        <w:pStyle w:val="TextBody"/>
        <w:bidi w:val="0"/>
        <w:spacing w:before="0" w:after="0"/>
        <w:jc w:val="right"/>
        <w:rPr>
          <w:rFonts w:ascii="Times New Roman" w:hAnsi="Times New Roman"/>
          <w:b/>
          <w:sz w:val="20"/>
        </w:rPr>
      </w:pPr>
      <w:bookmarkStart w:id="34" w:name="d215784dex51.htm"/>
      <w:bookmarkStart w:id="35" w:name="ksd215784dex51"/>
      <w:bookmarkEnd w:id="34"/>
      <w:bookmarkEnd w:id="35"/>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81"/>
        <w:gridCol w:w="121"/>
        <w:gridCol w:w="1076"/>
        <w:gridCol w:w="121"/>
        <w:gridCol w:w="2506"/>
      </w:tblGrid>
      <w:tr>
        <w:trPr/>
        <w:tc>
          <w:tcPr>
            <w:tcW w:w="638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638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70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200 Clarendon Street</w:t>
            </w:r>
          </w:p>
          <w:p>
            <w:pPr>
              <w:pStyle w:val="TableContents"/>
              <w:bidi w:val="0"/>
              <w:spacing w:before="0" w:after="0"/>
              <w:jc w:val="left"/>
              <w:rPr>
                <w:rFonts w:ascii="Times New Roman" w:hAnsi="Times New Roman"/>
                <w:sz w:val="20"/>
              </w:rPr>
            </w:pPr>
            <w:r>
              <w:rPr>
                <w:rFonts w:ascii="Times New Roman" w:hAnsi="Times New Roman"/>
                <w:sz w:val="20"/>
              </w:rPr>
              <w:t>Boston, Massachusetts 02116</w:t>
            </w:r>
          </w:p>
          <w:p>
            <w:pPr>
              <w:pStyle w:val="TableContents"/>
              <w:bidi w:val="0"/>
              <w:spacing w:before="0" w:after="0"/>
              <w:jc w:val="left"/>
              <w:rPr>
                <w:rFonts w:ascii="Times New Roman" w:hAnsi="Times New Roman"/>
                <w:sz w:val="20"/>
              </w:rPr>
            </w:pPr>
            <w:r>
              <w:rPr>
                <w:rFonts w:ascii="Times New Roman" w:hAnsi="Times New Roman"/>
                <w:sz w:val="20"/>
              </w:rPr>
              <w:t>Tel: +1.617.948.6000 Fax: +1.617.948.6001</w:t>
            </w:r>
          </w:p>
          <w:p>
            <w:pPr>
              <w:pStyle w:val="TableContents"/>
              <w:bidi w:val="0"/>
              <w:spacing w:before="0" w:after="20"/>
              <w:jc w:val="left"/>
              <w:rPr>
                <w:rFonts w:ascii="Times New Roman" w:hAnsi="Times New Roman"/>
                <w:sz w:val="20"/>
              </w:rPr>
            </w:pPr>
            <w:r>
              <w:rPr>
                <w:rFonts w:ascii="Times New Roman" w:hAnsi="Times New Roman"/>
                <w:sz w:val="20"/>
              </w:rPr>
              <w:t>www.lw.com</w:t>
            </w:r>
          </w:p>
        </w:tc>
      </w:tr>
      <w:tr>
        <w:trPr>
          <w:trHeight w:val="240" w:hRule="atLeast"/>
        </w:trPr>
        <w:tc>
          <w:tcPr>
            <w:tcW w:w="6381" w:type="dxa"/>
            <w:tcBorders/>
            <w:vAlign w:val="center"/>
          </w:tcPr>
          <w:p>
            <w:pPr>
              <w:pStyle w:val="TableContents"/>
              <w:bidi w:val="0"/>
              <w:spacing w:before="0" w:after="283"/>
              <w:jc w:val="left"/>
              <w:rPr>
                <w:sz w:val="4"/>
                <w:szCs w:val="4"/>
              </w:rPr>
            </w:pPr>
            <w:r>
              <w:rPr>
                <w:sz w:val="4"/>
                <w:szCs w:val="4"/>
              </w:rPr>
            </w:r>
          </w:p>
        </w:tc>
        <w:tc>
          <w:tcPr>
            <w:tcW w:w="3824" w:type="dxa"/>
            <w:gridSpan w:val="4"/>
            <w:tcBorders/>
            <w:vAlign w:val="center"/>
          </w:tcPr>
          <w:p>
            <w:pPr>
              <w:pStyle w:val="TableContents"/>
              <w:bidi w:val="0"/>
              <w:spacing w:before="0" w:after="283"/>
              <w:jc w:val="left"/>
              <w:rPr>
                <w:sz w:val="4"/>
                <w:szCs w:val="4"/>
              </w:rPr>
            </w:pPr>
            <w:r>
              <w:rPr>
                <w:sz w:val="4"/>
                <w:szCs w:val="4"/>
              </w:rPr>
            </w:r>
          </w:p>
        </w:tc>
      </w:tr>
      <w:tr>
        <w:trPr/>
        <w:tc>
          <w:tcPr>
            <w:tcW w:w="6381" w:type="dxa"/>
            <w:tcBorders/>
          </w:tcPr>
          <w:p>
            <w:pPr>
              <w:pStyle w:val="TableContents"/>
              <w:bidi w:val="0"/>
              <w:spacing w:before="0" w:after="283"/>
              <w:jc w:val="left"/>
              <w:rPr/>
            </w:pPr>
            <w:r>
              <w:rPr/>
              <w:drawing>
                <wp:inline distT="0" distB="0" distL="0" distR="0">
                  <wp:extent cx="2257425" cy="15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3"/>
                          <a:stretch>
                            <a:fillRect/>
                          </a:stretch>
                        </pic:blipFill>
                        <pic:spPr bwMode="auto">
                          <a:xfrm>
                            <a:off x="0" y="0"/>
                            <a:ext cx="2257425" cy="15240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3703" w:type="dxa"/>
            <w:gridSpan w:val="3"/>
            <w:tcBorders/>
          </w:tcPr>
          <w:p>
            <w:pPr>
              <w:pStyle w:val="TableContents"/>
              <w:bidi w:val="0"/>
              <w:spacing w:before="0" w:after="283"/>
              <w:jc w:val="left"/>
              <w:rPr/>
            </w:pPr>
            <w:r>
              <w:rPr/>
              <w:t>FIRM / AFFILIATE OFFICES</w:t>
            </w:r>
          </w:p>
        </w:tc>
      </w:tr>
      <w:tr>
        <w:trPr/>
        <w:tc>
          <w:tcPr>
            <w:tcW w:w="63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August 13, 2026</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Seres Therapeutics, Inc.</w:t>
            </w:r>
          </w:p>
          <w:p>
            <w:pPr>
              <w:pStyle w:val="TableContents"/>
              <w:bidi w:val="0"/>
              <w:spacing w:before="0" w:after="0"/>
              <w:jc w:val="left"/>
              <w:rPr>
                <w:rFonts w:ascii="Times New Roman" w:hAnsi="Times New Roman"/>
                <w:sz w:val="20"/>
              </w:rPr>
            </w:pPr>
            <w:r>
              <w:rPr>
                <w:rFonts w:ascii="Times New Roman" w:hAnsi="Times New Roman"/>
                <w:sz w:val="20"/>
              </w:rPr>
              <w:t>101 Cambridgepark Drive</w:t>
            </w:r>
          </w:p>
          <w:p>
            <w:pPr>
              <w:pStyle w:val="TableContents"/>
              <w:bidi w:val="0"/>
              <w:spacing w:before="0" w:after="20"/>
              <w:jc w:val="left"/>
              <w:rPr>
                <w:rFonts w:ascii="Times New Roman" w:hAnsi="Times New Roman"/>
                <w:sz w:val="20"/>
              </w:rPr>
            </w:pPr>
            <w:r>
              <w:rPr>
                <w:rFonts w:ascii="Times New Roman" w:hAnsi="Times New Roman"/>
                <w:sz w:val="20"/>
              </w:rPr>
              <w:t>Cambridge, MA 02140</w:t>
            </w:r>
          </w:p>
        </w:tc>
        <w:tc>
          <w:tcPr>
            <w:tcW w:w="121" w:type="dxa"/>
            <w:tcBorders/>
            <w:vAlign w:val="bottom"/>
          </w:tcPr>
          <w:p>
            <w:pPr>
              <w:pStyle w:val="TableContents"/>
              <w:bidi w:val="0"/>
              <w:spacing w:before="0" w:after="283"/>
              <w:jc w:val="left"/>
              <w:rPr/>
            </w:pPr>
            <w:r>
              <w:rPr/>
              <w:t>  </w:t>
            </w:r>
          </w:p>
        </w:tc>
        <w:tc>
          <w:tcPr>
            <w:tcW w:w="1076" w:type="dxa"/>
            <w:tcBorders/>
          </w:tcPr>
          <w:p>
            <w:pPr>
              <w:pStyle w:val="TableContents"/>
              <w:bidi w:val="0"/>
              <w:spacing w:before="0" w:after="0"/>
              <w:jc w:val="left"/>
              <w:rPr>
                <w:rFonts w:ascii="Times New Roman" w:hAnsi="Times New Roman"/>
                <w:sz w:val="20"/>
              </w:rPr>
            </w:pPr>
            <w:r>
              <w:rPr>
                <w:rFonts w:ascii="Times New Roman" w:hAnsi="Times New Roman"/>
                <w:sz w:val="20"/>
              </w:rPr>
              <w:t>Austin</w:t>
            </w:r>
          </w:p>
          <w:p>
            <w:pPr>
              <w:pStyle w:val="TableContents"/>
              <w:bidi w:val="0"/>
              <w:spacing w:before="0" w:after="0"/>
              <w:jc w:val="left"/>
              <w:rPr>
                <w:rFonts w:ascii="Times New Roman" w:hAnsi="Times New Roman"/>
                <w:sz w:val="20"/>
              </w:rPr>
            </w:pPr>
            <w:r>
              <w:rPr>
                <w:rFonts w:ascii="Times New Roman" w:hAnsi="Times New Roman"/>
                <w:sz w:val="20"/>
              </w:rPr>
              <w:t>Beijing</w:t>
            </w:r>
          </w:p>
          <w:p>
            <w:pPr>
              <w:pStyle w:val="TableContents"/>
              <w:bidi w:val="0"/>
              <w:spacing w:before="0" w:after="0"/>
              <w:jc w:val="left"/>
              <w:rPr>
                <w:rFonts w:ascii="Times New Roman" w:hAnsi="Times New Roman"/>
                <w:sz w:val="20"/>
              </w:rPr>
            </w:pPr>
            <w:r>
              <w:rPr>
                <w:rFonts w:ascii="Times New Roman" w:hAnsi="Times New Roman"/>
                <w:sz w:val="20"/>
              </w:rPr>
              <w:t>Boston</w:t>
            </w:r>
          </w:p>
          <w:p>
            <w:pPr>
              <w:pStyle w:val="TableContents"/>
              <w:bidi w:val="0"/>
              <w:spacing w:before="0" w:after="0"/>
              <w:jc w:val="left"/>
              <w:rPr>
                <w:rFonts w:ascii="Times New Roman" w:hAnsi="Times New Roman"/>
                <w:sz w:val="20"/>
              </w:rPr>
            </w:pPr>
            <w:r>
              <w:rPr>
                <w:rFonts w:ascii="Times New Roman" w:hAnsi="Times New Roman"/>
                <w:sz w:val="20"/>
              </w:rPr>
              <w:t>Brussels</w:t>
            </w:r>
          </w:p>
          <w:p>
            <w:pPr>
              <w:pStyle w:val="TableContents"/>
              <w:bidi w:val="0"/>
              <w:spacing w:before="0" w:after="0"/>
              <w:jc w:val="left"/>
              <w:rPr>
                <w:rFonts w:ascii="Times New Roman" w:hAnsi="Times New Roman"/>
                <w:sz w:val="20"/>
              </w:rPr>
            </w:pPr>
            <w:r>
              <w:rPr>
                <w:rFonts w:ascii="Times New Roman" w:hAnsi="Times New Roman"/>
                <w:sz w:val="20"/>
              </w:rPr>
              <w:t>Chicago</w:t>
            </w:r>
          </w:p>
          <w:p>
            <w:pPr>
              <w:pStyle w:val="TableContents"/>
              <w:bidi w:val="0"/>
              <w:spacing w:before="0" w:after="0"/>
              <w:jc w:val="left"/>
              <w:rPr>
                <w:rFonts w:ascii="Times New Roman" w:hAnsi="Times New Roman"/>
                <w:sz w:val="20"/>
              </w:rPr>
            </w:pPr>
            <w:r>
              <w:rPr>
                <w:rFonts w:ascii="Times New Roman" w:hAnsi="Times New Roman"/>
                <w:sz w:val="20"/>
              </w:rPr>
              <w:t>Dubai</w:t>
            </w:r>
          </w:p>
          <w:p>
            <w:pPr>
              <w:pStyle w:val="TableContents"/>
              <w:bidi w:val="0"/>
              <w:spacing w:before="0" w:after="0"/>
              <w:jc w:val="left"/>
              <w:rPr>
                <w:rFonts w:ascii="Times New Roman" w:hAnsi="Times New Roman"/>
                <w:sz w:val="20"/>
              </w:rPr>
            </w:pPr>
            <w:r>
              <w:rPr>
                <w:rFonts w:ascii="Times New Roman" w:hAnsi="Times New Roman"/>
                <w:sz w:val="20"/>
              </w:rPr>
              <w:t>Düsseldorf</w:t>
            </w:r>
          </w:p>
          <w:p>
            <w:pPr>
              <w:pStyle w:val="TableContents"/>
              <w:bidi w:val="0"/>
              <w:spacing w:before="0" w:after="0"/>
              <w:jc w:val="left"/>
              <w:rPr>
                <w:rFonts w:ascii="Times New Roman" w:hAnsi="Times New Roman"/>
                <w:sz w:val="20"/>
              </w:rPr>
            </w:pPr>
            <w:r>
              <w:rPr>
                <w:rFonts w:ascii="Times New Roman" w:hAnsi="Times New Roman"/>
                <w:sz w:val="20"/>
              </w:rPr>
              <w:t>Frankfurt</w:t>
            </w:r>
          </w:p>
          <w:p>
            <w:pPr>
              <w:pStyle w:val="TableContents"/>
              <w:bidi w:val="0"/>
              <w:spacing w:before="0" w:after="0"/>
              <w:jc w:val="left"/>
              <w:rPr>
                <w:rFonts w:ascii="Times New Roman" w:hAnsi="Times New Roman"/>
                <w:sz w:val="20"/>
              </w:rPr>
            </w:pPr>
            <w:r>
              <w:rPr>
                <w:rFonts w:ascii="Times New Roman" w:hAnsi="Times New Roman"/>
                <w:sz w:val="20"/>
              </w:rPr>
              <w:t>Hamburg</w:t>
            </w:r>
          </w:p>
          <w:p>
            <w:pPr>
              <w:pStyle w:val="TableContents"/>
              <w:bidi w:val="0"/>
              <w:spacing w:before="0" w:after="0"/>
              <w:jc w:val="left"/>
              <w:rPr>
                <w:rFonts w:ascii="Times New Roman" w:hAnsi="Times New Roman"/>
                <w:sz w:val="20"/>
              </w:rPr>
            </w:pPr>
            <w:r>
              <w:rPr>
                <w:rFonts w:ascii="Times New Roman" w:hAnsi="Times New Roman"/>
                <w:sz w:val="20"/>
              </w:rPr>
              <w:t>Hong Kong</w:t>
            </w:r>
          </w:p>
          <w:p>
            <w:pPr>
              <w:pStyle w:val="TableContents"/>
              <w:bidi w:val="0"/>
              <w:spacing w:before="0" w:after="0"/>
              <w:jc w:val="left"/>
              <w:rPr>
                <w:rFonts w:ascii="Times New Roman" w:hAnsi="Times New Roman"/>
                <w:sz w:val="20"/>
              </w:rPr>
            </w:pPr>
            <w:r>
              <w:rPr>
                <w:rFonts w:ascii="Times New Roman" w:hAnsi="Times New Roman"/>
                <w:sz w:val="20"/>
              </w:rPr>
              <w:t>Houston</w:t>
            </w:r>
          </w:p>
          <w:p>
            <w:pPr>
              <w:pStyle w:val="TableContents"/>
              <w:bidi w:val="0"/>
              <w:spacing w:before="0" w:after="0"/>
              <w:jc w:val="left"/>
              <w:rPr>
                <w:rFonts w:ascii="Times New Roman" w:hAnsi="Times New Roman"/>
                <w:sz w:val="20"/>
              </w:rPr>
            </w:pPr>
            <w:r>
              <w:rPr>
                <w:rFonts w:ascii="Times New Roman" w:hAnsi="Times New Roman"/>
                <w:sz w:val="20"/>
              </w:rPr>
              <w:t>London</w:t>
            </w:r>
          </w:p>
          <w:p>
            <w:pPr>
              <w:pStyle w:val="TableContents"/>
              <w:bidi w:val="0"/>
              <w:spacing w:before="0" w:after="0"/>
              <w:jc w:val="left"/>
              <w:rPr>
                <w:rFonts w:ascii="Times New Roman" w:hAnsi="Times New Roman"/>
                <w:sz w:val="20"/>
              </w:rPr>
            </w:pPr>
            <w:r>
              <w:rPr>
                <w:rFonts w:ascii="Times New Roman" w:hAnsi="Times New Roman"/>
                <w:sz w:val="20"/>
              </w:rPr>
              <w:t>Los Angeles</w:t>
            </w:r>
          </w:p>
          <w:p>
            <w:pPr>
              <w:pStyle w:val="TableContents"/>
              <w:bidi w:val="0"/>
              <w:spacing w:before="0" w:after="20"/>
              <w:jc w:val="left"/>
              <w:rPr>
                <w:rFonts w:ascii="Times New Roman" w:hAnsi="Times New Roman"/>
                <w:sz w:val="20"/>
              </w:rPr>
            </w:pPr>
            <w:r>
              <w:rPr>
                <w:rFonts w:ascii="Times New Roman" w:hAnsi="Times New Roman"/>
                <w:sz w:val="20"/>
              </w:rPr>
              <w:t>Madrid</w:t>
            </w:r>
          </w:p>
        </w:tc>
        <w:tc>
          <w:tcPr>
            <w:tcW w:w="121" w:type="dxa"/>
            <w:tcBorders/>
            <w:vAlign w:val="bottom"/>
          </w:tcPr>
          <w:p>
            <w:pPr>
              <w:pStyle w:val="TableContents"/>
              <w:bidi w:val="0"/>
              <w:spacing w:before="0" w:after="283"/>
              <w:jc w:val="left"/>
              <w:rPr/>
            </w:pPr>
            <w:r>
              <w:rPr/>
              <w:t>  </w:t>
            </w:r>
          </w:p>
        </w:tc>
        <w:tc>
          <w:tcPr>
            <w:tcW w:w="2506" w:type="dxa"/>
            <w:tcBorders/>
          </w:tcPr>
          <w:p>
            <w:pPr>
              <w:pStyle w:val="TableContents"/>
              <w:bidi w:val="0"/>
              <w:spacing w:before="0" w:after="0"/>
              <w:jc w:val="left"/>
              <w:rPr>
                <w:rFonts w:ascii="Times New Roman" w:hAnsi="Times New Roman"/>
                <w:sz w:val="20"/>
              </w:rPr>
            </w:pPr>
            <w:r>
              <w:rPr>
                <w:rFonts w:ascii="Times New Roman" w:hAnsi="Times New Roman"/>
                <w:sz w:val="20"/>
              </w:rPr>
              <w:t>Milan</w:t>
            </w:r>
          </w:p>
          <w:p>
            <w:pPr>
              <w:pStyle w:val="TableContents"/>
              <w:bidi w:val="0"/>
              <w:spacing w:before="0" w:after="0"/>
              <w:jc w:val="left"/>
              <w:rPr>
                <w:rFonts w:ascii="Times New Roman" w:hAnsi="Times New Roman"/>
                <w:sz w:val="20"/>
              </w:rPr>
            </w:pPr>
            <w:r>
              <w:rPr>
                <w:rFonts w:ascii="Times New Roman" w:hAnsi="Times New Roman"/>
                <w:sz w:val="20"/>
              </w:rPr>
              <w:t>Munich</w:t>
            </w:r>
          </w:p>
          <w:p>
            <w:pPr>
              <w:pStyle w:val="TableContents"/>
              <w:bidi w:val="0"/>
              <w:spacing w:before="0" w:after="0"/>
              <w:jc w:val="left"/>
              <w:rPr>
                <w:rFonts w:ascii="Times New Roman" w:hAnsi="Times New Roman"/>
                <w:sz w:val="20"/>
              </w:rPr>
            </w:pPr>
            <w:r>
              <w:rPr>
                <w:rFonts w:ascii="Times New Roman" w:hAnsi="Times New Roman"/>
                <w:sz w:val="20"/>
              </w:rPr>
              <w:t>New York</w:t>
            </w:r>
          </w:p>
          <w:p>
            <w:pPr>
              <w:pStyle w:val="TableContents"/>
              <w:bidi w:val="0"/>
              <w:spacing w:before="0" w:after="0"/>
              <w:jc w:val="left"/>
              <w:rPr>
                <w:rFonts w:ascii="Times New Roman" w:hAnsi="Times New Roman"/>
                <w:sz w:val="20"/>
              </w:rPr>
            </w:pPr>
            <w:r>
              <w:rPr>
                <w:rFonts w:ascii="Times New Roman" w:hAnsi="Times New Roman"/>
                <w:sz w:val="20"/>
              </w:rPr>
              <w:t>Orange County</w:t>
            </w:r>
          </w:p>
          <w:p>
            <w:pPr>
              <w:pStyle w:val="TableContents"/>
              <w:bidi w:val="0"/>
              <w:spacing w:before="0" w:after="0"/>
              <w:jc w:val="left"/>
              <w:rPr>
                <w:rFonts w:ascii="Times New Roman" w:hAnsi="Times New Roman"/>
                <w:sz w:val="20"/>
              </w:rPr>
            </w:pPr>
            <w:r>
              <w:rPr>
                <w:rFonts w:ascii="Times New Roman" w:hAnsi="Times New Roman"/>
                <w:sz w:val="20"/>
              </w:rPr>
              <w:t>Paris</w:t>
            </w:r>
          </w:p>
          <w:p>
            <w:pPr>
              <w:pStyle w:val="TableContents"/>
              <w:bidi w:val="0"/>
              <w:spacing w:before="0" w:after="0"/>
              <w:jc w:val="left"/>
              <w:rPr>
                <w:rFonts w:ascii="Times New Roman" w:hAnsi="Times New Roman"/>
                <w:sz w:val="20"/>
              </w:rPr>
            </w:pPr>
            <w:r>
              <w:rPr>
                <w:rFonts w:ascii="Times New Roman" w:hAnsi="Times New Roman"/>
                <w:sz w:val="20"/>
              </w:rPr>
              <w:t>Riyadh</w:t>
            </w:r>
          </w:p>
          <w:p>
            <w:pPr>
              <w:pStyle w:val="TableContents"/>
              <w:bidi w:val="0"/>
              <w:spacing w:before="0" w:after="0"/>
              <w:jc w:val="left"/>
              <w:rPr>
                <w:rFonts w:ascii="Times New Roman" w:hAnsi="Times New Roman"/>
                <w:sz w:val="20"/>
              </w:rPr>
            </w:pPr>
            <w:r>
              <w:rPr>
                <w:rFonts w:ascii="Times New Roman" w:hAnsi="Times New Roman"/>
                <w:sz w:val="20"/>
              </w:rPr>
              <w:t>San Diego</w:t>
            </w:r>
          </w:p>
          <w:p>
            <w:pPr>
              <w:pStyle w:val="TableContents"/>
              <w:bidi w:val="0"/>
              <w:spacing w:before="0" w:after="0"/>
              <w:jc w:val="left"/>
              <w:rPr>
                <w:rFonts w:ascii="Times New Roman" w:hAnsi="Times New Roman"/>
                <w:sz w:val="20"/>
              </w:rPr>
            </w:pPr>
            <w:r>
              <w:rPr>
                <w:rFonts w:ascii="Times New Roman" w:hAnsi="Times New Roman"/>
                <w:sz w:val="20"/>
              </w:rPr>
              <w:t>San Francisco</w:t>
            </w:r>
          </w:p>
          <w:p>
            <w:pPr>
              <w:pStyle w:val="TableContents"/>
              <w:bidi w:val="0"/>
              <w:spacing w:before="0" w:after="0"/>
              <w:jc w:val="left"/>
              <w:rPr>
                <w:rFonts w:ascii="Times New Roman" w:hAnsi="Times New Roman"/>
                <w:sz w:val="20"/>
              </w:rPr>
            </w:pPr>
            <w:r>
              <w:rPr>
                <w:rFonts w:ascii="Times New Roman" w:hAnsi="Times New Roman"/>
                <w:sz w:val="20"/>
              </w:rPr>
              <w:t>Seoul</w:t>
            </w:r>
          </w:p>
          <w:p>
            <w:pPr>
              <w:pStyle w:val="TableContents"/>
              <w:bidi w:val="0"/>
              <w:spacing w:before="0" w:after="0"/>
              <w:jc w:val="left"/>
              <w:rPr>
                <w:rFonts w:ascii="Times New Roman" w:hAnsi="Times New Roman"/>
                <w:sz w:val="20"/>
              </w:rPr>
            </w:pPr>
            <w:r>
              <w:rPr>
                <w:rFonts w:ascii="Times New Roman" w:hAnsi="Times New Roman"/>
                <w:sz w:val="20"/>
              </w:rPr>
              <w:t>Silicon Valley</w:t>
            </w:r>
          </w:p>
          <w:p>
            <w:pPr>
              <w:pStyle w:val="TableContents"/>
              <w:bidi w:val="0"/>
              <w:spacing w:before="0" w:after="0"/>
              <w:jc w:val="left"/>
              <w:rPr>
                <w:rFonts w:ascii="Times New Roman" w:hAnsi="Times New Roman"/>
                <w:sz w:val="20"/>
              </w:rPr>
            </w:pPr>
            <w:r>
              <w:rPr>
                <w:rFonts w:ascii="Times New Roman" w:hAnsi="Times New Roman"/>
                <w:sz w:val="20"/>
              </w:rPr>
              <w:t>Singapore</w:t>
            </w:r>
          </w:p>
          <w:p>
            <w:pPr>
              <w:pStyle w:val="TableContents"/>
              <w:bidi w:val="0"/>
              <w:spacing w:before="0" w:after="0"/>
              <w:jc w:val="left"/>
              <w:rPr>
                <w:rFonts w:ascii="Times New Roman" w:hAnsi="Times New Roman"/>
                <w:sz w:val="20"/>
              </w:rPr>
            </w:pPr>
            <w:r>
              <w:rPr>
                <w:rFonts w:ascii="Times New Roman" w:hAnsi="Times New Roman"/>
                <w:sz w:val="20"/>
              </w:rPr>
              <w:t>Tel Aviv</w:t>
            </w:r>
          </w:p>
          <w:p>
            <w:pPr>
              <w:pStyle w:val="TableContents"/>
              <w:bidi w:val="0"/>
              <w:spacing w:before="0" w:after="0"/>
              <w:jc w:val="left"/>
              <w:rPr>
                <w:rFonts w:ascii="Times New Roman" w:hAnsi="Times New Roman"/>
                <w:sz w:val="20"/>
              </w:rPr>
            </w:pPr>
            <w:r>
              <w:rPr>
                <w:rFonts w:ascii="Times New Roman" w:hAnsi="Times New Roman"/>
                <w:sz w:val="20"/>
              </w:rPr>
              <w:t>Tokyo</w:t>
            </w:r>
          </w:p>
          <w:p>
            <w:pPr>
              <w:pStyle w:val="TableContents"/>
              <w:bidi w:val="0"/>
              <w:spacing w:before="0" w:after="20"/>
              <w:jc w:val="left"/>
              <w:rPr>
                <w:rFonts w:ascii="Times New Roman" w:hAnsi="Times New Roman"/>
                <w:sz w:val="20"/>
              </w:rPr>
            </w:pPr>
            <w:r>
              <w:rPr>
                <w:rFonts w:ascii="Times New Roman" w:hAnsi="Times New Roman"/>
                <w:sz w:val="20"/>
              </w:rPr>
              <w:t>Washington, D.C.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Re:</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on Form S-3; shares of Common Stock, $0.001 par value per share, having an aggregate offering price of up to $100,000,000</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Seres Therapeutics, Inc., a Delaware corporation (the “</w:t>
      </w:r>
      <w:r>
        <w:rPr>
          <w:rFonts w:ascii="Times New Roman" w:hAnsi="Times New Roman"/>
          <w:b/>
          <w:i/>
          <w:sz w:val="20"/>
        </w:rPr>
        <w:t>Company</w:t>
      </w:r>
      <w:r>
        <w:rPr>
          <w:rFonts w:ascii="Times New Roman" w:hAnsi="Times New Roman"/>
          <w:sz w:val="20"/>
        </w:rPr>
        <w:t>”), in connection with its filing on the date hereof with the Securities and Exchange Commission (the “</w:t>
      </w:r>
      <w:r>
        <w:rPr>
          <w:rFonts w:ascii="Times New Roman" w:hAnsi="Times New Roman"/>
          <w:b/>
          <w:i/>
          <w:sz w:val="20"/>
        </w:rPr>
        <w:t>Commission</w:t>
      </w:r>
      <w:r>
        <w:rPr>
          <w:rFonts w:ascii="Times New Roman" w:hAnsi="Times New Roman"/>
          <w:sz w:val="20"/>
        </w:rPr>
        <w:t>”) of a registration statement on Form S-3 (as amended, the “</w:t>
      </w:r>
      <w:r>
        <w:rPr>
          <w:rFonts w:ascii="Times New Roman" w:hAnsi="Times New Roman"/>
          <w:b/>
          <w:i/>
          <w:sz w:val="20"/>
        </w:rPr>
        <w:t>Registration Statement</w:t>
      </w:r>
      <w:r>
        <w:rPr>
          <w:rFonts w:ascii="Times New Roman" w:hAnsi="Times New Roman"/>
          <w:sz w:val="20"/>
        </w:rPr>
        <w:t>”), including a base prospectus (the “</w:t>
      </w:r>
      <w:r>
        <w:rPr>
          <w:rFonts w:ascii="Times New Roman" w:hAnsi="Times New Roman"/>
          <w:b/>
          <w:i/>
          <w:sz w:val="20"/>
        </w:rPr>
        <w:t>Base Prospectus</w:t>
      </w:r>
      <w:r>
        <w:rPr>
          <w:rFonts w:ascii="Times New Roman" w:hAnsi="Times New Roman"/>
          <w:sz w:val="20"/>
        </w:rPr>
        <w:t>”), which provides that it will be supplemented by one or more prospectus supplements (each such prospectus supplement, together with the Base Prospectus, a “</w:t>
      </w:r>
      <w:r>
        <w:rPr>
          <w:rFonts w:ascii="Times New Roman" w:hAnsi="Times New Roman"/>
          <w:b/>
          <w:i/>
          <w:sz w:val="20"/>
        </w:rPr>
        <w:t>Prospectus</w:t>
      </w:r>
      <w:r>
        <w:rPr>
          <w:rFonts w:ascii="Times New Roman" w:hAnsi="Times New Roman"/>
          <w:sz w:val="20"/>
        </w:rPr>
        <w:t>”), under the Securities Act of 1933, as amended (the “</w:t>
      </w:r>
      <w:r>
        <w:rPr>
          <w:rFonts w:ascii="Times New Roman" w:hAnsi="Times New Roman"/>
          <w:b/>
          <w:i/>
          <w:sz w:val="20"/>
        </w:rPr>
        <w:t>Act</w:t>
      </w:r>
      <w:r>
        <w:rPr>
          <w:rFonts w:ascii="Times New Roman" w:hAnsi="Times New Roman"/>
          <w:sz w:val="20"/>
        </w:rPr>
        <w:t>”), relating to the registration for issue and sale by the Company of up to $300,000,000 aggregate offering amount of (i) shares of the Company’s common stock, $0.001 par value per share (“</w:t>
      </w:r>
      <w:r>
        <w:rPr>
          <w:rFonts w:ascii="Times New Roman" w:hAnsi="Times New Roman"/>
          <w:b/>
          <w:i/>
          <w:sz w:val="20"/>
        </w:rPr>
        <w:t>Common Stock</w:t>
      </w:r>
      <w:r>
        <w:rPr>
          <w:rFonts w:ascii="Times New Roman" w:hAnsi="Times New Roman"/>
          <w:sz w:val="20"/>
        </w:rPr>
        <w:t>”), (ii) shares of one or more series of the Company’s preferred stock, $0.001 par value per share (“</w:t>
      </w:r>
      <w:r>
        <w:rPr>
          <w:rFonts w:ascii="Times New Roman" w:hAnsi="Times New Roman"/>
          <w:b/>
          <w:i/>
          <w:sz w:val="20"/>
        </w:rPr>
        <w:t>Preferred Stock</w:t>
      </w:r>
      <w:r>
        <w:rPr>
          <w:rFonts w:ascii="Times New Roman" w:hAnsi="Times New Roman"/>
          <w:sz w:val="20"/>
        </w:rPr>
        <w:t>”), (iii) one or more series of the Company’s debt securities (collectively, “</w:t>
      </w:r>
      <w:r>
        <w:rPr>
          <w:rFonts w:ascii="Times New Roman" w:hAnsi="Times New Roman"/>
          <w:b/>
          <w:i/>
          <w:sz w:val="20"/>
        </w:rPr>
        <w:t>Debt Securities</w:t>
      </w:r>
      <w:r>
        <w:rPr>
          <w:rFonts w:ascii="Times New Roman" w:hAnsi="Times New Roman"/>
          <w:sz w:val="20"/>
        </w:rPr>
        <w:t>”) to be issued under an indenture to be entered into between the Company, as issuer, and a trustee (a form of which is included as Exhibit 4.3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Times New Roman" w:hAnsi="Times New Roman"/>
          <w:b/>
          <w:i/>
          <w:sz w:val="20"/>
        </w:rPr>
        <w:t>Applicable Indenture</w:t>
      </w:r>
      <w:r>
        <w:rPr>
          <w:rFonts w:ascii="Times New Roman" w:hAnsi="Times New Roman"/>
          <w:sz w:val="20"/>
        </w:rPr>
        <w:t>”), (iv) warrants (“</w:t>
      </w:r>
      <w:r>
        <w:rPr>
          <w:rFonts w:ascii="Times New Roman" w:hAnsi="Times New Roman"/>
          <w:b/>
          <w:i/>
          <w:sz w:val="20"/>
        </w:rPr>
        <w:t>Warrants</w:t>
      </w:r>
      <w:r>
        <w:rPr>
          <w:rFonts w:ascii="Times New Roman" w:hAnsi="Times New Roman"/>
          <w:sz w:val="20"/>
        </w:rPr>
        <w:t>”), and (v) units (“</w:t>
      </w:r>
      <w:r>
        <w:rPr>
          <w:rFonts w:ascii="Times New Roman" w:hAnsi="Times New Roman"/>
          <w:b/>
          <w:i/>
          <w:sz w:val="20"/>
        </w:rPr>
        <w:t>Units</w:t>
      </w:r>
      <w:r>
        <w:rPr>
          <w:rFonts w:ascii="Times New Roman" w:hAnsi="Times New Roman"/>
          <w:sz w:val="20"/>
        </w:rPr>
        <w:t>”). The Common Stock, Preferred Stock, Debt Securities, Warrants, and Units, plus any additional Common Stock, Preferred Stock, Debt Securities, Warrants, and Units that may be registered pursuant to any subsequent registration statement that the Company may hereafter file with the Commission pursuant to Rule 462(b) under the Act in connection with the offering by the Company contemplated by the Registration Statement, are referred to herein collectively as the “</w:t>
      </w:r>
      <w:r>
        <w:rPr>
          <w:rFonts w:ascii="Times New Roman" w:hAnsi="Times New Roman"/>
          <w:b/>
          <w:i/>
          <w:sz w:val="20"/>
        </w:rPr>
        <w:t>Securities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August 13,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562100" cy="114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4"/>
                    <a:stretch>
                      <a:fillRect/>
                    </a:stretch>
                  </pic:blipFill>
                  <pic:spPr bwMode="auto">
                    <a:xfrm>
                      <a:off x="0" y="0"/>
                      <a:ext cx="1562100" cy="1143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We also have acted as special counsel to the Company in connection with the sale through Cowen and Company, LLC as the sales agent (the “</w:t>
      </w:r>
      <w:r>
        <w:rPr>
          <w:rFonts w:ascii="Times New Roman" w:hAnsi="Times New Roman"/>
          <w:b/>
          <w:i/>
          <w:sz w:val="20"/>
        </w:rPr>
        <w:t>Sales Agent</w:t>
      </w:r>
      <w:r>
        <w:rPr>
          <w:rFonts w:ascii="Times New Roman" w:hAnsi="Times New Roman"/>
          <w:sz w:val="20"/>
        </w:rPr>
        <w:t>”) from time to time by the Company of shares of Common Stock (the “</w:t>
      </w:r>
      <w:r>
        <w:rPr>
          <w:rFonts w:ascii="Times New Roman" w:hAnsi="Times New Roman"/>
          <w:b/>
          <w:i/>
          <w:sz w:val="20"/>
        </w:rPr>
        <w:t>Sales Agreement Shares</w:t>
      </w:r>
      <w:r>
        <w:rPr>
          <w:rFonts w:ascii="Times New Roman" w:hAnsi="Times New Roman"/>
          <w:sz w:val="20"/>
        </w:rPr>
        <w:t>”) having an aggregate offering price of up to $100,000,000 pursuant to the Registration Statement, the Base Prospectus and the related prospectus supplement for the sale of the Sales Agreement Shares included in the Registration Statement (the Base Prospectus and such prospectus supplement, collectively, the “</w:t>
      </w:r>
      <w:r>
        <w:rPr>
          <w:rFonts w:ascii="Times New Roman" w:hAnsi="Times New Roman"/>
          <w:b/>
          <w:i/>
          <w:sz w:val="20"/>
        </w:rPr>
        <w:t>Sales Agreement Prospectus</w:t>
      </w:r>
      <w:r>
        <w:rPr>
          <w:rFonts w:ascii="Times New Roman" w:hAnsi="Times New Roman"/>
          <w:sz w:val="20"/>
        </w:rPr>
        <w:t>”), and that certain Sales Agreement dated as of August 13, 2026 between the Sales Agent and the Company, as amended (the “</w:t>
      </w:r>
      <w:r>
        <w:rPr>
          <w:rFonts w:ascii="Times New Roman" w:hAnsi="Times New Roman"/>
          <w:b/>
          <w:i/>
          <w:sz w:val="20"/>
        </w:rPr>
        <w:t>Sales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being furnished in connection with the requirements of Item 601(b)(5) of Regulation S-K under the Act, and no opinion is expressed herein as to any matter pertaining to the contents of the Registration Statement or related applicable Prospectus or the Sales Agreement Prospectus, other than as expressly stated herein with respect to the issue of the Securities and the Sales Agreement Shares. </w:t>
      </w:r>
    </w:p>
    <w:p>
      <w:pPr>
        <w:pStyle w:val="TextBody"/>
        <w:bidi w:val="0"/>
        <w:spacing w:before="240" w:after="0"/>
        <w:jc w:val="left"/>
        <w:rPr>
          <w:rFonts w:ascii="Times New Roman" w:hAnsi="Times New Roman"/>
          <w:sz w:val="20"/>
        </w:rPr>
      </w:pPr>
      <w:r>
        <w:rPr>
          <w:rFonts w:ascii="Times New Roman" w:hAnsi="Times New Roman"/>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hAnsi="Times New Roman"/>
          <w:b/>
          <w:i/>
          <w:sz w:val="20"/>
        </w:rPr>
        <w:t>DGCL</w:t>
      </w:r>
      <w:r>
        <w:rPr>
          <w:rFonts w:ascii="Times New Roman" w:hAnsi="Times New Roman"/>
          <w:sz w:val="20"/>
        </w:rPr>
        <w:t xml:space="preserve">”), and with respect to the opinions set forth in paragraphs 3 through 5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1. 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DGCL. </w:t>
      </w:r>
    </w:p>
    <w:p>
      <w:pPr>
        <w:pStyle w:val="TextBody"/>
        <w:bidi w:val="0"/>
        <w:spacing w:before="240" w:after="0"/>
        <w:jc w:val="left"/>
        <w:rPr>
          <w:rFonts w:ascii="Times New Roman" w:hAnsi="Times New Roman"/>
          <w:sz w:val="20"/>
        </w:rPr>
      </w:pPr>
      <w:r>
        <w:rPr>
          <w:rFonts w:ascii="Times New Roman" w:hAnsi="Times New Roman"/>
          <w:sz w:val="20"/>
        </w:rPr>
        <w:t xml:space="preserve">2. When a series of Preferred Stock has been duly established in accordance with the terms of the Company’s Certificate of Incorporation and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(a) available under the certificate of incorporation, and (b) authorized by the board of directors in connection with the 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DGCL.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August 13, 2026 </w:t>
      </w:r>
    </w:p>
    <w:p>
      <w:pPr>
        <w:pStyle w:val="TextBody"/>
        <w:bidi w:val="0"/>
        <w:spacing w:before="0" w:after="0"/>
        <w:jc w:val="left"/>
        <w:rPr>
          <w:rFonts w:ascii="Times New Roman" w:hAnsi="Times New Roman"/>
          <w:b/>
          <w:sz w:val="20"/>
        </w:rPr>
      </w:pPr>
      <w:r>
        <w:rPr>
          <w:rFonts w:ascii="Times New Roman" w:hAnsi="Times New Roman"/>
          <w:b/>
          <w:sz w:val="20"/>
        </w:rPr>
        <w:t xml:space="preserve">Page 3 </w:t>
      </w:r>
    </w:p>
    <w:p>
      <w:pPr>
        <w:pStyle w:val="TextBody"/>
        <w:bidi w:val="0"/>
        <w:spacing w:before="0" w:after="0"/>
        <w:jc w:val="left"/>
        <w:rPr/>
      </w:pPr>
      <w:r>
        <w:rPr/>
        <w:t> </w:t>
      </w:r>
    </w:p>
    <w:p>
      <w:pPr>
        <w:pStyle w:val="TextBody"/>
        <w:bidi w:val="0"/>
        <w:spacing w:before="0" w:after="0"/>
        <w:jc w:val="left"/>
        <w:rPr/>
      </w:pPr>
      <w:r>
        <w:rPr/>
        <w:drawing>
          <wp:inline distT="0" distB="0" distL="0" distR="0">
            <wp:extent cx="1720215" cy="12573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5"/>
                    <a:stretch>
                      <a:fillRect/>
                    </a:stretch>
                  </pic:blipFill>
                  <pic:spPr bwMode="auto">
                    <a:xfrm>
                      <a:off x="0" y="0"/>
                      <a:ext cx="1720215" cy="125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3. 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4. 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5. 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6. Upon the completion of all Corporate Proceedings (as defined below) relating to the Sales Agreement Shares, when the Sales Agreement Shares shall have been duly registered on the books of the transfer agent and registrar therefor in the name or on behalf of the purchasers, and have been issued by the Company against payment therefor (not less than par value) in accordance with the Corporate Proceedings and the terms of the Sales Agreement, the issuance and sale of the Sales Agreement Shares will have been duly authorized by all necessary corporate action of the Company, and the Sales Agreement Shares will be validly issued, fully paid and nonassessable. In rendering the foregoing opinion, we have assumed that (i) the Company will comply with all applicable notice requirements regarding uncertificated shares provided in the DGCL, (ii) upon the issuance of any of the Sales Agreement Shares, the total number of shares of Common Stock issued and outstanding will not exceed the total number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August 13, 2026 </w:t>
      </w:r>
    </w:p>
    <w:p>
      <w:pPr>
        <w:pStyle w:val="TextBody"/>
        <w:bidi w:val="0"/>
        <w:spacing w:before="0" w:after="0"/>
        <w:jc w:val="left"/>
        <w:rPr>
          <w:rFonts w:ascii="Times New Roman" w:hAnsi="Times New Roman"/>
          <w:b/>
          <w:sz w:val="20"/>
        </w:rPr>
      </w:pPr>
      <w:r>
        <w:rPr>
          <w:rFonts w:ascii="Times New Roman" w:hAnsi="Times New Roman"/>
          <w:b/>
          <w:sz w:val="20"/>
        </w:rPr>
        <w:t xml:space="preserve">Page 4 </w:t>
      </w:r>
    </w:p>
    <w:p>
      <w:pPr>
        <w:pStyle w:val="TextBody"/>
        <w:bidi w:val="0"/>
        <w:spacing w:before="0" w:after="0"/>
        <w:jc w:val="left"/>
        <w:rPr/>
      </w:pPr>
      <w:r>
        <w:rPr/>
        <w:t> </w:t>
      </w:r>
    </w:p>
    <w:p>
      <w:pPr>
        <w:pStyle w:val="TextBody"/>
        <w:bidi w:val="0"/>
        <w:spacing w:before="0" w:after="0"/>
        <w:jc w:val="left"/>
        <w:rPr/>
      </w:pPr>
      <w:r>
        <w:rPr/>
        <w:drawing>
          <wp:inline distT="0" distB="0" distL="0" distR="0">
            <wp:extent cx="1720215" cy="12573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6"/>
                    <a:stretch>
                      <a:fillRect/>
                    </a:stretch>
                  </pic:blipFill>
                  <pic:spPr bwMode="auto">
                    <a:xfrm>
                      <a:off x="0" y="0"/>
                      <a:ext cx="1720215" cy="125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shares of Common Stock that the Company is then authorized to issue under the Company’s certificate of incorporation and (iii) certain terms of the Sales Agreement Shares to be issued by the Company from time to time will be authorized and approved by the board of directors of the Company or one or more committees thereof established by the board of directors of the Company with the authority to issue and sell Sales Agreement Shares pursuant to the Sales Agreement in accordance with the DGCL, the Company’s certificate of incorporation, the by-laws of the Company and certain resolutions of the board of directors of the Company and one or more committees thereof (with such approvals referred to herein as the “</w:t>
      </w:r>
      <w:r>
        <w:rPr>
          <w:rFonts w:ascii="Times New Roman" w:hAnsi="Times New Roman"/>
          <w:b/>
          <w:i/>
          <w:sz w:val="20"/>
        </w:rPr>
        <w:t>Corporate Proceedings</w:t>
      </w:r>
      <w:r>
        <w:rPr>
          <w:rFonts w:ascii="Times New Roman" w:hAnsi="Times New Roman"/>
          <w:sz w:val="20"/>
        </w:rPr>
        <w:t xml:space="preserve">”) prior to issuance thereof. </w:t>
      </w:r>
    </w:p>
    <w:p>
      <w:pPr>
        <w:pStyle w:val="TextBody"/>
        <w:bidi w:val="0"/>
        <w:spacing w:before="240" w:after="0"/>
        <w:jc w:val="left"/>
        <w:rPr>
          <w:rFonts w:ascii="Times New Roman" w:hAnsi="Times New Roman"/>
          <w:sz w:val="20"/>
        </w:rPr>
      </w:pPr>
      <w:r>
        <w:rPr>
          <w:rFonts w:ascii="Times New Roman" w:hAnsi="Times New Roman"/>
          <w:sz w:val="20"/>
        </w:rPr>
        <w:t xml:space="preserve">Our opinions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and (iii) the invalidity under certain circumstances under law or court decisions of provisions providing for the indemnification of or contribution to a party with respect to a liability where such indemnification or contribution is contrary to public policy.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 </w:t>
      </w:r>
    </w:p>
    <w:p>
      <w:pPr>
        <w:pStyle w:val="TextBody"/>
        <w:bidi w:val="0"/>
        <w:spacing w:before="240" w:after="0"/>
        <w:jc w:val="left"/>
        <w:rPr>
          <w:rFonts w:ascii="Times New Roman" w:hAnsi="Times New Roman"/>
          <w:sz w:val="20"/>
        </w:rPr>
      </w:pPr>
      <w:r>
        <w:rPr>
          <w:rFonts w:ascii="Times New Roman" w:hAnsi="Times New Roman"/>
          <w:sz w:val="20"/>
        </w:rPr>
        <w:t>With your consent, we have assumed (a) that each of the Debt Securities, Warrants, and Units and the Applicable Indenture, warrant agreements, and unit agreements governing such Securities (collectively, the “</w:t>
      </w:r>
      <w:r>
        <w:rPr>
          <w:rFonts w:ascii="Times New Roman" w:hAnsi="Times New Roman"/>
          <w:b/>
          <w:i/>
          <w:sz w:val="20"/>
        </w:rPr>
        <w:t>Documents</w:t>
      </w:r>
      <w:r>
        <w:rPr>
          <w:rFonts w:ascii="Times New Roman" w:hAnsi="Times New Roman"/>
          <w:sz w:val="20"/>
        </w:rPr>
        <w:t xml:space="preserve">”)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August 13, 2026 </w:t>
      </w:r>
    </w:p>
    <w:p>
      <w:pPr>
        <w:pStyle w:val="TextBody"/>
        <w:bidi w:val="0"/>
        <w:spacing w:before="0" w:after="0"/>
        <w:jc w:val="left"/>
        <w:rPr>
          <w:rFonts w:ascii="Times New Roman" w:hAnsi="Times New Roman"/>
          <w:b/>
          <w:sz w:val="20"/>
        </w:rPr>
      </w:pPr>
      <w:r>
        <w:rPr>
          <w:rFonts w:ascii="Times New Roman" w:hAnsi="Times New Roman"/>
          <w:b/>
          <w:sz w:val="20"/>
        </w:rPr>
        <w:t xml:space="preserve">Page 5 </w:t>
      </w:r>
    </w:p>
    <w:p>
      <w:pPr>
        <w:pStyle w:val="TextBody"/>
        <w:bidi w:val="0"/>
        <w:spacing w:before="0" w:after="0"/>
        <w:jc w:val="left"/>
        <w:rPr/>
      </w:pPr>
      <w:r>
        <w:rPr/>
        <w:t> </w:t>
      </w:r>
    </w:p>
    <w:p>
      <w:pPr>
        <w:pStyle w:val="TextBody"/>
        <w:bidi w:val="0"/>
        <w:spacing w:before="0" w:after="0"/>
        <w:jc w:val="left"/>
        <w:rPr/>
      </w:pPr>
      <w:r>
        <w:rPr/>
        <w:drawing>
          <wp:inline distT="0" distB="0" distL="0" distR="0">
            <wp:extent cx="1720215" cy="1257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37"/>
                    <a:stretch>
                      <a:fillRect/>
                    </a:stretch>
                  </pic:blipFill>
                  <pic:spPr bwMode="auto">
                    <a:xfrm>
                      <a:off x="0" y="0"/>
                      <a:ext cx="1720215" cy="1257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each of the Prospectus and the Sales Agreement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Latham &amp; Watkins LLP</w:t>
            </w:r>
          </w:p>
        </w:tc>
      </w:tr>
    </w:tbl>
    <w:p>
      <w:pPr>
        <w:pStyle w:val="TextBody"/>
        <w:bidi w:val="0"/>
        <w:spacing w:before="0" w:after="0"/>
        <w:jc w:val="right"/>
        <w:rPr>
          <w:rFonts w:ascii="Times New Roman" w:hAnsi="Times New Roman"/>
          <w:b/>
          <w:sz w:val="20"/>
        </w:rPr>
      </w:pPr>
      <w:bookmarkStart w:id="36" w:name="d215784dex232.htm"/>
      <w:bookmarkStart w:id="37" w:name="ksd215784dex232"/>
      <w:bookmarkEnd w:id="36"/>
      <w:bookmarkEnd w:id="37"/>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this Registration Statement on Form S-3 of Seres Therapeutics, Inc. of our report dated March 12, 2026 relating to the financial statements, which appears in Seres Therapeutics, Inc.’s Annual Report on Form 10-K for the year ended December 31, 2025. We also consent to the reference to us under the heading “Experts” in such Registration Statement.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PricewaterhouseCoopers LLP</w:t>
            </w:r>
          </w:p>
        </w:tc>
      </w:tr>
      <w:tr>
        <w:trPr/>
        <w:tc>
          <w:tcPr>
            <w:tcW w:w="4082" w:type="dxa"/>
            <w:tcBorders/>
          </w:tcPr>
          <w:p>
            <w:pPr>
              <w:pStyle w:val="TableContents"/>
              <w:bidi w:val="0"/>
              <w:spacing w:before="0" w:after="283"/>
              <w:jc w:val="left"/>
              <w:rPr/>
            </w:pPr>
            <w:r>
              <w:rPr/>
              <w:t>Boston, Massachusetts</w:t>
            </w:r>
          </w:p>
        </w:tc>
      </w:tr>
      <w:tr>
        <w:trPr/>
        <w:tc>
          <w:tcPr>
            <w:tcW w:w="4082" w:type="dxa"/>
            <w:tcBorders/>
          </w:tcPr>
          <w:p>
            <w:pPr>
              <w:pStyle w:val="TableContents"/>
              <w:bidi w:val="0"/>
              <w:spacing w:before="0" w:after="283"/>
              <w:jc w:val="left"/>
              <w:rPr/>
            </w:pPr>
            <w:r>
              <w:rPr/>
              <w:t>August 13,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p>
    <w:p>
      <w:pPr>
        <w:pStyle w:val="Normal"/>
        <w:bidi w:val="0"/>
        <w:spacing w:before="0" w:after="0"/>
        <w:jc w:val="left"/>
        <w:rPr>
          <w:sz w:val="4"/>
          <w:szCs w:val="4"/>
        </w:rPr>
      </w:pPr>
      <w:r>
        <w:rPr>
          <w:sz w:val="4"/>
          <w:szCs w:val="4"/>
        </w:rPr>
      </w:r>
      <w:bookmarkStart w:id="38" w:name="d215784dexfilingfees.htm"/>
      <w:bookmarkStart w:id="39" w:name="ksd215784dexfilingfees"/>
      <w:bookmarkStart w:id="40" w:name="d215784dexfilingfees.htm"/>
      <w:bookmarkStart w:id="41" w:name="ksd215784dexfilingfees"/>
      <w:bookmarkEnd w:id="40"/>
      <w:bookmarkEnd w:id="41"/>
      <w:r>
        <w:br w:type="page"/>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Seres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84" w:type="dxa"/>
        <w:jc w:val="left"/>
        <w:tblInd w:w="0" w:type="dxa"/>
        <w:tblLayout w:type="fixed"/>
        <w:tblCellMar>
          <w:top w:w="28" w:type="dxa"/>
          <w:left w:w="28" w:type="dxa"/>
          <w:bottom w:w="28" w:type="dxa"/>
          <w:right w:w="28" w:type="dxa"/>
        </w:tblCellMar>
      </w:tblPr>
      <w:tblGrid>
        <w:gridCol w:w="1126"/>
        <w:gridCol w:w="226"/>
        <w:gridCol w:w="1246"/>
        <w:gridCol w:w="102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$ 65,364,537.48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$ 9,026.84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$0.001 par value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333-273794 </w:t>
            </w:r>
          </w:p>
        </w:tc>
        <w:tc>
          <w:tcPr>
            <w:tcW w:w="1021" w:type="dxa"/>
            <w:tcBorders/>
            <w:shd w:fill="E7E7E2" w:val="clear"/>
            <w:vAlign w:val="center"/>
          </w:tcPr>
          <w:p>
            <w:pPr>
              <w:pStyle w:val="TableContents"/>
              <w:bidi w:val="0"/>
              <w:spacing w:before="0" w:after="283"/>
              <w:jc w:val="center"/>
              <w:rPr/>
            </w:pPr>
            <w:r>
              <w:rPr/>
              <w:t xml:space="preserve">08/15/2023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$0.001 par value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333-273794 </w:t>
            </w:r>
          </w:p>
        </w:tc>
        <w:tc>
          <w:tcPr>
            <w:tcW w:w="1021" w:type="dxa"/>
            <w:tcBorders/>
            <w:shd w:fill="E7E7E2" w:val="clear"/>
            <w:vAlign w:val="center"/>
          </w:tcPr>
          <w:p>
            <w:pPr>
              <w:pStyle w:val="TableContents"/>
              <w:bidi w:val="0"/>
              <w:spacing w:before="0" w:after="283"/>
              <w:jc w:val="center"/>
              <w:rPr/>
            </w:pPr>
            <w:r>
              <w:rPr/>
              <w:t xml:space="preserve">08/15/2023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333-273794 </w:t>
            </w:r>
          </w:p>
        </w:tc>
        <w:tc>
          <w:tcPr>
            <w:tcW w:w="1021" w:type="dxa"/>
            <w:tcBorders/>
            <w:shd w:fill="E7E7E2" w:val="clear"/>
            <w:vAlign w:val="center"/>
          </w:tcPr>
          <w:p>
            <w:pPr>
              <w:pStyle w:val="TableContents"/>
              <w:bidi w:val="0"/>
              <w:spacing w:before="0" w:after="283"/>
              <w:jc w:val="center"/>
              <w:rPr/>
            </w:pPr>
            <w:r>
              <w:rPr/>
              <w:t xml:space="preserve">08/15/2023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333-273794 </w:t>
            </w:r>
          </w:p>
        </w:tc>
        <w:tc>
          <w:tcPr>
            <w:tcW w:w="1021" w:type="dxa"/>
            <w:tcBorders/>
            <w:shd w:fill="E7E7E2" w:val="clear"/>
            <w:vAlign w:val="center"/>
          </w:tcPr>
          <w:p>
            <w:pPr>
              <w:pStyle w:val="TableContents"/>
              <w:bidi w:val="0"/>
              <w:spacing w:before="0" w:after="283"/>
              <w:jc w:val="center"/>
              <w:rPr/>
            </w:pPr>
            <w:r>
              <w:rPr/>
              <w:t xml:space="preserve">08/15/2023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333-273794 </w:t>
            </w:r>
          </w:p>
        </w:tc>
        <w:tc>
          <w:tcPr>
            <w:tcW w:w="1021" w:type="dxa"/>
            <w:tcBorders/>
            <w:shd w:fill="E7E7E2" w:val="clear"/>
            <w:vAlign w:val="center"/>
          </w:tcPr>
          <w:p>
            <w:pPr>
              <w:pStyle w:val="TableContents"/>
              <w:bidi w:val="0"/>
              <w:spacing w:before="0" w:after="283"/>
              <w:jc w:val="center"/>
              <w:rPr/>
            </w:pPr>
            <w:r>
              <w:rPr/>
              <w:t xml:space="preserve">08/15/2023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center"/>
              <w:rPr/>
            </w:pPr>
            <w:r>
              <w:rPr/>
              <w:t xml:space="preserve">2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$ 234,635,462.52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333-273794 </w:t>
            </w:r>
          </w:p>
        </w:tc>
        <w:tc>
          <w:tcPr>
            <w:tcW w:w="1021" w:type="dxa"/>
            <w:tcBorders/>
            <w:shd w:fill="E7E7E2" w:val="clear"/>
            <w:vAlign w:val="center"/>
          </w:tcPr>
          <w:p>
            <w:pPr>
              <w:pStyle w:val="TableContents"/>
              <w:bidi w:val="0"/>
              <w:spacing w:before="0" w:after="283"/>
              <w:jc w:val="center"/>
              <w:rPr/>
            </w:pPr>
            <w:r>
              <w:rPr/>
              <w:t xml:space="preserve">08/15/2023 </w:t>
            </w:r>
          </w:p>
        </w:tc>
        <w:tc>
          <w:tcPr>
            <w:tcW w:w="1321" w:type="dxa"/>
            <w:tcBorders/>
            <w:shd w:fill="E7E7E2" w:val="clear"/>
            <w:vAlign w:val="center"/>
          </w:tcPr>
          <w:p>
            <w:pPr>
              <w:pStyle w:val="TableContents"/>
              <w:bidi w:val="0"/>
              <w:spacing w:before="0" w:after="283"/>
              <w:jc w:val="right"/>
              <w:rPr/>
            </w:pPr>
            <w:r>
              <w:rPr/>
              <w:t xml:space="preserve">$ 25,856.83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2" w:name="MaxAggtOfferingPrice"/>
            <w:bookmarkEnd w:id="42"/>
            <w:r>
              <w:rPr/>
              <w:t xml:space="preserve">$ 300,000,000.00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3" w:name="TotalFeeAmt"/>
            <w:bookmarkEnd w:id="43"/>
            <w:r>
              <w:rPr/>
              <w:t xml:space="preserve">$ 9,026.84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4" w:name="TotalPreviouslyPaidAmt"/>
            <w:bookmarkEnd w:id="4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5" w:name="TotalOffsetAmt"/>
            <w:bookmarkEnd w:id="4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6" w:name="NetFeeAmt"/>
            <w:bookmarkEnd w:id="46"/>
            <w:r>
              <w:rPr/>
              <w:t xml:space="preserve">$ 9,026.84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546"/>
        <w:gridCol w:w="8460"/>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An unspecified number of securities or aggregate principal amount, as applicable, is being registered as may from time to time be offered at unspecified prices and, in addition, an unspecified number of securities is being registered as may be issued from time to time upon conversion of or exchange for any preferred stock or debt securities that provide for conversion or exchange, upon exercise of warrants, or pursuant to any anti-dilution adjustments with respect to any such securities. Pursuant to Rule 416 under the Securities Act of 1933, as amended (the "Securities Act"), the securities being registered hereunder include such indeterminate number of additional securities as may be issuable as a result of stock splits, stock dividends or similar transactions. Includes rights to acquire common stock or preferred stock under any stockholder rights plan then in effect, if applicable under the terms of any such plan. The proposed maximum per security and aggregate offering prices per class of securities will be determined from time to time by the registrant in connection with the issuance by the registrant of the securities registered hereunder and are not specified as to each class of security. The registration fee has been calculated in accordance with Rule 457(o) under the Securities Act. Estimated solely for the purpose of calculating the registration fee. No separate consideration will be received for shares of common stock that are issued upon conversion of debt securities or preferred stock or upon exercise of common stock warrants registered hereunder. The aggregate maximum offering price of all securities issued by the registrant pursuant to this registration statement will not exceed $300,000,000. </w:t>
            </w:r>
          </w:p>
        </w:tc>
      </w:tr>
      <w:tr>
        <w:trPr/>
        <w:tc>
          <w:tcPr>
            <w:tcW w:w="1745" w:type="dxa"/>
            <w:gridSpan w:val="2"/>
            <w:tcBorders/>
            <w:vAlign w:val="center"/>
          </w:tcPr>
          <w:p>
            <w:pPr>
              <w:pStyle w:val="HorizontalLine"/>
              <w:pBdr>
                <w:bottom w:val="double" w:sz="2" w:space="0" w:color="808080"/>
              </w:pBdr>
              <w:bidi w:val="0"/>
              <w:spacing w:before="0" w:after="283"/>
              <w:jc w:val="left"/>
              <w:rPr/>
            </w:pPr>
            <w:r>
              <w:rPr/>
            </w:r>
          </w:p>
        </w:tc>
        <w:tc>
          <w:tcPr>
            <w:tcW w:w="8460"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The registrant previously registered the offer and sale of securities having a maximum aggregate offering price of $300,000,000 pursuant to a registration statement on Form S-3 (File No. 333-273794) initially filed with the Securities and Exchange Commission on August 8, 2023 (the "Expiring Registration Statement") and, in connection therewith, paid a filing fee of $18,405.24 and carried forward securities having an aggregate offering price of $132,983,352.19. Of such securities, an aggregate of $234,635,462.52 remain unsold (the "Unsold Securities"). Pursuant to Rule 415(a)(6) under the Securities Act, the securities registered pursuant to this registration statement include the Unsold Securities, and the filing fee of $25,856.83 associated therewith (which amount is based on the filing fee rate in effect at the time of the filing of the Expiring Registration Statement) is hereby carried forward to be applied to the Unsold Securities and no additional filing fee is due with respect to such Unsold Securities in connection with the filing of this registration statement. Pursuant to Rule 415(a)(6), the offering of the Unsold Securities pursuant to the Expiring Registration Statement shall be deemed terminated as of the effective date of this registration statement. The registrant is also registering new securities on this registration statement with an aggregate initial offering price of $65,364,537.48, which aggregate offering price is not specified as to each class of securities. A filing fee of $9,026.84 with respect to the New Securities is being paid in connection with the filing of this registration statement. See Offering Note 1(d) </w:t>
            </w:r>
          </w:p>
        </w:tc>
      </w:tr>
      <w:tr>
        <w:trPr/>
        <w:tc>
          <w:tcPr>
            <w:tcW w:w="1745" w:type="dxa"/>
            <w:gridSpan w:val="2"/>
            <w:tcBorders/>
            <w:vAlign w:val="center"/>
          </w:tcPr>
          <w:p>
            <w:pPr>
              <w:pStyle w:val="HorizontalLine"/>
              <w:pBdr>
                <w:bottom w:val="double" w:sz="2" w:space="0" w:color="808080"/>
              </w:pBdr>
              <w:bidi w:val="0"/>
              <w:spacing w:before="0" w:after="283"/>
              <w:jc w:val="left"/>
              <w:rPr/>
            </w:pPr>
            <w:r>
              <w:rPr/>
            </w:r>
          </w:p>
        </w:tc>
        <w:tc>
          <w:tcPr>
            <w:tcW w:w="846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609809/000119312526103276/mcrb-20251231.htm" TargetMode="External"/><Relationship Id="rId4" Type="http://schemas.openxmlformats.org/officeDocument/2006/relationships/hyperlink" Target="http://www.sec.gov/Archives/edgar/data/../../../ix?doc=/Archives/edgar/data/1609809/000119312526182036/mcrb-20260427.htm" TargetMode="External"/><Relationship Id="rId5" Type="http://schemas.openxmlformats.org/officeDocument/2006/relationships/hyperlink" Target="http://www.sec.gov/Archives/edgar/data/../../../ix?doc=/Archives/edgar/data/1609809/000119312526205434/mcrb-20260331.htm" TargetMode="External"/><Relationship Id="rId6" Type="http://schemas.openxmlformats.org/officeDocument/2006/relationships/hyperlink" Target="http://www.sec.gov/Archives/edgar/data/../../../ix?doc=/Archives/edgar/data/1609809/000119312526334174/mcrb-20260630.htm" TargetMode="External"/><Relationship Id="rId7" Type="http://schemas.openxmlformats.org/officeDocument/2006/relationships/hyperlink" Target="http://www.sec.gov/Archives/edgar/data/../../../ix?doc=/Archives/edgar/data/1609809/000119312526085368/d13425d8k.htm" TargetMode="External"/><Relationship Id="rId8" Type="http://schemas.openxmlformats.org/officeDocument/2006/relationships/hyperlink" Target="http://www.sec.gov/Archives/edgar/data/../../../ix?doc=/Archives/edgar/data/1609809/000119312526108482/d47103d8k.htm" TargetMode="External"/><Relationship Id="rId9" Type="http://schemas.openxmlformats.org/officeDocument/2006/relationships/hyperlink" Target="http://www.sec.gov/Archives/edgar/data/../../../ix?doc=/Archives/edgar/data/1609809/000119312526251548/d100982d8k.htm" TargetMode="External"/><Relationship Id="rId10" Type="http://schemas.openxmlformats.org/officeDocument/2006/relationships/hyperlink" Target="http://www.sec.gov/Archives/edgar/data/../../../ix?doc=/Archives/edgar/data/1609809/000119312526258366/d156701d8k.htm" TargetMode="External"/><Relationship Id="rId11" Type="http://schemas.openxmlformats.org/officeDocument/2006/relationships/hyperlink" Target="http://www.sec.gov/Archives/edgar/data/../../../ix?doc=/Archives/edgar/data/1609809/000119312526298005/d130829d8k.htm" TargetMode="External"/><Relationship Id="rId12" Type="http://schemas.openxmlformats.org/officeDocument/2006/relationships/hyperlink" Target="http://www.sec.gov/Archives/edgar/data/../../../ix?doc=/Archives/edgar/data/1609809/000119312526332742/d133274d8k.htm" TargetMode="External"/><Relationship Id="rId13" Type="http://schemas.openxmlformats.org/officeDocument/2006/relationships/hyperlink" Target="http://www.sec.gov/Archives/edgar/data/1609809/000119312515230190/d816354d8a12b.htm" TargetMode="External"/><Relationship Id="rId14" Type="http://schemas.openxmlformats.org/officeDocument/2006/relationships/image" Target="media/image2.jpeg"/><Relationship Id="rId15" Type="http://schemas.openxmlformats.org/officeDocument/2006/relationships/hyperlink" Target="http://www.sec.gov/Archives/edgar/data/../../../ix?doc=/Archives/edgar/data/1609809/000119312526103276/mcrb-20251231.htm" TargetMode="External"/><Relationship Id="rId16" Type="http://schemas.openxmlformats.org/officeDocument/2006/relationships/hyperlink" Target="http://www.sec.gov/Archives/edgar/data/../../../ix?doc=/Archives/edgar/data/1609809/000119312526182036/mcrb-20260427.htm" TargetMode="External"/><Relationship Id="rId17" Type="http://schemas.openxmlformats.org/officeDocument/2006/relationships/hyperlink" Target="http://www.sec.gov/Archives/edgar/data/../../../ix?doc=/Archives/edgar/data/1609809/000119312526205434/mcrb-20260331.htm" TargetMode="External"/><Relationship Id="rId18" Type="http://schemas.openxmlformats.org/officeDocument/2006/relationships/hyperlink" Target="http://www.sec.gov/Archives/edgar/data/../../../ix?doc=/Archives/edgar/data/1609809/000119312526334174/mcrb-20260630.htm" TargetMode="External"/><Relationship Id="rId19" Type="http://schemas.openxmlformats.org/officeDocument/2006/relationships/hyperlink" Target="http://www.sec.gov/Archives/edgar/data/../../../ix?doc=/Archives/edgar/data/1609809/000119312526085368/d13425d8k.htm" TargetMode="External"/><Relationship Id="rId20" Type="http://schemas.openxmlformats.org/officeDocument/2006/relationships/hyperlink" Target="http://www.sec.gov/Archives/edgar/data/../../../ix?doc=/Archives/edgar/data/1609809/000119312526108482/d47103d8k.htm" TargetMode="External"/><Relationship Id="rId21" Type="http://schemas.openxmlformats.org/officeDocument/2006/relationships/hyperlink" Target="http://www.sec.gov/Archives/edgar/data/../../../ix?doc=/Archives/edgar/data/1609809/000119312526251548/d100982d8k.htm" TargetMode="External"/><Relationship Id="rId22" Type="http://schemas.openxmlformats.org/officeDocument/2006/relationships/hyperlink" Target="http://www.sec.gov/Archives/edgar/data/../../../ix?doc=/Archives/edgar/data/1609809/000119312526258366/d156701d8k.htm" TargetMode="External"/><Relationship Id="rId23" Type="http://schemas.openxmlformats.org/officeDocument/2006/relationships/hyperlink" Target="http://www.sec.gov/Archives/edgar/data/../../../ix?doc=/Archives/edgar/data/1609809/000119312526298005/d130829d8k.htm" TargetMode="External"/><Relationship Id="rId24" Type="http://schemas.openxmlformats.org/officeDocument/2006/relationships/hyperlink" Target="http://www.sec.gov/Archives/edgar/data/../../../ix?doc=/Archives/edgar/data/1609809/000119312526332742/d133274d8k.htm" TargetMode="External"/><Relationship Id="rId25" Type="http://schemas.openxmlformats.org/officeDocument/2006/relationships/hyperlink" Target="http://www.sec.gov/Archives/edgar/data/1609809/000119312515230190/d816354d8a12b.htm" TargetMode="External"/><Relationship Id="rId26" Type="http://schemas.openxmlformats.org/officeDocument/2006/relationships/image" Target="media/image1.jpeg"/><Relationship Id="rId27" Type="http://schemas.openxmlformats.org/officeDocument/2006/relationships/hyperlink" Target="http://www.sec.gov/Archives/edgar/data/1609809/000119312515242845/d48188dex31.htm" TargetMode="External"/><Relationship Id="rId28" Type="http://schemas.openxmlformats.org/officeDocument/2006/relationships/hyperlink" Target="http://www.sec.gov/Archives/edgar/data/1609809/000119312523176795/d506361dex31.htm" TargetMode="External"/><Relationship Id="rId29" Type="http://schemas.openxmlformats.org/officeDocument/2006/relationships/hyperlink" Target="http://www.sec.gov/Archives/edgar/data/1609809/000119312524089654/d798362dex31.htm" TargetMode="External"/><Relationship Id="rId30" Type="http://schemas.openxmlformats.org/officeDocument/2006/relationships/hyperlink" Target="http://www.sec.gov/Archives/edgar/data/1609809/000119312525089189/d97309dex31.htm" TargetMode="External"/><Relationship Id="rId31" Type="http://schemas.openxmlformats.org/officeDocument/2006/relationships/hyperlink" Target="http://www.sec.gov/Archives/edgar/data/1609809/000119312524000683/d582286dex31.htm" TargetMode="External"/><Relationship Id="rId32" Type="http://schemas.openxmlformats.org/officeDocument/2006/relationships/hyperlink" Target="http://www.sec.gov/Archives/edgar/data/1609809/000119312515224101/d816354dex42.htm" TargetMode="External"/><Relationship Id="rId33" Type="http://schemas.openxmlformats.org/officeDocument/2006/relationships/image" Target="media/image3.jpeg"/><Relationship Id="rId34" Type="http://schemas.openxmlformats.org/officeDocument/2006/relationships/image" Target="media/image4.jpeg"/><Relationship Id="rId35" Type="http://schemas.openxmlformats.org/officeDocument/2006/relationships/image" Target="media/image4.jpeg"/><Relationship Id="rId36" Type="http://schemas.openxmlformats.org/officeDocument/2006/relationships/image" Target="media/image4.jpeg"/><Relationship Id="rId37" Type="http://schemas.openxmlformats.org/officeDocument/2006/relationships/image" Target="media/image4.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158</Pages>
  <Words>75296</Words>
  <Characters>390993</Characters>
  <CharactersWithSpaces>467084</CharactersWithSpaces>
  <Paragraphs>3663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