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SERES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001-37465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27-4326290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101 Cambridgepark Drive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02140</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945-9626</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MCRB</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 (Nasdaq Global</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Select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January 30, 2024, the Board of Directors of Seres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set the date of the Company’s 2024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as April 4, 2024. Holders of record at the close of business on February 12, 2024 will be entitled to receive notice of and to vote at the meeting and any continuation, adjournments or postponements thereof. The Annual Meeting will be held virtually by means of remote communication. The details of the virtual Annual Meeting, including how stockholders can log into the virtual meeting, vote and submit questions, will be disclosed in the Company’s definitive proxy statement for the Annual Meeting to be filed with the Securities and Exchange Commission.</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stockholder seeking to bring business before the Annual Meeting or to nominate a director for election at the Annual Meeting must provide timely notice, as set forth in the Company’s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Specifically, written notice of any proposed business or nomination must be received at the Company’s principal executive offices at 101 Cambridgepark Drive, Cambridge, MA 02140 no later than February 9, 2024. Any notice of proposed business or nomination must comply with the specific requirements set forth in the Bylaws. In addition to satisfying the requirements under the Bylaws, to comply with the universal proxy rules, stockholders who intend to solicit proxies in support of director nominees other than the Company’s nominees must provide notice that sets forth the information required by Rule 14a-19 under the Securities Exchange Act of 1934, as amended.</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2024</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SERES THERAPEUTICS,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DesRosier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J. DesRosier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Executive Vice President</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2024-01-30T15:10:14Z</dcterms:created>
  <dcterms:modified xsi:type="dcterms:W3CDTF">2024-01-30T15:10:14Z</dcterms:modified>
</cp:coreProperties>
</file>